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CB82625">
                <wp:simplePos x="0" y="0"/>
                <wp:positionH relativeFrom="column">
                  <wp:posOffset>-228600</wp:posOffset>
                </wp:positionH>
                <wp:positionV relativeFrom="page">
                  <wp:posOffset>708660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5C836" id="Obdélník 3" o:spid="_x0000_s1026" alt="bílý obdélník pro text na titulní straně" style="position:absolute;margin-left:-18pt;margin-top:55.8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5FB532BC">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0F4A6CB7" w:rsidR="00572472" w:rsidRPr="00815900" w:rsidRDefault="00CE157A" w:rsidP="00D077E9">
                                  <w:pPr>
                                    <w:pStyle w:val="Nzev"/>
                                    <w:spacing w:after="0"/>
                                    <w:rPr>
                                      <w:color w:val="0F0D29" w:themeColor="text1"/>
                                      <w:sz w:val="56"/>
                                      <w:szCs w:val="48"/>
                                    </w:rPr>
                                  </w:pPr>
                                  <w:r>
                                    <w:rPr>
                                      <w:color w:val="0F0D29" w:themeColor="text1"/>
                                      <w:sz w:val="56"/>
                                      <w:szCs w:val="48"/>
                                      <w:lang w:bidi="cs-CZ"/>
                                    </w:rPr>
                                    <w:t>červen</w:t>
                                  </w:r>
                                  <w:r w:rsidR="002A670B">
                                    <w:rPr>
                                      <w:color w:val="0F0D29" w:themeColor="text1"/>
                                      <w:sz w:val="56"/>
                                      <w:szCs w:val="48"/>
                                      <w:lang w:bidi="cs-CZ"/>
                                    </w:rPr>
                                    <w:t xml:space="preserve"> </w:t>
                                  </w:r>
                                  <w:r w:rsidR="00572472">
                                    <w:rPr>
                                      <w:color w:val="0F0D29" w:themeColor="text1"/>
                                      <w:sz w:val="56"/>
                                      <w:szCs w:val="48"/>
                                      <w:lang w:bidi="cs-CZ"/>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0F4A6CB7" w:rsidR="00572472" w:rsidRPr="00815900" w:rsidRDefault="00CE157A" w:rsidP="00D077E9">
                            <w:pPr>
                              <w:pStyle w:val="Nzev"/>
                              <w:spacing w:after="0"/>
                              <w:rPr>
                                <w:color w:val="0F0D29" w:themeColor="text1"/>
                                <w:sz w:val="56"/>
                                <w:szCs w:val="48"/>
                              </w:rPr>
                            </w:pPr>
                            <w:r>
                              <w:rPr>
                                <w:color w:val="0F0D29" w:themeColor="text1"/>
                                <w:sz w:val="56"/>
                                <w:szCs w:val="48"/>
                                <w:lang w:bidi="cs-CZ"/>
                              </w:rPr>
                              <w:t>červen</w:t>
                            </w:r>
                            <w:r w:rsidR="002A670B">
                              <w:rPr>
                                <w:color w:val="0F0D29" w:themeColor="text1"/>
                                <w:sz w:val="56"/>
                                <w:szCs w:val="48"/>
                                <w:lang w:bidi="cs-CZ"/>
                              </w:rPr>
                              <w:t xml:space="preserve"> </w:t>
                            </w:r>
                            <w:r w:rsidR="00572472">
                              <w:rPr>
                                <w:color w:val="0F0D29" w:themeColor="text1"/>
                                <w:sz w:val="56"/>
                                <w:szCs w:val="48"/>
                                <w:lang w:bidi="cs-CZ"/>
                              </w:rPr>
                              <w:t>2024</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2C2DA2E0" w:rsidR="00F33158" w:rsidRPr="00F33158" w:rsidRDefault="00F33158" w:rsidP="00F33158">
            <w:pPr>
              <w:jc w:val="right"/>
              <w:rPr>
                <w:b w:val="0"/>
                <w:bCs/>
                <w:noProof/>
                <w:color w:val="0F0D29" w:themeColor="text1"/>
              </w:rPr>
            </w:pPr>
            <w:r w:rsidRPr="004E6A60">
              <w:rPr>
                <w:b w:val="0"/>
                <w:bCs/>
                <w:noProof/>
                <w:color w:val="0F0D29" w:themeColor="text1"/>
              </w:rPr>
              <w:t>Vypracováno k</w:t>
            </w:r>
            <w:r w:rsidR="00CE157A">
              <w:rPr>
                <w:b w:val="0"/>
                <w:bCs/>
                <w:noProof/>
                <w:color w:val="0F0D29" w:themeColor="text1"/>
              </w:rPr>
              <w:t> 29. 6. 2024</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0168156A" w:rsidR="0014703E" w:rsidRPr="005078C0" w:rsidRDefault="0014703E" w:rsidP="008E3CAD">
            <w:pPr>
              <w:pStyle w:val="Bezmezer"/>
              <w:spacing w:line="360" w:lineRule="auto"/>
              <w:jc w:val="center"/>
              <w:rPr>
                <w:rFonts w:ascii="Arial" w:hAnsi="Arial" w:cs="Arial"/>
                <w:b/>
                <w:color w:val="0F0D29" w:themeColor="text1"/>
              </w:rPr>
            </w:pPr>
          </w:p>
          <w:p w14:paraId="0E89924B" w14:textId="5EF23423" w:rsidR="00977406" w:rsidRPr="007971D5"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w:t>
            </w:r>
            <w:r w:rsidRPr="007971D5">
              <w:rPr>
                <w:rFonts w:ascii="Arial" w:hAnsi="Arial" w:cs="Arial"/>
                <w:b/>
                <w:color w:val="0F0D29" w:themeColor="text1"/>
                <w:sz w:val="24"/>
              </w:rPr>
              <w:t xml:space="preserve">předpisy vyhlášené ve Sbírce zákonů </w:t>
            </w:r>
          </w:p>
          <w:p w14:paraId="04FD766B" w14:textId="4F3B9C39" w:rsid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Vyhláška č. 140/2024 Sb., kterou se mění vyhláška č. 393/2020 Sb., o digitální technické mapě kraje, ve znění vyhlášky č. 186/2023 Sb.</w:t>
            </w:r>
          </w:p>
          <w:p w14:paraId="39C167A7" w14:textId="648E71AF" w:rsid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Vyhláška č. 146/2024 Sb.</w:t>
            </w:r>
            <w:r>
              <w:rPr>
                <w:rFonts w:ascii="Arial" w:hAnsi="Arial" w:cs="Arial"/>
                <w:bCs/>
                <w:color w:val="0F0D29" w:themeColor="text1"/>
                <w:sz w:val="20"/>
                <w:szCs w:val="20"/>
              </w:rPr>
              <w:t>,</w:t>
            </w:r>
            <w:r w:rsidRPr="00CE157A">
              <w:rPr>
                <w:rFonts w:ascii="Arial" w:hAnsi="Arial" w:cs="Arial"/>
                <w:bCs/>
                <w:color w:val="0F0D29" w:themeColor="text1"/>
                <w:sz w:val="20"/>
                <w:szCs w:val="20"/>
              </w:rPr>
              <w:t xml:space="preserve"> o požadavcích na výstavbu</w:t>
            </w:r>
          </w:p>
          <w:p w14:paraId="361E94BD" w14:textId="7508409E" w:rsid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Vyhláška č. 156/2024 Sb., kterou se mění vyhláška č. 408/2015 Sb., o Pravidlech trhu s elektřinou, ve znění pozdějších předpisů, a vyhláška č. 6/2024 Sb., kterou se mění vyhláška č. 408/2015 Sb., o Pravidlech trhu s elektřinou, ve znění pozdějších předpisů, a vyhláška č. 490/2021 Sb., kterou se mění vyhláška č. 408/2015 Sb., o Pravidlech trhu s elektřinou, ve znění pozdějších předpisů</w:t>
            </w:r>
          </w:p>
          <w:p w14:paraId="23AB4106" w14:textId="1836EB7D" w:rsid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Vyhláška č. 157/2024 Sb.</w:t>
            </w:r>
            <w:r>
              <w:rPr>
                <w:rFonts w:ascii="Arial" w:hAnsi="Arial" w:cs="Arial"/>
                <w:bCs/>
                <w:color w:val="0F0D29" w:themeColor="text1"/>
                <w:sz w:val="20"/>
                <w:szCs w:val="20"/>
              </w:rPr>
              <w:t xml:space="preserve">, </w:t>
            </w:r>
            <w:r w:rsidRPr="00CE157A">
              <w:rPr>
                <w:rFonts w:ascii="Arial" w:hAnsi="Arial" w:cs="Arial"/>
                <w:bCs/>
                <w:color w:val="0F0D29" w:themeColor="text1"/>
                <w:sz w:val="20"/>
                <w:szCs w:val="20"/>
              </w:rPr>
              <w:t>o územně analytických podkladech, územně plánovací dokumentaci a jednotném standardu</w:t>
            </w:r>
          </w:p>
          <w:p w14:paraId="7F4A20EC" w14:textId="57B151EE" w:rsidR="00E62F0F" w:rsidRDefault="00E62F0F" w:rsidP="00E62F0F">
            <w:pPr>
              <w:pStyle w:val="Odstavecseseznamem"/>
              <w:numPr>
                <w:ilvl w:val="0"/>
                <w:numId w:val="1"/>
              </w:numPr>
              <w:spacing w:line="360" w:lineRule="auto"/>
              <w:jc w:val="both"/>
              <w:rPr>
                <w:rFonts w:ascii="Arial" w:hAnsi="Arial" w:cs="Arial"/>
                <w:bCs/>
                <w:color w:val="0F0D29" w:themeColor="text1"/>
                <w:sz w:val="20"/>
                <w:szCs w:val="20"/>
              </w:rPr>
            </w:pPr>
            <w:r w:rsidRPr="00E62F0F">
              <w:rPr>
                <w:rFonts w:ascii="Arial" w:hAnsi="Arial" w:cs="Arial"/>
                <w:bCs/>
                <w:color w:val="0F0D29" w:themeColor="text1"/>
                <w:sz w:val="20"/>
                <w:szCs w:val="20"/>
              </w:rPr>
              <w:t>Zákon č. 179/2024 Sb.</w:t>
            </w:r>
            <w:r>
              <w:rPr>
                <w:rFonts w:ascii="Arial" w:hAnsi="Arial" w:cs="Arial"/>
                <w:bCs/>
                <w:color w:val="0F0D29" w:themeColor="text1"/>
                <w:sz w:val="20"/>
                <w:szCs w:val="20"/>
              </w:rPr>
              <w:t>,</w:t>
            </w:r>
            <w:r w:rsidRPr="00E62F0F">
              <w:rPr>
                <w:rFonts w:ascii="Arial" w:hAnsi="Arial" w:cs="Arial"/>
                <w:bCs/>
                <w:color w:val="0F0D29" w:themeColor="text1"/>
                <w:sz w:val="20"/>
                <w:szCs w:val="20"/>
              </w:rPr>
              <w:t xml:space="preserve"> o hromadném občanském řízení soudním</w:t>
            </w:r>
            <w:r>
              <w:rPr>
                <w:rFonts w:ascii="Arial" w:hAnsi="Arial" w:cs="Arial"/>
                <w:bCs/>
                <w:color w:val="0F0D29" w:themeColor="text1"/>
                <w:sz w:val="20"/>
                <w:szCs w:val="20"/>
              </w:rPr>
              <w:t xml:space="preserve"> a </w:t>
            </w:r>
            <w:r w:rsidRPr="00E62F0F">
              <w:rPr>
                <w:rFonts w:ascii="Arial" w:hAnsi="Arial" w:cs="Arial"/>
                <w:bCs/>
                <w:color w:val="0F0D29" w:themeColor="text1"/>
                <w:sz w:val="20"/>
                <w:szCs w:val="20"/>
              </w:rPr>
              <w:t>Zákon č. 180/2024 Sb., kterým se mění některé zákony v souvislosti s přijetím zákona o hromadném občanském řízení soudním</w:t>
            </w:r>
          </w:p>
          <w:p w14:paraId="3D6EC808" w14:textId="5CF904D9" w:rsidR="00E62F0F" w:rsidRPr="00EF02AC" w:rsidRDefault="00E62F0F" w:rsidP="00E62F0F">
            <w:pPr>
              <w:pStyle w:val="Odstavecseseznamem"/>
              <w:numPr>
                <w:ilvl w:val="0"/>
                <w:numId w:val="1"/>
              </w:numPr>
              <w:spacing w:line="360" w:lineRule="auto"/>
              <w:jc w:val="both"/>
              <w:rPr>
                <w:rFonts w:ascii="Arial" w:hAnsi="Arial" w:cs="Arial"/>
                <w:bCs/>
                <w:color w:val="0F0D29" w:themeColor="text1"/>
                <w:sz w:val="20"/>
                <w:szCs w:val="20"/>
              </w:rPr>
            </w:pPr>
            <w:r w:rsidRPr="00EF02AC">
              <w:rPr>
                <w:rFonts w:ascii="Arial" w:hAnsi="Arial" w:cs="Arial"/>
                <w:bCs/>
                <w:color w:val="0F0D29" w:themeColor="text1"/>
                <w:sz w:val="20"/>
                <w:szCs w:val="20"/>
              </w:rPr>
              <w:t>Vyhláška č. 186/2024 Sb., kterou se mění 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pozdějších předpisů</w:t>
            </w:r>
          </w:p>
          <w:p w14:paraId="2ACFF597" w14:textId="288F5B5C" w:rsidR="00E62F0F" w:rsidRPr="00CB213B" w:rsidRDefault="00E62F0F" w:rsidP="00CB213B">
            <w:pPr>
              <w:pStyle w:val="Odstavecseseznamem"/>
              <w:numPr>
                <w:ilvl w:val="0"/>
                <w:numId w:val="1"/>
              </w:numPr>
              <w:spacing w:line="360" w:lineRule="auto"/>
              <w:jc w:val="both"/>
              <w:rPr>
                <w:rFonts w:ascii="Arial" w:hAnsi="Arial" w:cs="Arial"/>
                <w:bCs/>
                <w:color w:val="0F0D29" w:themeColor="text1"/>
                <w:sz w:val="20"/>
                <w:szCs w:val="20"/>
              </w:rPr>
            </w:pPr>
            <w:r w:rsidRPr="00E561A7">
              <w:rPr>
                <w:rFonts w:ascii="Arial" w:hAnsi="Arial" w:cs="Arial"/>
                <w:bCs/>
                <w:color w:val="0F0D29" w:themeColor="text1"/>
                <w:sz w:val="20"/>
                <w:szCs w:val="20"/>
              </w:rPr>
              <w:t>Vyhláška č. 188/2024 Sb., kterou se mění vyhláška č. 260/2023 Sb., o stanovení podmínek zdravotní způsobilosti osob k provozování dráhy a drážní dopravy</w:t>
            </w:r>
          </w:p>
          <w:p w14:paraId="7710F41E" w14:textId="14C7BC1B" w:rsidR="006E29BA" w:rsidRPr="001F0367" w:rsidRDefault="006E29BA" w:rsidP="006E29BA">
            <w:pPr>
              <w:pStyle w:val="Odstavecseseznamem"/>
              <w:numPr>
                <w:ilvl w:val="0"/>
                <w:numId w:val="1"/>
              </w:numPr>
              <w:spacing w:line="360" w:lineRule="auto"/>
              <w:jc w:val="both"/>
              <w:rPr>
                <w:rFonts w:ascii="Arial" w:hAnsi="Arial" w:cs="Arial"/>
                <w:bCs/>
                <w:color w:val="0F0D29" w:themeColor="text1"/>
                <w:sz w:val="20"/>
                <w:szCs w:val="20"/>
              </w:rPr>
            </w:pPr>
            <w:r w:rsidRPr="001F0367">
              <w:rPr>
                <w:rFonts w:ascii="Arial" w:hAnsi="Arial" w:cs="Arial"/>
                <w:bCs/>
                <w:color w:val="0F0D29" w:themeColor="text1"/>
                <w:sz w:val="20"/>
                <w:szCs w:val="20"/>
              </w:rPr>
              <w:t>Nařízení vlády č. 202/2024 Sb., kterým se mění nařízení vlády č. 589/2006 Sb., kterým se stanoví odchylná úprava pracovní doby a doby odpočinku zaměstnanců v dopravě, ve znění pozdějších předpisů, a nařízení vlády č. 182/2007 Sb., o odchylné úpravě pracovní doby a doby odpočinku členů jednotky hasičského záchranného sboru podniku</w:t>
            </w:r>
          </w:p>
          <w:p w14:paraId="43A3D180" w14:textId="0AB49F12" w:rsidR="0014703E" w:rsidRPr="00CE157A" w:rsidRDefault="0014703E" w:rsidP="00CE157A">
            <w:pPr>
              <w:spacing w:line="360" w:lineRule="auto"/>
              <w:jc w:val="both"/>
              <w:rPr>
                <w:rFonts w:ascii="Arial" w:hAnsi="Arial" w:cs="Arial"/>
                <w:bCs/>
                <w:color w:val="0F0D29" w:themeColor="text1"/>
                <w:sz w:val="20"/>
                <w:szCs w:val="20"/>
              </w:rPr>
            </w:pPr>
            <w:r w:rsidRPr="00CE157A">
              <w:rPr>
                <w:rFonts w:ascii="Arial" w:hAnsi="Arial" w:cs="Arial"/>
                <w:color w:val="0F0D29" w:themeColor="text1"/>
                <w:sz w:val="24"/>
              </w:rPr>
              <w:t>II</w:t>
            </w:r>
            <w:r w:rsidRPr="00CE157A">
              <w:rPr>
                <w:rFonts w:ascii="Arial" w:hAnsi="Arial" w:cs="Arial"/>
                <w:color w:val="0F0D29" w:themeColor="text1"/>
                <w:szCs w:val="24"/>
              </w:rPr>
              <w:t xml:space="preserve">. </w:t>
            </w:r>
            <w:r w:rsidRPr="00CE157A">
              <w:rPr>
                <w:rFonts w:ascii="Arial" w:hAnsi="Arial" w:cs="Arial"/>
                <w:color w:val="0F0D29" w:themeColor="text1"/>
                <w:sz w:val="24"/>
                <w:szCs w:val="24"/>
              </w:rPr>
              <w:t>Připravovaná legislativa</w:t>
            </w:r>
          </w:p>
          <w:p w14:paraId="453FD427" w14:textId="18885FE7" w:rsidR="00C26ECF" w:rsidRPr="00CB31D9" w:rsidRDefault="0014703E" w:rsidP="00C86B4C">
            <w:pPr>
              <w:pStyle w:val="Bezmezer"/>
              <w:numPr>
                <w:ilvl w:val="0"/>
                <w:numId w:val="2"/>
              </w:numPr>
              <w:spacing w:line="360" w:lineRule="auto"/>
              <w:jc w:val="both"/>
              <w:rPr>
                <w:rFonts w:ascii="Arial" w:hAnsi="Arial" w:cs="Arial"/>
                <w:b/>
                <w:color w:val="0F0D29" w:themeColor="text1"/>
                <w:sz w:val="20"/>
                <w:szCs w:val="20"/>
              </w:rPr>
            </w:pPr>
            <w:r w:rsidRPr="00CB31D9">
              <w:rPr>
                <w:rFonts w:ascii="Arial" w:hAnsi="Arial" w:cs="Arial"/>
                <w:b/>
                <w:color w:val="0F0D29" w:themeColor="text1"/>
                <w:sz w:val="20"/>
                <w:szCs w:val="20"/>
              </w:rPr>
              <w:t>Výstupy</w:t>
            </w:r>
          </w:p>
          <w:p w14:paraId="1941B457" w14:textId="09EE0B6C" w:rsidR="004949C0" w:rsidRPr="00C82604" w:rsidRDefault="00C82604" w:rsidP="0057114A">
            <w:pPr>
              <w:pStyle w:val="Odstavecseseznamem"/>
              <w:numPr>
                <w:ilvl w:val="0"/>
                <w:numId w:val="1"/>
              </w:numPr>
              <w:spacing w:line="360" w:lineRule="auto"/>
              <w:jc w:val="both"/>
              <w:rPr>
                <w:rFonts w:asciiTheme="majorHAnsi" w:hAnsiTheme="majorHAnsi" w:cstheme="majorHAnsi"/>
                <w:bCs/>
                <w:i/>
                <w:iCs/>
                <w:color w:val="0F0D29" w:themeColor="text1"/>
                <w:sz w:val="20"/>
                <w:szCs w:val="20"/>
              </w:rPr>
            </w:pPr>
            <w:r w:rsidRPr="00C82604">
              <w:rPr>
                <w:rFonts w:ascii="Arial" w:hAnsi="Arial" w:cs="Arial"/>
                <w:bCs/>
                <w:i/>
                <w:iCs/>
                <w:color w:val="0F0D29" w:themeColor="text1"/>
                <w:sz w:val="20"/>
                <w:szCs w:val="20"/>
              </w:rPr>
              <w:t>Ve sledovaném období nebyly předloženy žádné analýzy dopadové legislativy.</w:t>
            </w:r>
          </w:p>
          <w:p w14:paraId="01051C8D" w14:textId="21465124" w:rsidR="00B2224C" w:rsidRPr="00B2224C" w:rsidRDefault="0014703E" w:rsidP="00572472">
            <w:pPr>
              <w:pStyle w:val="Bezmezer"/>
              <w:numPr>
                <w:ilvl w:val="0"/>
                <w:numId w:val="2"/>
              </w:numPr>
              <w:spacing w:line="360" w:lineRule="auto"/>
              <w:jc w:val="both"/>
              <w:rPr>
                <w:rFonts w:ascii="Arial" w:hAnsi="Arial" w:cs="Arial"/>
                <w:bCs/>
                <w:color w:val="0F0D29" w:themeColor="text1"/>
                <w:sz w:val="20"/>
                <w:szCs w:val="20"/>
              </w:rPr>
            </w:pPr>
            <w:r w:rsidRPr="00EA47DA">
              <w:rPr>
                <w:rFonts w:ascii="Arial" w:hAnsi="Arial" w:cs="Arial"/>
                <w:b/>
                <w:color w:val="0F0D29" w:themeColor="text1"/>
                <w:sz w:val="20"/>
                <w:szCs w:val="20"/>
              </w:rPr>
              <w:t>Zadání</w:t>
            </w:r>
          </w:p>
          <w:p w14:paraId="72DC1A2D" w14:textId="680124A0" w:rsidR="00CE157A" w:rsidRP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Návrh vyhlášky o personální bezpečnosti a o bezpečnostní způsobilosti</w:t>
            </w:r>
          </w:p>
          <w:p w14:paraId="00E517FA" w14:textId="77777777" w:rsidR="00CE157A" w:rsidRP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Návrh zákona, kterým se mění zákon č. 143/2001 Sb., o ochraně hospodářské soutěže</w:t>
            </w:r>
          </w:p>
          <w:p w14:paraId="6FD58D63" w14:textId="7F3F8965" w:rsidR="00CE157A" w:rsidRP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Návrh zákona, kterým se mění zákon č. 134/2016 Sb. o zadávání veřejných zakáze</w:t>
            </w:r>
            <w:r w:rsidR="007E3520">
              <w:rPr>
                <w:rFonts w:ascii="Arial" w:hAnsi="Arial" w:cs="Arial"/>
                <w:bCs/>
                <w:color w:val="0F0D29" w:themeColor="text1"/>
                <w:sz w:val="20"/>
                <w:szCs w:val="20"/>
              </w:rPr>
              <w:t>k</w:t>
            </w:r>
          </w:p>
          <w:p w14:paraId="6E9DF850" w14:textId="77777777" w:rsidR="00CE157A" w:rsidRP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Návrh zákona, kterým se mění některé zákony v souvislosti s přijetím zákona o účetnictví</w:t>
            </w:r>
          </w:p>
          <w:p w14:paraId="135ADAE5" w14:textId="290CB825" w:rsidR="00CE157A" w:rsidRDefault="00CE157A" w:rsidP="00CE157A">
            <w:pPr>
              <w:pStyle w:val="Odstavecseseznamem"/>
              <w:numPr>
                <w:ilvl w:val="0"/>
                <w:numId w:val="1"/>
              </w:numPr>
              <w:spacing w:line="360" w:lineRule="auto"/>
              <w:jc w:val="both"/>
              <w:rPr>
                <w:rFonts w:ascii="Arial" w:hAnsi="Arial" w:cs="Arial"/>
                <w:bCs/>
                <w:color w:val="0F0D29" w:themeColor="text1"/>
                <w:sz w:val="20"/>
                <w:szCs w:val="20"/>
              </w:rPr>
            </w:pPr>
            <w:r w:rsidRPr="00CE157A">
              <w:rPr>
                <w:rFonts w:ascii="Arial" w:hAnsi="Arial" w:cs="Arial"/>
                <w:bCs/>
                <w:color w:val="0F0D29" w:themeColor="text1"/>
                <w:sz w:val="20"/>
                <w:szCs w:val="20"/>
              </w:rPr>
              <w:t>Návrh zákona, kterým se mění zákon č. 167/2008 Sb., o předcházení ekologické újmě a o její nápravě a o změně některých zákonů, ve znění pozdějších předpisů, a další související zákony</w:t>
            </w:r>
          </w:p>
          <w:p w14:paraId="60C6B38B" w14:textId="77777777" w:rsidR="00CE157A" w:rsidRDefault="00CE157A" w:rsidP="00CE157A">
            <w:pPr>
              <w:pStyle w:val="Odstavecseseznamem"/>
              <w:spacing w:line="360" w:lineRule="auto"/>
              <w:ind w:left="786"/>
              <w:jc w:val="both"/>
              <w:rPr>
                <w:rFonts w:ascii="Arial" w:hAnsi="Arial" w:cs="Arial"/>
                <w:bCs/>
                <w:color w:val="0F0D29" w:themeColor="text1"/>
                <w:sz w:val="20"/>
                <w:szCs w:val="20"/>
              </w:rPr>
            </w:pPr>
          </w:p>
          <w:p w14:paraId="118937B2" w14:textId="1F8C347F" w:rsidR="0014703E" w:rsidRPr="00CE157A" w:rsidRDefault="0014703E" w:rsidP="00CE157A">
            <w:pPr>
              <w:spacing w:line="360" w:lineRule="auto"/>
              <w:jc w:val="both"/>
              <w:rPr>
                <w:rFonts w:ascii="Arial" w:hAnsi="Arial" w:cs="Arial"/>
                <w:bCs/>
                <w:color w:val="0F0D29" w:themeColor="text1"/>
                <w:sz w:val="20"/>
                <w:szCs w:val="20"/>
              </w:rPr>
            </w:pPr>
            <w:r w:rsidRPr="00CE157A">
              <w:rPr>
                <w:rFonts w:ascii="Arial" w:hAnsi="Arial" w:cs="Arial"/>
                <w:color w:val="0F0D29" w:themeColor="text1"/>
                <w:sz w:val="24"/>
                <w:szCs w:val="24"/>
              </w:rPr>
              <w:t>III. Judikatura a stanoviska</w:t>
            </w:r>
          </w:p>
          <w:p w14:paraId="3C100974" w14:textId="48A97DED" w:rsidR="007F1AD0" w:rsidRPr="000E11F2" w:rsidRDefault="000E11F2" w:rsidP="000D2DFA">
            <w:pPr>
              <w:pStyle w:val="Odstavecseseznamem"/>
              <w:numPr>
                <w:ilvl w:val="0"/>
                <w:numId w:val="1"/>
              </w:numPr>
              <w:spacing w:line="360" w:lineRule="auto"/>
              <w:jc w:val="both"/>
              <w:rPr>
                <w:rFonts w:ascii="Arial" w:hAnsi="Arial" w:cs="Arial"/>
                <w:color w:val="0F0D29" w:themeColor="text1"/>
                <w:sz w:val="20"/>
                <w:szCs w:val="20"/>
              </w:rPr>
            </w:pPr>
            <w:r w:rsidRPr="000E11F2">
              <w:rPr>
                <w:rFonts w:ascii="Arial" w:hAnsi="Arial" w:cs="Arial"/>
                <w:color w:val="0F0D29" w:themeColor="text1"/>
                <w:sz w:val="20"/>
                <w:szCs w:val="20"/>
              </w:rPr>
              <w:t>Nepřípustné započtení v době po rozhodnutí o úpadku dlužníka</w:t>
            </w:r>
          </w:p>
          <w:p w14:paraId="1DC6D603" w14:textId="7AA3AEA1" w:rsidR="000E11F2" w:rsidRDefault="000E11F2" w:rsidP="000D2DFA">
            <w:pPr>
              <w:pStyle w:val="Odstavecseseznamem"/>
              <w:numPr>
                <w:ilvl w:val="0"/>
                <w:numId w:val="1"/>
              </w:numPr>
              <w:spacing w:line="360" w:lineRule="auto"/>
              <w:jc w:val="both"/>
              <w:rPr>
                <w:rFonts w:ascii="Arial" w:hAnsi="Arial" w:cs="Arial"/>
                <w:color w:val="0F0D29" w:themeColor="text1"/>
                <w:sz w:val="20"/>
                <w:szCs w:val="20"/>
              </w:rPr>
            </w:pPr>
            <w:r w:rsidRPr="000E11F2">
              <w:rPr>
                <w:rFonts w:ascii="Arial" w:hAnsi="Arial" w:cs="Arial"/>
                <w:color w:val="0F0D29" w:themeColor="text1"/>
                <w:sz w:val="20"/>
                <w:szCs w:val="20"/>
              </w:rPr>
              <w:t>Pokyny k</w:t>
            </w:r>
            <w:r w:rsidR="009012F2">
              <w:rPr>
                <w:rFonts w:ascii="Arial" w:hAnsi="Arial" w:cs="Arial"/>
                <w:color w:val="0F0D29" w:themeColor="text1"/>
                <w:sz w:val="20"/>
                <w:szCs w:val="20"/>
              </w:rPr>
              <w:t> </w:t>
            </w:r>
            <w:r w:rsidRPr="000E11F2">
              <w:rPr>
                <w:rFonts w:ascii="Arial" w:hAnsi="Arial" w:cs="Arial"/>
                <w:color w:val="0F0D29" w:themeColor="text1"/>
                <w:sz w:val="20"/>
                <w:szCs w:val="20"/>
              </w:rPr>
              <w:t>BOZP</w:t>
            </w:r>
          </w:p>
          <w:p w14:paraId="14E46766" w14:textId="54B40BFC" w:rsidR="009012F2" w:rsidRPr="000E11F2" w:rsidRDefault="009012F2" w:rsidP="000D2DFA">
            <w:pPr>
              <w:pStyle w:val="Odstavecseseznamem"/>
              <w:numPr>
                <w:ilvl w:val="0"/>
                <w:numId w:val="1"/>
              </w:numPr>
              <w:spacing w:line="360" w:lineRule="auto"/>
              <w:jc w:val="both"/>
              <w:rPr>
                <w:rFonts w:ascii="Arial" w:hAnsi="Arial" w:cs="Arial"/>
                <w:color w:val="0F0D29" w:themeColor="text1"/>
                <w:sz w:val="20"/>
                <w:szCs w:val="20"/>
              </w:rPr>
            </w:pPr>
            <w:r>
              <w:rPr>
                <w:rFonts w:ascii="Arial" w:hAnsi="Arial" w:cs="Arial"/>
                <w:color w:val="0F0D29" w:themeColor="text1"/>
                <w:sz w:val="20"/>
                <w:szCs w:val="20"/>
              </w:rPr>
              <w:t>K zohlednění požadavků na kybernetickou bezpečnost při zadávání veřejné zakázky</w:t>
            </w:r>
          </w:p>
          <w:p w14:paraId="483B5352"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5F0CBA50" w14:textId="11123778" w:rsidR="00937E92" w:rsidRPr="00937E92" w:rsidRDefault="00937E92" w:rsidP="00937E92">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w:t>
            </w:r>
            <w:r>
              <w:rPr>
                <w:rFonts w:ascii="Arial" w:hAnsi="Arial" w:cs="Arial"/>
                <w:b/>
                <w:color w:val="FFFFFF" w:themeColor="background1"/>
                <w:sz w:val="28"/>
                <w:szCs w:val="20"/>
              </w:rPr>
              <w:t>latné předpisy vyhlášené ve Sbírce zákonů</w:t>
            </w:r>
          </w:p>
          <w:p w14:paraId="0741203E"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4D89EE57" w14:textId="6538CB9C" w:rsidR="003322DF" w:rsidRPr="006E530F" w:rsidRDefault="00771C0B" w:rsidP="003322DF">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71C0B">
              <w:rPr>
                <w:rStyle w:val="Hypertextovodkaz"/>
                <w:rFonts w:ascii="Arial" w:eastAsia="Times New Roman" w:hAnsi="Arial" w:cs="Arial"/>
                <w:b/>
                <w:bCs/>
                <w:color w:val="0F0D29" w:themeColor="text1"/>
                <w:kern w:val="36"/>
                <w:sz w:val="24"/>
                <w:szCs w:val="24"/>
                <w:u w:val="none"/>
                <w:lang w:eastAsia="cs-CZ"/>
              </w:rPr>
              <w:t>Vyhláška č. 140/2024 Sb., kterou se mění vyhláška č. 393/2020 Sb., o digitální technické mapě kraje, ve znění vyhlášky č. 186/2023 Sb.</w:t>
            </w:r>
            <w:r w:rsidR="00624340">
              <w:rPr>
                <w:rStyle w:val="Hypertextovodkaz"/>
                <w:rFonts w:ascii="Arial" w:eastAsia="Times New Roman" w:hAnsi="Arial" w:cs="Arial"/>
                <w:b/>
                <w:bCs/>
                <w:color w:val="0F0D29" w:themeColor="text1"/>
                <w:kern w:val="36"/>
                <w:sz w:val="24"/>
                <w:szCs w:val="24"/>
                <w:u w:val="none"/>
                <w:lang w:eastAsia="cs-CZ"/>
              </w:rPr>
              <w:pict w14:anchorId="34B2E1B7">
                <v:rect id="_x0000_i1025" style="width:0;height:1.5pt" o:hralign="center" o:hrstd="t" o:hr="t" fillcolor="#a0a0a0" stroked="f"/>
              </w:pict>
            </w:r>
          </w:p>
          <w:p w14:paraId="3F8956AC" w14:textId="3BC17F15" w:rsidR="003322DF" w:rsidRPr="001A0EC5" w:rsidRDefault="003322DF" w:rsidP="006B24A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sidR="00944D9E">
              <w:rPr>
                <w:rFonts w:asciiTheme="majorHAnsi" w:hAnsiTheme="majorHAnsi" w:cstheme="majorHAnsi"/>
                <w:color w:val="3B3B3B"/>
                <w:sz w:val="20"/>
                <w:szCs w:val="20"/>
              </w:rPr>
              <w:t xml:space="preserve">1. </w:t>
            </w:r>
            <w:r w:rsidR="006B24AE">
              <w:rPr>
                <w:rFonts w:asciiTheme="majorHAnsi" w:hAnsiTheme="majorHAnsi" w:cstheme="majorHAnsi"/>
                <w:color w:val="3B3B3B"/>
                <w:sz w:val="20"/>
                <w:szCs w:val="20"/>
              </w:rPr>
              <w:t>7</w:t>
            </w:r>
            <w:r w:rsidR="00944D9E">
              <w:rPr>
                <w:rFonts w:asciiTheme="majorHAnsi" w:hAnsiTheme="majorHAnsi" w:cstheme="majorHAnsi"/>
                <w:color w:val="3B3B3B"/>
                <w:sz w:val="20"/>
                <w:szCs w:val="20"/>
              </w:rPr>
              <w:t>. 2024</w:t>
            </w:r>
            <w:r w:rsidRPr="001A0EC5">
              <w:rPr>
                <w:rFonts w:asciiTheme="majorHAnsi" w:hAnsiTheme="majorHAnsi" w:cstheme="majorHAnsi"/>
                <w:color w:val="3B3B3B"/>
                <w:sz w:val="20"/>
                <w:szCs w:val="20"/>
              </w:rPr>
              <w:t xml:space="preserve"> </w:t>
            </w:r>
          </w:p>
          <w:p w14:paraId="12CEE0E0" w14:textId="77777777" w:rsidR="003322DF" w:rsidRPr="001A0EC5" w:rsidRDefault="003322DF" w:rsidP="003322D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12EDBCE" w14:textId="0254204A" w:rsidR="009C320A" w:rsidRPr="009C320A" w:rsidRDefault="009C320A" w:rsidP="009C320A">
            <w:pPr>
              <w:pStyle w:val="Bezmezer"/>
              <w:spacing w:line="360" w:lineRule="auto"/>
              <w:jc w:val="both"/>
              <w:rPr>
                <w:rFonts w:asciiTheme="majorHAnsi" w:eastAsia="Times New Roman" w:hAnsiTheme="majorHAnsi" w:cstheme="majorHAnsi"/>
                <w:color w:val="3B3B3B"/>
                <w:sz w:val="20"/>
                <w:szCs w:val="20"/>
                <w:lang w:eastAsia="cs-CZ"/>
              </w:rPr>
            </w:pPr>
            <w:r>
              <w:rPr>
                <w:rFonts w:asciiTheme="majorHAnsi" w:eastAsia="Times New Roman" w:hAnsiTheme="majorHAnsi" w:cstheme="majorHAnsi"/>
                <w:color w:val="3B3B3B"/>
                <w:sz w:val="20"/>
                <w:szCs w:val="20"/>
                <w:lang w:eastAsia="cs-CZ"/>
              </w:rPr>
              <w:t>N</w:t>
            </w:r>
            <w:r w:rsidRPr="009C320A">
              <w:rPr>
                <w:rFonts w:asciiTheme="majorHAnsi" w:eastAsia="Times New Roman" w:hAnsiTheme="majorHAnsi" w:cstheme="majorHAnsi"/>
                <w:color w:val="3B3B3B"/>
                <w:sz w:val="20"/>
                <w:szCs w:val="20"/>
                <w:lang w:eastAsia="cs-CZ"/>
              </w:rPr>
              <w:t>ovel</w:t>
            </w:r>
            <w:r>
              <w:rPr>
                <w:rFonts w:asciiTheme="majorHAnsi" w:eastAsia="Times New Roman" w:hAnsiTheme="majorHAnsi" w:cstheme="majorHAnsi"/>
                <w:color w:val="3B3B3B"/>
                <w:sz w:val="20"/>
                <w:szCs w:val="20"/>
                <w:lang w:eastAsia="cs-CZ"/>
              </w:rPr>
              <w:t>a</w:t>
            </w:r>
            <w:r w:rsidRPr="009C320A">
              <w:rPr>
                <w:rFonts w:asciiTheme="majorHAnsi" w:eastAsia="Times New Roman" w:hAnsiTheme="majorHAnsi" w:cstheme="majorHAnsi"/>
                <w:color w:val="3B3B3B"/>
                <w:sz w:val="20"/>
                <w:szCs w:val="20"/>
                <w:lang w:eastAsia="cs-CZ"/>
              </w:rPr>
              <w:t xml:space="preserve"> vyhlášky o digitální technické mapě kraje reaguje na skutečnost, že v průběhu procesu vytváření digitálních technických map krajů byla zjištěna potřeba některých dílčích změn a zpřesnění v oblasti obsahu digitální technické mapy kraje, které jsou nezbytné k tomu, aby nově vytvářené digitální technické mapy krajů plnily svůj účel. </w:t>
            </w:r>
          </w:p>
          <w:p w14:paraId="485FD481" w14:textId="77777777" w:rsidR="009C320A" w:rsidRPr="009C320A" w:rsidRDefault="009C320A" w:rsidP="009C320A">
            <w:pPr>
              <w:pStyle w:val="Bezmezer"/>
              <w:spacing w:line="360" w:lineRule="auto"/>
              <w:jc w:val="both"/>
              <w:rPr>
                <w:rFonts w:asciiTheme="majorHAnsi" w:eastAsia="Times New Roman" w:hAnsiTheme="majorHAnsi" w:cstheme="majorHAnsi"/>
                <w:color w:val="3B3B3B"/>
                <w:sz w:val="20"/>
                <w:szCs w:val="20"/>
                <w:lang w:eastAsia="cs-CZ"/>
              </w:rPr>
            </w:pPr>
          </w:p>
          <w:p w14:paraId="37F4523B" w14:textId="33038072" w:rsidR="009C320A" w:rsidRDefault="009C320A" w:rsidP="009C320A">
            <w:pPr>
              <w:spacing w:line="360" w:lineRule="auto"/>
              <w:jc w:val="both"/>
              <w:rPr>
                <w:rFonts w:asciiTheme="majorHAnsi" w:eastAsia="Times New Roman" w:hAnsiTheme="majorHAnsi" w:cstheme="majorHAnsi"/>
                <w:b w:val="0"/>
                <w:color w:val="3B3B3B"/>
                <w:sz w:val="20"/>
                <w:szCs w:val="20"/>
                <w:lang w:eastAsia="cs-CZ"/>
              </w:rPr>
            </w:pPr>
            <w:r w:rsidRPr="009C320A">
              <w:rPr>
                <w:rFonts w:asciiTheme="majorHAnsi" w:eastAsia="Times New Roman" w:hAnsiTheme="majorHAnsi" w:cstheme="majorHAnsi"/>
                <w:b w:val="0"/>
                <w:color w:val="3B3B3B"/>
                <w:sz w:val="20"/>
                <w:szCs w:val="20"/>
                <w:lang w:eastAsia="cs-CZ"/>
              </w:rPr>
              <w:t>Jedná se zejména o změnu způsobu vedení údajů o kritické infrastruktuře, kdy zneužití těchto údajů by mohlo mít vliv na bezpečnost státu. Není žádoucí, aby byly údaje o kritické infrastruktuře veřejně přístupné. Současně se ukázalo, že pro kritickou infrastrukturu není vhodné řešení vést údaje na základě dohod podle § 4b odst. 6 zákona č. 200/1994 Sb., o zeměměřictví a o změně a doplnění některých zákonů souvisejících s jeho zavedením, ve znění pozdějších předpisů (dále jen „zákon o zeměměřictví“), jak bylo původně předpokládáno. Ve spolupráci se zástupci provozovatelů kritické infrastruktury, Ministerstva pro místní rozvoj a Ministerstva průmyslu a obchodu bylo proto nalezeno jiné řešení, které je součástí návrhu novely vyhlášky.</w:t>
            </w:r>
          </w:p>
          <w:p w14:paraId="05C78F4B" w14:textId="599E4B92" w:rsidR="009C320A" w:rsidRDefault="009C320A" w:rsidP="009C320A">
            <w:pPr>
              <w:spacing w:line="360" w:lineRule="auto"/>
              <w:jc w:val="both"/>
              <w:rPr>
                <w:rFonts w:asciiTheme="majorHAnsi" w:eastAsia="Times New Roman" w:hAnsiTheme="majorHAnsi" w:cstheme="majorHAnsi"/>
                <w:b w:val="0"/>
                <w:color w:val="3B3B3B"/>
                <w:sz w:val="20"/>
                <w:szCs w:val="20"/>
                <w:lang w:eastAsia="cs-CZ"/>
              </w:rPr>
            </w:pPr>
          </w:p>
          <w:p w14:paraId="51C1B3DC" w14:textId="153068DA" w:rsidR="009C320A" w:rsidRPr="00D3550C" w:rsidRDefault="009C320A" w:rsidP="00D3550C">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D3550C">
              <w:rPr>
                <w:rFonts w:asciiTheme="majorHAnsi" w:eastAsia="Times New Roman" w:hAnsiTheme="majorHAnsi" w:cstheme="majorHAnsi"/>
                <w:b w:val="0"/>
                <w:i/>
                <w:iCs/>
                <w:color w:val="3B3B3B"/>
                <w:sz w:val="20"/>
                <w:szCs w:val="20"/>
                <w:lang w:eastAsia="cs-CZ"/>
              </w:rPr>
              <w:t xml:space="preserve">Z věcného posouzení FÚ vyplynulo, že novela má </w:t>
            </w:r>
            <w:r w:rsidRPr="00D3550C">
              <w:rPr>
                <w:i/>
                <w:iCs/>
              </w:rPr>
              <w:t xml:space="preserve"> </w:t>
            </w:r>
            <w:r w:rsidRPr="00D3550C">
              <w:rPr>
                <w:rFonts w:asciiTheme="majorHAnsi" w:eastAsia="Times New Roman" w:hAnsiTheme="majorHAnsi" w:cstheme="majorHAnsi"/>
                <w:b w:val="0"/>
                <w:i/>
                <w:iCs/>
                <w:color w:val="3B3B3B"/>
                <w:sz w:val="20"/>
                <w:szCs w:val="20"/>
                <w:lang w:eastAsia="cs-CZ"/>
              </w:rPr>
              <w:t>dopad do procesů společnosti a bude implementována v rámci projektu DTM.</w:t>
            </w:r>
          </w:p>
          <w:p w14:paraId="7B9BF2FD" w14:textId="77777777" w:rsidR="009C320A" w:rsidRDefault="009C320A" w:rsidP="009C320A">
            <w:pPr>
              <w:spacing w:line="360" w:lineRule="auto"/>
              <w:jc w:val="both"/>
              <w:rPr>
                <w:rFonts w:ascii="Arial" w:hAnsi="Arial" w:cs="Arial"/>
                <w:bCs/>
                <w:color w:val="0F0D29" w:themeColor="text1"/>
                <w:sz w:val="20"/>
                <w:szCs w:val="20"/>
              </w:rPr>
            </w:pPr>
          </w:p>
          <w:p w14:paraId="3FFF79D3" w14:textId="12549C2F" w:rsidR="00577D54" w:rsidRPr="006E530F" w:rsidRDefault="00577D54" w:rsidP="00577D5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577D54">
              <w:rPr>
                <w:rStyle w:val="Hypertextovodkaz"/>
                <w:rFonts w:ascii="Arial" w:eastAsia="Times New Roman" w:hAnsi="Arial" w:cs="Arial"/>
                <w:b/>
                <w:bCs/>
                <w:color w:val="0F0D29" w:themeColor="text1"/>
                <w:kern w:val="36"/>
                <w:sz w:val="24"/>
                <w:szCs w:val="24"/>
                <w:u w:val="none"/>
                <w:lang w:eastAsia="cs-CZ"/>
              </w:rPr>
              <w:t>Vyhláška č. 146/2024 Sb., o požadavcích na výstavbu</w:t>
            </w:r>
            <w:r w:rsidR="00624340">
              <w:rPr>
                <w:rStyle w:val="Hypertextovodkaz"/>
                <w:rFonts w:ascii="Arial" w:eastAsia="Times New Roman" w:hAnsi="Arial" w:cs="Arial"/>
                <w:b/>
                <w:bCs/>
                <w:color w:val="0F0D29" w:themeColor="text1"/>
                <w:kern w:val="36"/>
                <w:sz w:val="24"/>
                <w:szCs w:val="24"/>
                <w:u w:val="none"/>
                <w:lang w:eastAsia="cs-CZ"/>
              </w:rPr>
              <w:pict w14:anchorId="780702B3">
                <v:rect id="_x0000_i1026" style="width:0;height:1.5pt" o:hralign="center" o:hrstd="t" o:hr="t" fillcolor="#a0a0a0" stroked="f"/>
              </w:pict>
            </w:r>
          </w:p>
          <w:p w14:paraId="46F1639A" w14:textId="77777777" w:rsidR="00577D54" w:rsidRPr="001A0EC5" w:rsidRDefault="00577D54" w:rsidP="00577D5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6C305B00" w14:textId="77777777" w:rsidR="00577D54" w:rsidRDefault="00577D54" w:rsidP="00577D54">
            <w:pPr>
              <w:spacing w:line="360" w:lineRule="auto"/>
              <w:jc w:val="both"/>
              <w:rPr>
                <w:rFonts w:asciiTheme="majorHAnsi" w:eastAsia="Times New Roman" w:hAnsiTheme="majorHAnsi" w:cstheme="majorHAnsi"/>
                <w:b w:val="0"/>
                <w:color w:val="3B3B3B"/>
                <w:sz w:val="20"/>
                <w:szCs w:val="20"/>
                <w:lang w:eastAsia="cs-CZ"/>
              </w:rPr>
            </w:pPr>
          </w:p>
          <w:p w14:paraId="3EA4FD57" w14:textId="369093E4" w:rsidR="00577D54" w:rsidRDefault="00577D54" w:rsidP="00577D54">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Dne 12. 6. 2024 byla ve sbírce zákonů publikována nová vyhláška č. 146/2024 Sb., o požadavcích na výstavbu. </w:t>
            </w:r>
            <w:r w:rsidRPr="009C4D72">
              <w:rPr>
                <w:rStyle w:val="Hypertextovodkaz"/>
                <w:rFonts w:ascii="Arial" w:hAnsi="Arial" w:cs="Arial"/>
                <w:color w:val="auto"/>
                <w:sz w:val="20"/>
                <w:szCs w:val="20"/>
                <w:u w:val="none"/>
                <w:lang w:eastAsia="cs-CZ"/>
              </w:rPr>
              <w:t>K přípravě návrhu této vyhlášky bylo přistoupeno v souvislosti se schváleným zákonem č. 283/2021 Sb., stavební zákon, ve znění pozdějších předpisů (dále jen „stavební zákon“), a zákonem č. 284/2021 Sb., kterým se mění některé zákony v souvislosti s přijetím stavebního zákona, ve znění pozdějších předpisů.</w:t>
            </w:r>
          </w:p>
          <w:p w14:paraId="5A97BF1B" w14:textId="77777777" w:rsidR="00577D54" w:rsidRPr="009C4D72" w:rsidRDefault="00577D54" w:rsidP="00577D54">
            <w:pPr>
              <w:pStyle w:val="Bezmezer"/>
              <w:spacing w:line="360" w:lineRule="auto"/>
              <w:jc w:val="both"/>
              <w:rPr>
                <w:rStyle w:val="Hypertextovodkaz"/>
                <w:rFonts w:ascii="Arial" w:hAnsi="Arial" w:cs="Arial"/>
                <w:color w:val="auto"/>
                <w:sz w:val="20"/>
                <w:szCs w:val="20"/>
                <w:u w:val="none"/>
                <w:lang w:eastAsia="cs-CZ"/>
              </w:rPr>
            </w:pPr>
          </w:p>
          <w:p w14:paraId="0A8B5A1C" w14:textId="77777777" w:rsidR="00577D54" w:rsidRPr="009C4D72" w:rsidRDefault="00577D54" w:rsidP="00577D54">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Hlavní principy vyhlášky o požadavcích na výstavbu lze stručně charakterizovat následovně:</w:t>
            </w:r>
          </w:p>
          <w:p w14:paraId="7E040619" w14:textId="77777777" w:rsidR="00577D54" w:rsidRDefault="00577D54" w:rsidP="00577D54">
            <w:pPr>
              <w:pStyle w:val="Bezmezer"/>
              <w:numPr>
                <w:ilvl w:val="0"/>
                <w:numId w:val="33"/>
              </w:numP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 xml:space="preserve">maximálně komplexní řešení problematiky požadavků na výstavbu pro celé území České republiky, </w:t>
            </w:r>
          </w:p>
          <w:p w14:paraId="0F1565E1" w14:textId="77777777" w:rsidR="00577D54" w:rsidRDefault="00577D54" w:rsidP="00577D54">
            <w:pPr>
              <w:pStyle w:val="Bezmezer"/>
              <w:numPr>
                <w:ilvl w:val="0"/>
                <w:numId w:val="33"/>
              </w:numPr>
              <w:spacing w:line="360" w:lineRule="auto"/>
              <w:jc w:val="both"/>
              <w:rPr>
                <w:rStyle w:val="Hypertextovodkaz"/>
                <w:rFonts w:ascii="Arial" w:hAnsi="Arial" w:cs="Arial"/>
                <w:color w:val="auto"/>
                <w:sz w:val="20"/>
                <w:szCs w:val="20"/>
                <w:u w:val="none"/>
                <w:lang w:eastAsia="cs-CZ"/>
              </w:rPr>
            </w:pPr>
            <w:r w:rsidRPr="00577D54">
              <w:rPr>
                <w:rStyle w:val="Hypertextovodkaz"/>
                <w:rFonts w:ascii="Arial" w:hAnsi="Arial" w:cs="Arial"/>
                <w:color w:val="auto"/>
                <w:sz w:val="20"/>
                <w:szCs w:val="20"/>
                <w:u w:val="none"/>
                <w:lang w:eastAsia="cs-CZ"/>
              </w:rPr>
              <w:t>ucelenost požadavků na výstavbu v jednom právním předpisu,</w:t>
            </w:r>
          </w:p>
          <w:p w14:paraId="741C36EC" w14:textId="77777777" w:rsidR="00577D54" w:rsidRDefault="00577D54" w:rsidP="00577D54">
            <w:pPr>
              <w:pStyle w:val="Bezmezer"/>
              <w:numPr>
                <w:ilvl w:val="0"/>
                <w:numId w:val="33"/>
              </w:numPr>
              <w:spacing w:line="360" w:lineRule="auto"/>
              <w:jc w:val="both"/>
              <w:rPr>
                <w:rStyle w:val="Hypertextovodkaz"/>
                <w:rFonts w:ascii="Arial" w:hAnsi="Arial" w:cs="Arial"/>
                <w:color w:val="auto"/>
                <w:sz w:val="20"/>
                <w:szCs w:val="20"/>
                <w:u w:val="none"/>
                <w:lang w:eastAsia="cs-CZ"/>
              </w:rPr>
            </w:pPr>
            <w:r w:rsidRPr="00577D54">
              <w:rPr>
                <w:rStyle w:val="Hypertextovodkaz"/>
                <w:rFonts w:ascii="Arial" w:hAnsi="Arial" w:cs="Arial"/>
                <w:color w:val="auto"/>
                <w:sz w:val="20"/>
                <w:szCs w:val="20"/>
                <w:u w:val="none"/>
                <w:lang w:eastAsia="cs-CZ"/>
              </w:rPr>
              <w:t>zohlednění přístupnosti staveb pro osoby s omezenou schopností pohybu nebo orientace,</w:t>
            </w:r>
          </w:p>
          <w:p w14:paraId="46696D32" w14:textId="6A41A9CE" w:rsidR="00577D54" w:rsidRDefault="00577D54" w:rsidP="00577D54">
            <w:pPr>
              <w:pStyle w:val="Bezmezer"/>
              <w:numPr>
                <w:ilvl w:val="0"/>
                <w:numId w:val="33"/>
              </w:numPr>
              <w:spacing w:line="360" w:lineRule="auto"/>
              <w:jc w:val="both"/>
              <w:rPr>
                <w:rStyle w:val="Hypertextovodkaz"/>
                <w:rFonts w:ascii="Arial" w:hAnsi="Arial" w:cs="Arial"/>
                <w:color w:val="auto"/>
                <w:sz w:val="20"/>
                <w:szCs w:val="20"/>
                <w:u w:val="none"/>
                <w:lang w:eastAsia="cs-CZ"/>
              </w:rPr>
            </w:pPr>
            <w:r w:rsidRPr="00577D54">
              <w:rPr>
                <w:rStyle w:val="Hypertextovodkaz"/>
                <w:rFonts w:ascii="Arial" w:hAnsi="Arial" w:cs="Arial"/>
                <w:color w:val="auto"/>
                <w:sz w:val="20"/>
                <w:szCs w:val="20"/>
                <w:u w:val="none"/>
                <w:lang w:eastAsia="cs-CZ"/>
              </w:rPr>
              <w:t>řešení vazeb této vyhlášky na technické normy.</w:t>
            </w:r>
          </w:p>
          <w:p w14:paraId="7194F7EE" w14:textId="275DF120" w:rsidR="00577D54" w:rsidRDefault="00577D54" w:rsidP="00577D54">
            <w:pPr>
              <w:pStyle w:val="Bezmezer"/>
              <w:spacing w:line="360" w:lineRule="auto"/>
              <w:jc w:val="both"/>
              <w:rPr>
                <w:rStyle w:val="Hypertextovodkaz"/>
                <w:rFonts w:ascii="Arial" w:hAnsi="Arial" w:cs="Arial"/>
                <w:color w:val="auto"/>
                <w:sz w:val="20"/>
                <w:szCs w:val="20"/>
                <w:u w:val="none"/>
                <w:lang w:eastAsia="cs-CZ"/>
              </w:rPr>
            </w:pPr>
          </w:p>
          <w:p w14:paraId="2016E387" w14:textId="38D8E391" w:rsidR="00577D54" w:rsidRPr="00D3550C" w:rsidRDefault="00577D54" w:rsidP="00D3550C">
            <w:pPr>
              <w:pStyle w:val="Bezmezer"/>
              <w:shd w:val="clear" w:color="auto" w:fill="D9D9D9" w:themeFill="background1" w:themeFillShade="D9"/>
              <w:spacing w:line="360" w:lineRule="auto"/>
              <w:jc w:val="both"/>
              <w:rPr>
                <w:rStyle w:val="Hypertextovodkaz"/>
                <w:rFonts w:ascii="Arial" w:hAnsi="Arial" w:cs="Arial"/>
                <w:i/>
                <w:iCs/>
                <w:color w:val="auto"/>
                <w:sz w:val="20"/>
                <w:szCs w:val="20"/>
                <w:u w:val="none"/>
                <w:lang w:eastAsia="cs-CZ"/>
              </w:rPr>
            </w:pPr>
            <w:r w:rsidRPr="00D3550C">
              <w:rPr>
                <w:rStyle w:val="Hypertextovodkaz"/>
                <w:rFonts w:ascii="Arial" w:hAnsi="Arial" w:cs="Arial"/>
                <w:i/>
                <w:iCs/>
                <w:color w:val="auto"/>
                <w:sz w:val="20"/>
                <w:szCs w:val="20"/>
                <w:u w:val="none"/>
                <w:lang w:eastAsia="cs-CZ"/>
              </w:rPr>
              <w:t>Vyhláška je předmětem právního posouzení ze strany OPS.</w:t>
            </w:r>
          </w:p>
          <w:p w14:paraId="7D479827" w14:textId="77777777" w:rsidR="00577D54" w:rsidRDefault="00577D54" w:rsidP="009C320A">
            <w:pPr>
              <w:spacing w:line="360" w:lineRule="auto"/>
              <w:jc w:val="both"/>
              <w:rPr>
                <w:rFonts w:ascii="Arial" w:hAnsi="Arial" w:cs="Arial"/>
                <w:bCs/>
                <w:color w:val="0F0D29" w:themeColor="text1"/>
                <w:sz w:val="20"/>
                <w:szCs w:val="20"/>
              </w:rPr>
            </w:pPr>
          </w:p>
          <w:p w14:paraId="4CE5DB7B" w14:textId="6C53F2A1" w:rsidR="004C3095" w:rsidRPr="006E530F" w:rsidRDefault="004C3095" w:rsidP="004C3095">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4C3095">
              <w:rPr>
                <w:rStyle w:val="Hypertextovodkaz"/>
                <w:rFonts w:ascii="Arial" w:eastAsia="Times New Roman" w:hAnsi="Arial" w:cs="Arial"/>
                <w:b/>
                <w:bCs/>
                <w:color w:val="0F0D29" w:themeColor="text1"/>
                <w:kern w:val="36"/>
                <w:sz w:val="24"/>
                <w:szCs w:val="24"/>
                <w:u w:val="none"/>
                <w:lang w:eastAsia="cs-CZ"/>
              </w:rPr>
              <w:t>Vyhláška č. 156/2024 Sb., kterou se mění vyhláška č. 408/2015 Sb., o Pravidlech trhu s elektřinou, ve znění pozdějších předpisů, a vyhláška č. 6/2024 Sb., kterou se mění vyhláška č. 408/2015 Sb., o Pravidlech trhu s elektřinou, ve znění pozdějších předpisů, a vyhláška č. 490/2021 Sb., kterou se mění vyhláška č. 408/2015 Sb., o Pravidlech trhu s elektřinou, ve znění pozdějších předpisů</w:t>
            </w:r>
            <w:r w:rsidR="00624340">
              <w:rPr>
                <w:rStyle w:val="Hypertextovodkaz"/>
                <w:rFonts w:ascii="Arial" w:eastAsia="Times New Roman" w:hAnsi="Arial" w:cs="Arial"/>
                <w:b/>
                <w:bCs/>
                <w:color w:val="0F0D29" w:themeColor="text1"/>
                <w:kern w:val="36"/>
                <w:sz w:val="24"/>
                <w:szCs w:val="24"/>
                <w:u w:val="none"/>
                <w:lang w:eastAsia="cs-CZ"/>
              </w:rPr>
              <w:pict w14:anchorId="092433DA">
                <v:rect id="_x0000_i1027" style="width:0;height:1.5pt" o:hralign="center" o:hrstd="t" o:hr="t" fillcolor="#a0a0a0" stroked="f"/>
              </w:pict>
            </w:r>
          </w:p>
          <w:p w14:paraId="2921DABF" w14:textId="77777777" w:rsidR="004C3095" w:rsidRPr="001A0EC5" w:rsidRDefault="004C3095" w:rsidP="004C3095">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12D19BCB" w14:textId="77777777" w:rsidR="004C3095" w:rsidRPr="001A0EC5" w:rsidRDefault="004C3095" w:rsidP="004C3095">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E527C63" w14:textId="77777777" w:rsidR="004C3095" w:rsidRDefault="004C3095" w:rsidP="004C3095">
            <w:pPr>
              <w:spacing w:line="360" w:lineRule="auto"/>
              <w:jc w:val="both"/>
              <w:rPr>
                <w:rFonts w:asciiTheme="majorHAnsi" w:eastAsia="Times New Roman" w:hAnsiTheme="majorHAnsi" w:cstheme="majorHAnsi"/>
                <w:b w:val="0"/>
                <w:color w:val="3B3B3B"/>
                <w:sz w:val="20"/>
                <w:szCs w:val="20"/>
                <w:lang w:eastAsia="cs-CZ"/>
              </w:rPr>
            </w:pPr>
          </w:p>
          <w:p w14:paraId="0D7A99F1" w14:textId="38711E7F" w:rsidR="004C3095" w:rsidRDefault="004C3095" w:rsidP="004C3095">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Dne 17. 6. 2024 byla ve sbírce zákonů publikována </w:t>
            </w:r>
            <w:r w:rsidRPr="004C3095">
              <w:rPr>
                <w:rStyle w:val="Hypertextovodkaz"/>
                <w:rFonts w:ascii="Arial" w:hAnsi="Arial" w:cs="Arial"/>
                <w:color w:val="auto"/>
                <w:sz w:val="20"/>
                <w:szCs w:val="20"/>
                <w:u w:val="none"/>
                <w:lang w:eastAsia="cs-CZ"/>
              </w:rPr>
              <w:t>Vyhláška č. 156/2024 Sb., kterou se mění vyhláška č. 408/2015 Sb., o Pravidlech trhu s elektřinou, ve znění pozdějších předpisů, a vyhláška č. 6/2024 Sb., kterou se mění vyhláška č. 408/2015 Sb., o Pravidlech trhu s elektřinou, ve znění pozdějších předpisů, a vyhláška č. 490/2021 Sb., kterou se mění vyhláška č. 408/2015 Sb., o Pravidlech trhu s elektřinou, ve znění pozdějších předpisů</w:t>
            </w:r>
            <w:r w:rsidR="007623C4">
              <w:rPr>
                <w:rStyle w:val="Hypertextovodkaz"/>
                <w:rFonts w:ascii="Arial" w:hAnsi="Arial" w:cs="Arial"/>
                <w:color w:val="auto"/>
                <w:sz w:val="20"/>
                <w:szCs w:val="20"/>
                <w:u w:val="none"/>
                <w:lang w:eastAsia="cs-CZ"/>
              </w:rPr>
              <w:t>.</w:t>
            </w:r>
          </w:p>
          <w:p w14:paraId="337059F7" w14:textId="77777777" w:rsidR="004C3095" w:rsidRPr="009C4D72" w:rsidRDefault="004C3095" w:rsidP="004C3095">
            <w:pPr>
              <w:pStyle w:val="Bezmezer"/>
              <w:spacing w:line="360" w:lineRule="auto"/>
              <w:jc w:val="both"/>
              <w:rPr>
                <w:rStyle w:val="Hypertextovodkaz"/>
                <w:rFonts w:ascii="Arial" w:hAnsi="Arial" w:cs="Arial"/>
                <w:color w:val="auto"/>
                <w:sz w:val="20"/>
                <w:szCs w:val="20"/>
                <w:u w:val="none"/>
                <w:lang w:eastAsia="cs-CZ"/>
              </w:rPr>
            </w:pPr>
          </w:p>
          <w:p w14:paraId="6E3883C6" w14:textId="3DF56DAD" w:rsidR="004C3095" w:rsidRDefault="004C3095" w:rsidP="007623C4">
            <w:pPr>
              <w:shd w:val="clear" w:color="auto" w:fill="D9D9D9" w:themeFill="background1" w:themeFillShade="D9"/>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Z věcného posouzení OAE vyplynulo následující:</w:t>
            </w:r>
          </w:p>
          <w:p w14:paraId="49413DCF" w14:textId="3244092F" w:rsidR="004C3095" w:rsidRPr="00D3550C" w:rsidRDefault="004C3095" w:rsidP="007623C4">
            <w:pPr>
              <w:shd w:val="clear" w:color="auto" w:fill="D9D9D9" w:themeFill="background1" w:themeFillShade="D9"/>
              <w:spacing w:before="120" w:after="120" w:line="360" w:lineRule="auto"/>
              <w:jc w:val="both"/>
              <w:rPr>
                <w:rFonts w:ascii="Arial" w:hAnsi="Arial" w:cs="Arial"/>
                <w:b w:val="0"/>
                <w:bCs/>
                <w:i/>
                <w:iCs/>
                <w:color w:val="auto"/>
                <w:sz w:val="20"/>
                <w:szCs w:val="20"/>
              </w:rPr>
            </w:pPr>
            <w:r w:rsidRPr="00D3550C">
              <w:rPr>
                <w:rFonts w:ascii="Arial" w:hAnsi="Arial" w:cs="Arial"/>
                <w:b w:val="0"/>
                <w:bCs/>
                <w:i/>
                <w:iCs/>
                <w:color w:val="auto"/>
                <w:sz w:val="20"/>
                <w:szCs w:val="20"/>
              </w:rPr>
              <w:t>Vyhláška bude platit od 1.7.2024 do 31.12.2025. Tento návrh obsahuje však i odstavce, které zohledňují změnu tarifní struktury a přijdou v platnost od roku 1.1.2025, kdy přichází výrazná změna u odběru na vysokém napětí v podobě přechodu z platby za rezervovanou kapacitu k platbě za rezervovaný příkon. Rozsah této změny bude více jasný až bude známé Cenové rozhodnutí ERU pro rok 2025, které by mělo s touto změnou pracovat.</w:t>
            </w:r>
          </w:p>
          <w:p w14:paraId="66ED09D6" w14:textId="77210C17" w:rsidR="004C3095" w:rsidRPr="00D3550C" w:rsidRDefault="004C3095" w:rsidP="007623C4">
            <w:pPr>
              <w:shd w:val="clear" w:color="auto" w:fill="D9D9D9" w:themeFill="background1" w:themeFillShade="D9"/>
              <w:spacing w:before="120" w:after="120" w:line="360" w:lineRule="auto"/>
              <w:jc w:val="both"/>
              <w:rPr>
                <w:rFonts w:ascii="Arial" w:hAnsi="Arial" w:cs="Arial"/>
                <w:b w:val="0"/>
                <w:bCs/>
                <w:i/>
                <w:iCs/>
                <w:color w:val="auto"/>
                <w:sz w:val="20"/>
                <w:szCs w:val="20"/>
              </w:rPr>
            </w:pPr>
            <w:r w:rsidRPr="00D3550C">
              <w:rPr>
                <w:rFonts w:ascii="Arial" w:hAnsi="Arial" w:cs="Arial"/>
                <w:b w:val="0"/>
                <w:bCs/>
                <w:i/>
                <w:iCs/>
                <w:color w:val="auto"/>
                <w:sz w:val="20"/>
                <w:szCs w:val="20"/>
              </w:rPr>
              <w:t>Další důležitou změnou je sdílení elektřiny, které umožněno i pro společnost ČEPRO, vzhledem k výrobě z FVE. Pokud se společnost ČEPRO rozhodne pro využití sdílení elektřiny na jiných odběrných místech společnosti ČEPRO než na skladech s FVE, bude muset společnost postupovat dle této vyhlášky.</w:t>
            </w:r>
          </w:p>
          <w:p w14:paraId="2E9F3634" w14:textId="77777777" w:rsidR="004C3095" w:rsidRPr="00D3550C" w:rsidRDefault="004C3095" w:rsidP="007623C4">
            <w:pPr>
              <w:shd w:val="clear" w:color="auto" w:fill="D9D9D9" w:themeFill="background1" w:themeFillShade="D9"/>
              <w:spacing w:before="120" w:after="120" w:line="360" w:lineRule="auto"/>
              <w:jc w:val="both"/>
              <w:rPr>
                <w:rFonts w:ascii="Arial" w:hAnsi="Arial" w:cs="Arial"/>
                <w:b w:val="0"/>
                <w:bCs/>
                <w:i/>
                <w:iCs/>
                <w:color w:val="auto"/>
                <w:sz w:val="20"/>
                <w:szCs w:val="20"/>
              </w:rPr>
            </w:pPr>
            <w:r w:rsidRPr="00D3550C">
              <w:rPr>
                <w:rFonts w:ascii="Arial" w:hAnsi="Arial" w:cs="Arial"/>
                <w:b w:val="0"/>
                <w:bCs/>
                <w:i/>
                <w:iCs/>
                <w:color w:val="auto"/>
                <w:sz w:val="20"/>
                <w:szCs w:val="20"/>
              </w:rPr>
              <w:t>S ohledem na obsah vyhlášky, který začne platit od 1.7.2024 a na aktuální procesy společnosti ČEPRO, na oblast jeho podnikání a s ohledem na jeho současné obchodní a provozní aktivity nejsou nyní doporučována žádná implementační opatření do procesů naší společnosti. Je však doporučováno provést ekonomickou analýzu přínosu sdílení elektřiny pro ČEPRO, a to jako podklad pro rozhodnutí, že elektřina vyrobená v našich FVE, ale v daném odběrném místě nespotřebována (přetok), nebude vykupována obchodníkem, ale bude „přesměrována“ na naše další odběrná místa, kde bude moci být spotřebována.</w:t>
            </w:r>
          </w:p>
          <w:p w14:paraId="2CEF2C1A" w14:textId="77777777" w:rsidR="004C3095" w:rsidRPr="00D3550C" w:rsidRDefault="004C3095" w:rsidP="007623C4">
            <w:pPr>
              <w:shd w:val="clear" w:color="auto" w:fill="D9D9D9" w:themeFill="background1" w:themeFillShade="D9"/>
              <w:spacing w:before="120" w:after="120" w:line="360" w:lineRule="auto"/>
              <w:jc w:val="both"/>
              <w:rPr>
                <w:rFonts w:ascii="Arial" w:hAnsi="Arial" w:cs="Arial"/>
                <w:b w:val="0"/>
                <w:bCs/>
                <w:i/>
                <w:iCs/>
                <w:color w:val="auto"/>
                <w:sz w:val="20"/>
                <w:szCs w:val="20"/>
              </w:rPr>
            </w:pPr>
            <w:r w:rsidRPr="00D3550C">
              <w:rPr>
                <w:rFonts w:ascii="Arial" w:hAnsi="Arial" w:cs="Arial"/>
                <w:b w:val="0"/>
                <w:bCs/>
                <w:i/>
                <w:iCs/>
                <w:color w:val="auto"/>
                <w:sz w:val="20"/>
                <w:szCs w:val="20"/>
              </w:rPr>
              <w:t xml:space="preserve">S ohledem na změny platné od 1.1.2025 navrhujeme provést </w:t>
            </w:r>
            <w:proofErr w:type="spellStart"/>
            <w:r w:rsidRPr="00D3550C">
              <w:rPr>
                <w:rFonts w:ascii="Arial" w:hAnsi="Arial" w:cs="Arial"/>
                <w:b w:val="0"/>
                <w:bCs/>
                <w:i/>
                <w:iCs/>
                <w:color w:val="auto"/>
                <w:sz w:val="20"/>
                <w:szCs w:val="20"/>
              </w:rPr>
              <w:t>technicko-ekonomickou</w:t>
            </w:r>
            <w:proofErr w:type="spellEnd"/>
            <w:r w:rsidRPr="00D3550C">
              <w:rPr>
                <w:rFonts w:ascii="Arial" w:hAnsi="Arial" w:cs="Arial"/>
                <w:b w:val="0"/>
                <w:bCs/>
                <w:i/>
                <w:iCs/>
                <w:color w:val="auto"/>
                <w:sz w:val="20"/>
                <w:szCs w:val="20"/>
              </w:rPr>
              <w:t xml:space="preserve"> analýzu rezervovaných příkonů u odběrných míst ČEPRO na napěťové úrovni vysokého a velmi vysokého napětí. Tato analýza bude určena k optimalizaci nákladů na distribuci elektřiny po zveřejnění nového Cenového rozhodnuté ERÚ pro rok 2025.</w:t>
            </w:r>
          </w:p>
          <w:p w14:paraId="7C32F07F" w14:textId="77777777" w:rsidR="004C3095" w:rsidRDefault="004C3095" w:rsidP="009C320A">
            <w:pPr>
              <w:spacing w:line="360" w:lineRule="auto"/>
              <w:jc w:val="both"/>
              <w:rPr>
                <w:rFonts w:ascii="Arial" w:hAnsi="Arial" w:cs="Arial"/>
                <w:bCs/>
                <w:color w:val="0F0D29" w:themeColor="text1"/>
                <w:sz w:val="20"/>
                <w:szCs w:val="20"/>
              </w:rPr>
            </w:pPr>
          </w:p>
          <w:p w14:paraId="73B1C0E8" w14:textId="294BA0A3" w:rsidR="00CC0972" w:rsidRPr="006E530F" w:rsidRDefault="00D3550C" w:rsidP="00CC0972">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D3550C">
              <w:rPr>
                <w:rStyle w:val="Hypertextovodkaz"/>
                <w:rFonts w:ascii="Arial" w:eastAsia="Times New Roman" w:hAnsi="Arial" w:cs="Arial"/>
                <w:b/>
                <w:bCs/>
                <w:color w:val="0F0D29" w:themeColor="text1"/>
                <w:kern w:val="36"/>
                <w:sz w:val="24"/>
                <w:szCs w:val="24"/>
                <w:u w:val="none"/>
                <w:lang w:eastAsia="cs-CZ"/>
              </w:rPr>
              <w:lastRenderedPageBreak/>
              <w:t>Vyhláška č. 157/2024 Sb., o územně analytických podkladech, územně plánovací dokumentaci a jednotném standardu</w:t>
            </w:r>
            <w:r w:rsidR="00624340">
              <w:rPr>
                <w:rStyle w:val="Hypertextovodkaz"/>
                <w:rFonts w:ascii="Arial" w:eastAsia="Times New Roman" w:hAnsi="Arial" w:cs="Arial"/>
                <w:b/>
                <w:bCs/>
                <w:color w:val="0F0D29" w:themeColor="text1"/>
                <w:kern w:val="36"/>
                <w:sz w:val="24"/>
                <w:szCs w:val="24"/>
                <w:u w:val="none"/>
                <w:lang w:eastAsia="cs-CZ"/>
              </w:rPr>
              <w:pict w14:anchorId="0BDB35F5">
                <v:rect id="_x0000_i1028" style="width:0;height:1.5pt" o:hralign="center" o:hrstd="t" o:hr="t" fillcolor="#a0a0a0" stroked="f"/>
              </w:pict>
            </w:r>
          </w:p>
          <w:p w14:paraId="05427A5F" w14:textId="77777777" w:rsidR="00CC0972" w:rsidRPr="001A0EC5" w:rsidRDefault="00CC0972" w:rsidP="00CC0972">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304046FF" w14:textId="77777777" w:rsidR="00CC0972" w:rsidRDefault="00CC0972" w:rsidP="00CC0972">
            <w:pPr>
              <w:spacing w:line="360" w:lineRule="auto"/>
              <w:jc w:val="both"/>
              <w:rPr>
                <w:rFonts w:asciiTheme="majorHAnsi" w:eastAsia="Times New Roman" w:hAnsiTheme="majorHAnsi" w:cstheme="majorHAnsi"/>
                <w:b w:val="0"/>
                <w:color w:val="3B3B3B"/>
                <w:sz w:val="20"/>
                <w:szCs w:val="20"/>
                <w:lang w:eastAsia="cs-CZ"/>
              </w:rPr>
            </w:pPr>
          </w:p>
          <w:p w14:paraId="2CF066A6" w14:textId="479874AF" w:rsidR="00CC0972" w:rsidRDefault="00CC0972" w:rsidP="00CC0972">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Dne 1</w:t>
            </w:r>
            <w:r w:rsidR="00C701BD">
              <w:rPr>
                <w:rStyle w:val="Hypertextovodkaz"/>
                <w:rFonts w:ascii="Arial" w:hAnsi="Arial" w:cs="Arial"/>
                <w:color w:val="auto"/>
                <w:sz w:val="20"/>
                <w:szCs w:val="20"/>
                <w:u w:val="none"/>
                <w:lang w:eastAsia="cs-CZ"/>
              </w:rPr>
              <w:t>8</w:t>
            </w:r>
            <w:r>
              <w:rPr>
                <w:rStyle w:val="Hypertextovodkaz"/>
                <w:rFonts w:ascii="Arial" w:hAnsi="Arial" w:cs="Arial"/>
                <w:color w:val="auto"/>
                <w:sz w:val="20"/>
                <w:szCs w:val="20"/>
                <w:u w:val="none"/>
                <w:lang w:eastAsia="cs-CZ"/>
              </w:rPr>
              <w:t xml:space="preserve">. 6. 2024 byla ve sbírce zákonů publikována </w:t>
            </w:r>
            <w:r w:rsidRPr="004C3095">
              <w:rPr>
                <w:rStyle w:val="Hypertextovodkaz"/>
                <w:rFonts w:ascii="Arial" w:hAnsi="Arial" w:cs="Arial"/>
                <w:color w:val="auto"/>
                <w:sz w:val="20"/>
                <w:szCs w:val="20"/>
                <w:u w:val="none"/>
                <w:lang w:eastAsia="cs-CZ"/>
              </w:rPr>
              <w:t>Vyhláška č.</w:t>
            </w:r>
            <w:r w:rsidR="00C701BD" w:rsidRPr="00C701BD">
              <w:rPr>
                <w:rStyle w:val="Hypertextovodkaz"/>
                <w:rFonts w:ascii="Arial" w:hAnsi="Arial" w:cs="Arial"/>
                <w:color w:val="auto"/>
                <w:sz w:val="20"/>
                <w:szCs w:val="20"/>
                <w:u w:val="none"/>
                <w:lang w:eastAsia="cs-CZ"/>
              </w:rPr>
              <w:t xml:space="preserve"> 157/2024 Sb., o územně analytických podkladech, územně plánovací dokumentaci a jednotném standardu</w:t>
            </w:r>
            <w:r w:rsidR="00C701BD">
              <w:rPr>
                <w:rStyle w:val="Hypertextovodkaz"/>
                <w:rFonts w:ascii="Arial" w:hAnsi="Arial" w:cs="Arial"/>
                <w:color w:val="auto"/>
                <w:sz w:val="20"/>
                <w:szCs w:val="20"/>
                <w:u w:val="none"/>
                <w:lang w:eastAsia="cs-CZ"/>
              </w:rPr>
              <w:t>.</w:t>
            </w:r>
          </w:p>
          <w:p w14:paraId="534EC2ED" w14:textId="77777777" w:rsidR="00C701BD" w:rsidRDefault="00C701BD" w:rsidP="00C701BD">
            <w:pPr>
              <w:spacing w:line="360" w:lineRule="auto"/>
              <w:jc w:val="both"/>
              <w:rPr>
                <w:rFonts w:ascii="Arial" w:hAnsi="Arial" w:cs="Arial"/>
                <w:bCs/>
                <w:color w:val="0F0D29" w:themeColor="text1"/>
                <w:sz w:val="20"/>
                <w:szCs w:val="20"/>
              </w:rPr>
            </w:pPr>
          </w:p>
          <w:p w14:paraId="14386A32" w14:textId="3D9318AF" w:rsidR="00C701BD" w:rsidRDefault="00C701BD" w:rsidP="00CC0972">
            <w:pPr>
              <w:pStyle w:val="Bezmezer"/>
              <w:spacing w:line="360" w:lineRule="auto"/>
              <w:jc w:val="both"/>
              <w:rPr>
                <w:rStyle w:val="Hypertextovodkaz"/>
                <w:rFonts w:ascii="Arial" w:hAnsi="Arial" w:cs="Arial"/>
                <w:color w:val="auto"/>
                <w:sz w:val="20"/>
                <w:szCs w:val="20"/>
                <w:u w:val="none"/>
                <w:lang w:eastAsia="cs-CZ"/>
              </w:rPr>
            </w:pPr>
            <w:r w:rsidRPr="00944D9E">
              <w:rPr>
                <w:rStyle w:val="Hypertextovodkaz"/>
                <w:rFonts w:ascii="Arial" w:hAnsi="Arial" w:cs="Arial"/>
                <w:color w:val="auto"/>
                <w:sz w:val="20"/>
                <w:szCs w:val="20"/>
                <w:u w:val="none"/>
                <w:lang w:eastAsia="cs-CZ"/>
              </w:rPr>
              <w:t xml:space="preserve">V souladu se zákonným zmocněním vyhláška upravuje podrobný obsah jednotného standardu územně plánovací dokumentace, vymezení zastavěného území a územních opatření a strojově čitelný formát územní studie. Dále upravuje náležitosti obsahu územně analytických podkladů, rozsah a formu projednání územně analytických podkladů pro území kraje a jejich úplné aktualizace radou kraje, formáty údajů o území a podmínky jejich poskytování, náležitosti obsahu a strukturu zadání územně plánovací dokumentace (s výjimkou územního rozvojového plánu), resp. jejích změn. Oproti předchozí právní úpravě neupravuje obsah jednotlivých druhů územně plánovací dokumentace, jelikož ten je upraven přímo zákonem. </w:t>
            </w:r>
          </w:p>
          <w:p w14:paraId="1D9EC91F" w14:textId="77777777" w:rsidR="00CC0972" w:rsidRPr="009C4D72" w:rsidRDefault="00CC0972" w:rsidP="00CC0972">
            <w:pPr>
              <w:pStyle w:val="Bezmezer"/>
              <w:spacing w:line="360" w:lineRule="auto"/>
              <w:jc w:val="both"/>
              <w:rPr>
                <w:rStyle w:val="Hypertextovodkaz"/>
                <w:rFonts w:ascii="Arial" w:hAnsi="Arial" w:cs="Arial"/>
                <w:color w:val="auto"/>
                <w:sz w:val="20"/>
                <w:szCs w:val="20"/>
                <w:u w:val="none"/>
                <w:lang w:eastAsia="cs-CZ"/>
              </w:rPr>
            </w:pPr>
          </w:p>
          <w:p w14:paraId="5A139DA1" w14:textId="77777777" w:rsidR="00C701BD" w:rsidRDefault="00CC0972" w:rsidP="00CC0972">
            <w:pPr>
              <w:shd w:val="clear" w:color="auto" w:fill="D9D9D9" w:themeFill="background1" w:themeFillShade="D9"/>
              <w:spacing w:line="360" w:lineRule="auto"/>
              <w:jc w:val="both"/>
            </w:pPr>
            <w:r>
              <w:rPr>
                <w:rFonts w:ascii="Arial" w:hAnsi="Arial" w:cs="Arial"/>
                <w:bCs/>
                <w:color w:val="0F0D29" w:themeColor="text1"/>
                <w:sz w:val="20"/>
                <w:szCs w:val="20"/>
              </w:rPr>
              <w:t xml:space="preserve">Z věcného posouzení </w:t>
            </w:r>
            <w:r w:rsidR="00C701BD">
              <w:rPr>
                <w:rFonts w:ascii="Arial" w:hAnsi="Arial" w:cs="Arial"/>
                <w:bCs/>
                <w:color w:val="0F0D29" w:themeColor="text1"/>
                <w:sz w:val="20"/>
                <w:szCs w:val="20"/>
              </w:rPr>
              <w:t xml:space="preserve">FÚ </w:t>
            </w:r>
            <w:r>
              <w:rPr>
                <w:rFonts w:ascii="Arial" w:hAnsi="Arial" w:cs="Arial"/>
                <w:bCs/>
                <w:color w:val="0F0D29" w:themeColor="text1"/>
                <w:sz w:val="20"/>
                <w:szCs w:val="20"/>
              </w:rPr>
              <w:t>vyplynulo následující:</w:t>
            </w:r>
            <w:r w:rsidR="00C701BD">
              <w:t xml:space="preserve"> </w:t>
            </w:r>
          </w:p>
          <w:p w14:paraId="6F96636E" w14:textId="5995921F" w:rsidR="00CC0972" w:rsidRPr="00D3550C" w:rsidRDefault="00C701BD" w:rsidP="00CC0972">
            <w:pPr>
              <w:shd w:val="clear" w:color="auto" w:fill="D9D9D9" w:themeFill="background1" w:themeFillShade="D9"/>
              <w:spacing w:line="360" w:lineRule="auto"/>
              <w:jc w:val="both"/>
              <w:rPr>
                <w:rFonts w:ascii="Arial" w:hAnsi="Arial" w:cs="Arial"/>
                <w:b w:val="0"/>
                <w:i/>
                <w:iCs/>
                <w:color w:val="0F0D29" w:themeColor="text1"/>
                <w:sz w:val="20"/>
                <w:szCs w:val="20"/>
              </w:rPr>
            </w:pPr>
            <w:r w:rsidRPr="00D3550C">
              <w:rPr>
                <w:rFonts w:ascii="Arial" w:hAnsi="Arial" w:cs="Arial"/>
                <w:b w:val="0"/>
                <w:i/>
                <w:iCs/>
                <w:color w:val="0F0D29" w:themeColor="text1"/>
                <w:sz w:val="20"/>
                <w:szCs w:val="20"/>
              </w:rPr>
              <w:t>Vyhláška se bude týkat společnosti při zpracováni ÚAP. Požadované změny budou implementovány. Zodpovědnost za implementaci změn dle vyhlášky má OESN. Ke změně interní dokumentace nedojde. Žádný SW nebude ovlivněn.</w:t>
            </w:r>
          </w:p>
          <w:p w14:paraId="716A17BD" w14:textId="77777777" w:rsidR="00CC0972" w:rsidRDefault="00CC0972" w:rsidP="009C320A">
            <w:pPr>
              <w:spacing w:line="360" w:lineRule="auto"/>
              <w:jc w:val="both"/>
              <w:rPr>
                <w:rFonts w:ascii="Arial" w:hAnsi="Arial" w:cs="Arial"/>
                <w:bCs/>
                <w:color w:val="0F0D29" w:themeColor="text1"/>
                <w:sz w:val="20"/>
                <w:szCs w:val="20"/>
              </w:rPr>
            </w:pPr>
          </w:p>
          <w:p w14:paraId="665CC39F" w14:textId="1A444BC4" w:rsidR="008E5EAD" w:rsidRPr="006E530F" w:rsidRDefault="008E5EAD" w:rsidP="008E5EAD">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8E5EAD">
              <w:rPr>
                <w:rStyle w:val="Hypertextovodkaz"/>
                <w:rFonts w:ascii="Arial" w:eastAsia="Times New Roman" w:hAnsi="Arial" w:cs="Arial"/>
                <w:b/>
                <w:bCs/>
                <w:color w:val="0F0D29" w:themeColor="text1"/>
                <w:kern w:val="36"/>
                <w:sz w:val="24"/>
                <w:szCs w:val="24"/>
                <w:u w:val="none"/>
                <w:lang w:eastAsia="cs-CZ"/>
              </w:rPr>
              <w:t>Zákon č. 179/2024 Sb., o hromadném občanském řízení soudním a Zákon č. 180/2024 Sb., kterým se mění některé zákony v souvislosti s přijetím zákona o hromadném občanském řízení soudním</w:t>
            </w:r>
            <w:r w:rsidR="00624340">
              <w:rPr>
                <w:rStyle w:val="Hypertextovodkaz"/>
                <w:rFonts w:ascii="Arial" w:eastAsia="Times New Roman" w:hAnsi="Arial" w:cs="Arial"/>
                <w:b/>
                <w:bCs/>
                <w:color w:val="0F0D29" w:themeColor="text1"/>
                <w:kern w:val="36"/>
                <w:sz w:val="24"/>
                <w:szCs w:val="24"/>
                <w:u w:val="none"/>
                <w:lang w:eastAsia="cs-CZ"/>
              </w:rPr>
              <w:pict w14:anchorId="07DA8CEB">
                <v:rect id="_x0000_i1029" style="width:0;height:1.5pt" o:hralign="center" o:hrstd="t" o:hr="t" fillcolor="#a0a0a0" stroked="f"/>
              </w:pict>
            </w:r>
          </w:p>
          <w:p w14:paraId="0FC9AA11" w14:textId="77777777" w:rsidR="008E5EAD" w:rsidRPr="001A0EC5" w:rsidRDefault="008E5EAD" w:rsidP="008E5EAD">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468E18F4" w14:textId="77777777" w:rsidR="008E5EAD" w:rsidRPr="001A0EC5" w:rsidRDefault="008E5EAD" w:rsidP="008E5EAD">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54602D1E" w14:textId="77777777" w:rsidR="008E5EAD" w:rsidRDefault="008E5EAD" w:rsidP="008E5EAD">
            <w:pPr>
              <w:spacing w:line="360" w:lineRule="auto"/>
              <w:jc w:val="both"/>
              <w:rPr>
                <w:rFonts w:asciiTheme="majorHAnsi" w:eastAsia="Times New Roman" w:hAnsiTheme="majorHAnsi" w:cstheme="majorHAnsi"/>
                <w:b w:val="0"/>
                <w:color w:val="3B3B3B"/>
                <w:sz w:val="20"/>
                <w:szCs w:val="20"/>
                <w:lang w:eastAsia="cs-CZ"/>
              </w:rPr>
            </w:pPr>
          </w:p>
          <w:p w14:paraId="08AFC7FF" w14:textId="1904FC5F" w:rsidR="008E5EAD" w:rsidRDefault="008E5EAD" w:rsidP="008E5EAD">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Dne 24. 6. 2024 byl ve sbírce zákonů publikován</w:t>
            </w:r>
            <w:r>
              <w:t xml:space="preserve"> </w:t>
            </w:r>
            <w:r w:rsidRPr="008E5EAD">
              <w:rPr>
                <w:rStyle w:val="Hypertextovodkaz"/>
                <w:rFonts w:ascii="Arial" w:hAnsi="Arial" w:cs="Arial"/>
                <w:color w:val="auto"/>
                <w:sz w:val="20"/>
                <w:szCs w:val="20"/>
                <w:u w:val="none"/>
                <w:lang w:eastAsia="cs-CZ"/>
              </w:rPr>
              <w:t>Zákon č. 179/2024 Sb., o hromadném občanském řízení soudním a Zákon č. 180/2024 Sb., kterým se mění některé zákony v souvislosti s přijetím zákona o hromadném občanském řízení soudním</w:t>
            </w:r>
            <w:r>
              <w:rPr>
                <w:rStyle w:val="Hypertextovodkaz"/>
                <w:rFonts w:ascii="Arial" w:hAnsi="Arial" w:cs="Arial"/>
                <w:color w:val="auto"/>
                <w:sz w:val="20"/>
                <w:szCs w:val="20"/>
                <w:u w:val="none"/>
                <w:lang w:eastAsia="cs-CZ"/>
              </w:rPr>
              <w:t>.</w:t>
            </w:r>
          </w:p>
          <w:p w14:paraId="5A982AEC" w14:textId="77777777" w:rsidR="008E5EAD" w:rsidRDefault="008E5EAD" w:rsidP="008E5EAD">
            <w:pPr>
              <w:spacing w:line="360" w:lineRule="auto"/>
              <w:jc w:val="both"/>
              <w:rPr>
                <w:rFonts w:ascii="Arial" w:hAnsi="Arial" w:cs="Arial"/>
                <w:bCs/>
                <w:color w:val="0F0D29" w:themeColor="text1"/>
                <w:sz w:val="20"/>
                <w:szCs w:val="20"/>
              </w:rPr>
            </w:pPr>
          </w:p>
          <w:p w14:paraId="72C76883" w14:textId="6AD44ADA" w:rsidR="008E5EAD" w:rsidRDefault="008E5EAD" w:rsidP="008E5EAD">
            <w:pPr>
              <w:pStyle w:val="Bezmezer"/>
              <w:spacing w:line="360" w:lineRule="auto"/>
              <w:jc w:val="both"/>
              <w:rPr>
                <w:rStyle w:val="Hypertextovodkaz"/>
                <w:rFonts w:ascii="Arial" w:hAnsi="Arial" w:cs="Arial"/>
                <w:color w:val="auto"/>
                <w:sz w:val="20"/>
                <w:szCs w:val="20"/>
                <w:u w:val="none"/>
                <w:lang w:eastAsia="cs-CZ"/>
              </w:rPr>
            </w:pPr>
            <w:r w:rsidRPr="008E5EAD">
              <w:rPr>
                <w:rStyle w:val="Hypertextovodkaz"/>
                <w:rFonts w:ascii="Arial" w:hAnsi="Arial" w:cs="Arial"/>
                <w:color w:val="auto"/>
                <w:sz w:val="20"/>
                <w:szCs w:val="20"/>
                <w:u w:val="none"/>
                <w:lang w:eastAsia="cs-CZ"/>
              </w:rPr>
              <w:t>Ústředním cílem zákona o hromadném řízení je zavedení efektivní a hospodárné kolektivní ochrany individuálních práv spotřebitelů, která vznikla jako reakce na dlouhodobou společenskou potřebu, na kterou dosavadní právní úprava reaguje pouze minimálně a nedostatečně. Zákon by měl umožnit v jednom řízení projednat podobné nároky vyplývající z právních poměrů mezi podnikatelem a spotřebiteli, čímž budou reflektovány potřeby justice i občanů a bude reagováno na poptávku vyvolanou společenským vývojem.</w:t>
            </w:r>
          </w:p>
          <w:p w14:paraId="0F23E4BF" w14:textId="77777777" w:rsidR="008E5EAD" w:rsidRPr="009C4D72" w:rsidRDefault="008E5EAD" w:rsidP="008E5EAD">
            <w:pPr>
              <w:pStyle w:val="Bezmezer"/>
              <w:spacing w:line="360" w:lineRule="auto"/>
              <w:jc w:val="both"/>
              <w:rPr>
                <w:rStyle w:val="Hypertextovodkaz"/>
                <w:rFonts w:ascii="Arial" w:hAnsi="Arial" w:cs="Arial"/>
                <w:color w:val="auto"/>
                <w:sz w:val="20"/>
                <w:szCs w:val="20"/>
                <w:u w:val="none"/>
                <w:lang w:eastAsia="cs-CZ"/>
              </w:rPr>
            </w:pPr>
          </w:p>
          <w:p w14:paraId="67015197" w14:textId="103A6B48" w:rsidR="008E5EAD" w:rsidRPr="00D3550C" w:rsidRDefault="008E5EAD" w:rsidP="008E5EAD">
            <w:pPr>
              <w:shd w:val="clear" w:color="auto" w:fill="D9D9D9" w:themeFill="background1" w:themeFillShade="D9"/>
              <w:spacing w:line="360" w:lineRule="auto"/>
              <w:jc w:val="both"/>
              <w:rPr>
                <w:rFonts w:ascii="Arial" w:hAnsi="Arial" w:cs="Arial"/>
                <w:b w:val="0"/>
                <w:i/>
                <w:iCs/>
                <w:color w:val="0F0D29" w:themeColor="text1"/>
                <w:sz w:val="20"/>
                <w:szCs w:val="20"/>
              </w:rPr>
            </w:pPr>
            <w:r w:rsidRPr="00D3550C">
              <w:rPr>
                <w:rFonts w:ascii="Arial" w:hAnsi="Arial" w:cs="Arial"/>
                <w:b w:val="0"/>
                <w:i/>
                <w:iCs/>
                <w:color w:val="0F0D29" w:themeColor="text1"/>
                <w:sz w:val="20"/>
                <w:szCs w:val="20"/>
              </w:rPr>
              <w:t>Na vědomí POŘ.</w:t>
            </w:r>
          </w:p>
          <w:p w14:paraId="68014860" w14:textId="77777777" w:rsidR="006C1244" w:rsidRDefault="006C1244" w:rsidP="00EF02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3298B993" w14:textId="74291B17" w:rsidR="00EF02AC" w:rsidRPr="006E530F" w:rsidRDefault="00EF02AC" w:rsidP="00EF02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F02AC">
              <w:rPr>
                <w:rStyle w:val="Hypertextovodkaz"/>
                <w:rFonts w:ascii="Arial" w:eastAsia="Times New Roman" w:hAnsi="Arial" w:cs="Arial"/>
                <w:b/>
                <w:bCs/>
                <w:color w:val="0F0D29" w:themeColor="text1"/>
                <w:kern w:val="36"/>
                <w:sz w:val="24"/>
                <w:szCs w:val="24"/>
                <w:u w:val="none"/>
                <w:lang w:eastAsia="cs-CZ"/>
              </w:rPr>
              <w:t>Vyhláška č. 186/2024 Sb., kterou se mění 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pozdějších předpisů</w:t>
            </w:r>
            <w:r w:rsidR="00624340">
              <w:rPr>
                <w:rStyle w:val="Hypertextovodkaz"/>
                <w:rFonts w:ascii="Arial" w:eastAsia="Times New Roman" w:hAnsi="Arial" w:cs="Arial"/>
                <w:b/>
                <w:bCs/>
                <w:color w:val="0F0D29" w:themeColor="text1"/>
                <w:kern w:val="36"/>
                <w:sz w:val="24"/>
                <w:szCs w:val="24"/>
                <w:u w:val="none"/>
                <w:lang w:eastAsia="cs-CZ"/>
              </w:rPr>
              <w:pict w14:anchorId="1EAA23B5">
                <v:rect id="_x0000_i1030" style="width:0;height:1.5pt" o:hralign="center" o:hrstd="t" o:hr="t" fillcolor="#a0a0a0" stroked="f"/>
              </w:pict>
            </w:r>
          </w:p>
          <w:p w14:paraId="28141053" w14:textId="77777777" w:rsidR="00EF02AC" w:rsidRPr="001A0EC5" w:rsidRDefault="00EF02AC" w:rsidP="00EF02AC">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24C312CD" w14:textId="77777777" w:rsidR="00EF02AC" w:rsidRPr="001A0EC5" w:rsidRDefault="00EF02AC" w:rsidP="00EF02AC">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AB5035C" w14:textId="77777777" w:rsidR="00EF02AC" w:rsidRDefault="00EF02AC" w:rsidP="00EF02AC">
            <w:pPr>
              <w:spacing w:line="360" w:lineRule="auto"/>
              <w:jc w:val="both"/>
              <w:rPr>
                <w:rFonts w:asciiTheme="majorHAnsi" w:eastAsia="Times New Roman" w:hAnsiTheme="majorHAnsi" w:cstheme="majorHAnsi"/>
                <w:b w:val="0"/>
                <w:color w:val="3B3B3B"/>
                <w:sz w:val="20"/>
                <w:szCs w:val="20"/>
                <w:lang w:eastAsia="cs-CZ"/>
              </w:rPr>
            </w:pPr>
          </w:p>
          <w:p w14:paraId="3D4EC5CD" w14:textId="7A0B996E" w:rsidR="00EF02AC" w:rsidRDefault="00EF02AC" w:rsidP="00EF02AC">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Dne 2</w:t>
            </w:r>
            <w:r w:rsidR="00333BFC">
              <w:rPr>
                <w:rStyle w:val="Hypertextovodkaz"/>
                <w:rFonts w:ascii="Arial" w:hAnsi="Arial" w:cs="Arial"/>
                <w:color w:val="auto"/>
                <w:sz w:val="20"/>
                <w:szCs w:val="20"/>
                <w:u w:val="none"/>
                <w:lang w:eastAsia="cs-CZ"/>
              </w:rPr>
              <w:t>5</w:t>
            </w:r>
            <w:r>
              <w:rPr>
                <w:rStyle w:val="Hypertextovodkaz"/>
                <w:rFonts w:ascii="Arial" w:hAnsi="Arial" w:cs="Arial"/>
                <w:color w:val="auto"/>
                <w:sz w:val="20"/>
                <w:szCs w:val="20"/>
                <w:u w:val="none"/>
                <w:lang w:eastAsia="cs-CZ"/>
              </w:rPr>
              <w:t>. 6. 2024 byl</w:t>
            </w:r>
            <w:r w:rsidR="00333BFC">
              <w:rPr>
                <w:rStyle w:val="Hypertextovodkaz"/>
                <w:rFonts w:ascii="Arial" w:hAnsi="Arial" w:cs="Arial"/>
                <w:color w:val="auto"/>
                <w:sz w:val="20"/>
                <w:szCs w:val="20"/>
                <w:u w:val="none"/>
                <w:lang w:eastAsia="cs-CZ"/>
              </w:rPr>
              <w:t>a</w:t>
            </w:r>
            <w:r>
              <w:rPr>
                <w:rStyle w:val="Hypertextovodkaz"/>
                <w:rFonts w:ascii="Arial" w:hAnsi="Arial" w:cs="Arial"/>
                <w:color w:val="auto"/>
                <w:sz w:val="20"/>
                <w:szCs w:val="20"/>
                <w:u w:val="none"/>
                <w:lang w:eastAsia="cs-CZ"/>
              </w:rPr>
              <w:t xml:space="preserve"> ve sbírce zákonů publikován</w:t>
            </w:r>
            <w:r w:rsidR="00333BFC">
              <w:rPr>
                <w:rStyle w:val="Hypertextovodkaz"/>
                <w:rFonts w:ascii="Arial" w:hAnsi="Arial" w:cs="Arial"/>
                <w:color w:val="auto"/>
                <w:sz w:val="20"/>
                <w:szCs w:val="20"/>
                <w:u w:val="none"/>
                <w:lang w:eastAsia="cs-CZ"/>
              </w:rPr>
              <w:t xml:space="preserve">a </w:t>
            </w:r>
            <w:r w:rsidR="00333BFC" w:rsidRPr="00333BFC">
              <w:rPr>
                <w:rStyle w:val="Hypertextovodkaz"/>
                <w:rFonts w:ascii="Arial" w:hAnsi="Arial" w:cs="Arial"/>
                <w:color w:val="auto"/>
                <w:sz w:val="20"/>
                <w:szCs w:val="20"/>
                <w:u w:val="none"/>
                <w:lang w:eastAsia="cs-CZ"/>
              </w:rPr>
              <w:t>Vyhláška č. 186/2024 Sb., kterou se mění 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pozdějších předpisů</w:t>
            </w:r>
            <w:r w:rsidR="00333BFC">
              <w:rPr>
                <w:rStyle w:val="Hypertextovodkaz"/>
                <w:rFonts w:ascii="Arial" w:hAnsi="Arial" w:cs="Arial"/>
                <w:color w:val="auto"/>
                <w:sz w:val="20"/>
                <w:szCs w:val="20"/>
                <w:u w:val="none"/>
                <w:lang w:eastAsia="cs-CZ"/>
              </w:rPr>
              <w:t>.</w:t>
            </w:r>
          </w:p>
          <w:p w14:paraId="5C056F40" w14:textId="77777777" w:rsidR="00333BFC" w:rsidRDefault="00333BFC" w:rsidP="00EF02AC">
            <w:pPr>
              <w:pStyle w:val="Bezmezer"/>
              <w:spacing w:line="360" w:lineRule="auto"/>
              <w:jc w:val="both"/>
              <w:rPr>
                <w:rStyle w:val="Hypertextovodkaz"/>
                <w:rFonts w:ascii="Arial" w:hAnsi="Arial" w:cs="Arial"/>
                <w:color w:val="auto"/>
                <w:sz w:val="20"/>
                <w:szCs w:val="20"/>
                <w:u w:val="none"/>
                <w:lang w:eastAsia="cs-CZ"/>
              </w:rPr>
            </w:pPr>
          </w:p>
          <w:p w14:paraId="092CE33A" w14:textId="2462C0CD" w:rsidR="00EF02AC" w:rsidRPr="00D3550C" w:rsidRDefault="00333BFC" w:rsidP="00EF02AC">
            <w:pPr>
              <w:shd w:val="clear" w:color="auto" w:fill="D9D9D9" w:themeFill="background1" w:themeFillShade="D9"/>
              <w:spacing w:line="360" w:lineRule="auto"/>
              <w:jc w:val="both"/>
              <w:rPr>
                <w:rFonts w:ascii="Arial" w:hAnsi="Arial" w:cs="Arial"/>
                <w:b w:val="0"/>
                <w:i/>
                <w:iCs/>
                <w:color w:val="0F0D29" w:themeColor="text1"/>
                <w:sz w:val="20"/>
                <w:szCs w:val="20"/>
              </w:rPr>
            </w:pPr>
            <w:r w:rsidRPr="00D3550C">
              <w:rPr>
                <w:rFonts w:ascii="Arial" w:hAnsi="Arial" w:cs="Arial"/>
                <w:b w:val="0"/>
                <w:i/>
                <w:iCs/>
                <w:color w:val="0F0D29" w:themeColor="text1"/>
                <w:sz w:val="20"/>
                <w:szCs w:val="20"/>
              </w:rPr>
              <w:t xml:space="preserve">Z věcného posouzení normy ze strany PÚ vyplynula nutnost provést revizi interní dokumentace, kterou zpracuje </w:t>
            </w:r>
            <w:proofErr w:type="spellStart"/>
            <w:r w:rsidRPr="00D3550C">
              <w:rPr>
                <w:rFonts w:ascii="Arial" w:hAnsi="Arial" w:cs="Arial"/>
                <w:b w:val="0"/>
                <w:i/>
                <w:iCs/>
                <w:color w:val="0F0D29" w:themeColor="text1"/>
                <w:sz w:val="20"/>
                <w:szCs w:val="20"/>
              </w:rPr>
              <w:t>zpracuje</w:t>
            </w:r>
            <w:proofErr w:type="spellEnd"/>
            <w:r w:rsidRPr="00D3550C">
              <w:rPr>
                <w:rFonts w:ascii="Arial" w:hAnsi="Arial" w:cs="Arial"/>
                <w:b w:val="0"/>
                <w:i/>
                <w:iCs/>
                <w:color w:val="0F0D29" w:themeColor="text1"/>
                <w:sz w:val="20"/>
                <w:szCs w:val="20"/>
              </w:rPr>
              <w:t xml:space="preserve"> Specialista ŽD ve spolupráci s Provozovatelem dráhy a drážní dopravy, </w:t>
            </w:r>
            <w:r w:rsidR="00D3550C" w:rsidRPr="00D3550C">
              <w:rPr>
                <w:rFonts w:ascii="Arial" w:hAnsi="Arial" w:cs="Arial"/>
                <w:b w:val="0"/>
                <w:i/>
                <w:iCs/>
                <w:color w:val="0F0D29" w:themeColor="text1"/>
                <w:sz w:val="20"/>
                <w:szCs w:val="20"/>
              </w:rPr>
              <w:t>společnost</w:t>
            </w:r>
            <w:r w:rsidRPr="00D3550C">
              <w:rPr>
                <w:rFonts w:ascii="Arial" w:hAnsi="Arial" w:cs="Arial"/>
                <w:b w:val="0"/>
                <w:i/>
                <w:iCs/>
                <w:color w:val="0F0D29" w:themeColor="text1"/>
                <w:sz w:val="20"/>
                <w:szCs w:val="20"/>
              </w:rPr>
              <w:t xml:space="preserve"> STENO, v.o.s.</w:t>
            </w:r>
          </w:p>
          <w:p w14:paraId="51F6E5CB" w14:textId="77777777" w:rsidR="008E5EAD" w:rsidRDefault="008E5EAD" w:rsidP="008E5EAD">
            <w:pPr>
              <w:spacing w:line="360" w:lineRule="auto"/>
              <w:jc w:val="both"/>
              <w:rPr>
                <w:rFonts w:ascii="Arial" w:hAnsi="Arial" w:cs="Arial"/>
                <w:bCs/>
                <w:color w:val="0F0D29" w:themeColor="text1"/>
                <w:sz w:val="20"/>
                <w:szCs w:val="20"/>
              </w:rPr>
            </w:pPr>
          </w:p>
          <w:p w14:paraId="4671BC8C" w14:textId="144A6A1F" w:rsidR="00E561A7" w:rsidRPr="006E530F" w:rsidRDefault="00E561A7" w:rsidP="00E561A7">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561A7">
              <w:rPr>
                <w:rStyle w:val="Hypertextovodkaz"/>
                <w:rFonts w:ascii="Arial" w:eastAsia="Times New Roman" w:hAnsi="Arial" w:cs="Arial"/>
                <w:b/>
                <w:bCs/>
                <w:color w:val="0F0D29" w:themeColor="text1"/>
                <w:kern w:val="36"/>
                <w:sz w:val="24"/>
                <w:szCs w:val="24"/>
                <w:u w:val="none"/>
                <w:lang w:eastAsia="cs-CZ"/>
              </w:rPr>
              <w:t>Vyhláška č. 188/2024 Sb., kterou se mění vyhláška č. 260/2023 Sb., o stanovení podmínek zdravotní způsobilosti osob k provozování dráhy a drážní dopravy</w:t>
            </w:r>
            <w:r w:rsidRPr="00EF02AC">
              <w:rPr>
                <w:rStyle w:val="Hypertextovodkaz"/>
                <w:rFonts w:ascii="Arial" w:eastAsia="Times New Roman" w:hAnsi="Arial" w:cs="Arial"/>
                <w:b/>
                <w:bCs/>
                <w:color w:val="0F0D29" w:themeColor="text1"/>
                <w:kern w:val="36"/>
                <w:sz w:val="24"/>
                <w:szCs w:val="24"/>
                <w:u w:val="none"/>
                <w:lang w:eastAsia="cs-CZ"/>
              </w:rPr>
              <w:t xml:space="preserve"> </w:t>
            </w:r>
            <w:r w:rsidR="00624340">
              <w:rPr>
                <w:rStyle w:val="Hypertextovodkaz"/>
                <w:rFonts w:ascii="Arial" w:eastAsia="Times New Roman" w:hAnsi="Arial" w:cs="Arial"/>
                <w:b/>
                <w:bCs/>
                <w:color w:val="0F0D29" w:themeColor="text1"/>
                <w:kern w:val="36"/>
                <w:sz w:val="24"/>
                <w:szCs w:val="24"/>
                <w:u w:val="none"/>
                <w:lang w:eastAsia="cs-CZ"/>
              </w:rPr>
              <w:pict w14:anchorId="084B2908">
                <v:rect id="_x0000_i1031" style="width:0;height:1.5pt" o:hralign="center" o:hrstd="t" o:hr="t" fillcolor="#a0a0a0" stroked="f"/>
              </w:pict>
            </w:r>
          </w:p>
          <w:p w14:paraId="145B19E2" w14:textId="77777777" w:rsidR="00E561A7" w:rsidRPr="001A0EC5" w:rsidRDefault="00E561A7" w:rsidP="00E561A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05FCB079" w14:textId="77777777" w:rsidR="00E561A7" w:rsidRPr="001A0EC5" w:rsidRDefault="00E561A7" w:rsidP="00E561A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A0ABC5E" w14:textId="77777777" w:rsidR="00E561A7" w:rsidRDefault="00E561A7" w:rsidP="00E561A7">
            <w:pPr>
              <w:spacing w:line="360" w:lineRule="auto"/>
              <w:jc w:val="both"/>
              <w:rPr>
                <w:rFonts w:asciiTheme="majorHAnsi" w:eastAsia="Times New Roman" w:hAnsiTheme="majorHAnsi" w:cstheme="majorHAnsi"/>
                <w:b w:val="0"/>
                <w:color w:val="3B3B3B"/>
                <w:sz w:val="20"/>
                <w:szCs w:val="20"/>
                <w:lang w:eastAsia="cs-CZ"/>
              </w:rPr>
            </w:pPr>
          </w:p>
          <w:p w14:paraId="45957742" w14:textId="7D2972B0" w:rsidR="00E561A7" w:rsidRDefault="00E561A7" w:rsidP="00E561A7">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Dne 25. 6. 2024 byla ve sbírce zákonů publikována </w:t>
            </w:r>
            <w:r w:rsidRPr="00E561A7">
              <w:rPr>
                <w:rStyle w:val="Hypertextovodkaz"/>
                <w:rFonts w:ascii="Arial" w:hAnsi="Arial" w:cs="Arial"/>
                <w:color w:val="auto"/>
                <w:sz w:val="20"/>
                <w:szCs w:val="20"/>
                <w:u w:val="none"/>
                <w:lang w:eastAsia="cs-CZ"/>
              </w:rPr>
              <w:t>Vyhláška č. 188/2024 Sb., kterou se mění vyhláška č. 260/2023 Sb., o stanovení podmínek zdravotní způsobilosti osob k provozování dráhy a drážní dopravy</w:t>
            </w:r>
          </w:p>
          <w:p w14:paraId="3EFE05AF" w14:textId="77777777" w:rsidR="00E561A7" w:rsidRDefault="00E561A7" w:rsidP="00E561A7">
            <w:pPr>
              <w:pStyle w:val="Bezmezer"/>
              <w:spacing w:line="360" w:lineRule="auto"/>
              <w:jc w:val="both"/>
              <w:rPr>
                <w:rStyle w:val="Hypertextovodkaz"/>
                <w:rFonts w:ascii="Arial" w:hAnsi="Arial" w:cs="Arial"/>
                <w:b/>
                <w:bCs/>
                <w:color w:val="auto"/>
                <w:sz w:val="20"/>
                <w:szCs w:val="20"/>
                <w:u w:val="none"/>
                <w:lang w:eastAsia="cs-CZ"/>
              </w:rPr>
            </w:pPr>
          </w:p>
          <w:p w14:paraId="469975DB" w14:textId="0F70133D" w:rsidR="00E561A7" w:rsidRPr="00D3550C" w:rsidRDefault="00E561A7" w:rsidP="00E561A7">
            <w:pPr>
              <w:shd w:val="clear" w:color="auto" w:fill="D9D9D9" w:themeFill="background1" w:themeFillShade="D9"/>
              <w:spacing w:line="360" w:lineRule="auto"/>
              <w:jc w:val="both"/>
              <w:rPr>
                <w:rFonts w:ascii="Arial" w:hAnsi="Arial" w:cs="Arial"/>
                <w:b w:val="0"/>
                <w:i/>
                <w:iCs/>
                <w:color w:val="0F0D29" w:themeColor="text1"/>
                <w:sz w:val="20"/>
                <w:szCs w:val="20"/>
                <w:highlight w:val="yellow"/>
              </w:rPr>
            </w:pPr>
            <w:r w:rsidRPr="00D3550C">
              <w:rPr>
                <w:rFonts w:ascii="Arial" w:hAnsi="Arial" w:cs="Arial"/>
                <w:b w:val="0"/>
                <w:i/>
                <w:iCs/>
                <w:color w:val="0F0D29" w:themeColor="text1"/>
                <w:sz w:val="20"/>
                <w:szCs w:val="20"/>
              </w:rPr>
              <w:t xml:space="preserve">Z věcného posouzení normy ze strany OHSE vyplynula nutnost provést revizi interní dokumentace. </w:t>
            </w:r>
          </w:p>
          <w:p w14:paraId="55321D04" w14:textId="77777777" w:rsidR="00E561A7" w:rsidRDefault="00E561A7" w:rsidP="008E5EAD">
            <w:pPr>
              <w:spacing w:line="360" w:lineRule="auto"/>
              <w:jc w:val="both"/>
              <w:rPr>
                <w:rFonts w:ascii="Arial" w:hAnsi="Arial" w:cs="Arial"/>
                <w:bCs/>
                <w:color w:val="0F0D29" w:themeColor="text1"/>
                <w:sz w:val="20"/>
                <w:szCs w:val="20"/>
              </w:rPr>
            </w:pPr>
          </w:p>
          <w:p w14:paraId="34CC9537" w14:textId="77777777" w:rsidR="002C6B88" w:rsidRDefault="002C6B88" w:rsidP="008E5EAD">
            <w:pPr>
              <w:spacing w:line="360" w:lineRule="auto"/>
              <w:jc w:val="both"/>
              <w:rPr>
                <w:rFonts w:ascii="Arial" w:hAnsi="Arial" w:cs="Arial"/>
                <w:bCs/>
                <w:color w:val="0F0D29" w:themeColor="text1"/>
                <w:sz w:val="20"/>
                <w:szCs w:val="20"/>
              </w:rPr>
            </w:pPr>
          </w:p>
          <w:p w14:paraId="39F363B7" w14:textId="77777777" w:rsidR="002C6B88" w:rsidRDefault="002C6B88" w:rsidP="008E5EAD">
            <w:pPr>
              <w:spacing w:line="360" w:lineRule="auto"/>
              <w:jc w:val="both"/>
              <w:rPr>
                <w:rFonts w:ascii="Arial" w:hAnsi="Arial" w:cs="Arial"/>
                <w:bCs/>
                <w:color w:val="0F0D29" w:themeColor="text1"/>
                <w:sz w:val="20"/>
                <w:szCs w:val="20"/>
              </w:rPr>
            </w:pPr>
          </w:p>
          <w:p w14:paraId="0073A2C9" w14:textId="77777777" w:rsidR="002C6B88" w:rsidRDefault="002C6B88" w:rsidP="008E5EAD">
            <w:pPr>
              <w:spacing w:line="360" w:lineRule="auto"/>
              <w:jc w:val="both"/>
              <w:rPr>
                <w:rFonts w:ascii="Arial" w:hAnsi="Arial" w:cs="Arial"/>
                <w:bCs/>
                <w:color w:val="0F0D29" w:themeColor="text1"/>
                <w:sz w:val="20"/>
                <w:szCs w:val="20"/>
              </w:rPr>
            </w:pPr>
          </w:p>
          <w:p w14:paraId="69E590D6" w14:textId="77777777" w:rsidR="002C6B88" w:rsidRDefault="002C6B88" w:rsidP="008E5EAD">
            <w:pPr>
              <w:spacing w:line="360" w:lineRule="auto"/>
              <w:jc w:val="both"/>
              <w:rPr>
                <w:rFonts w:ascii="Arial" w:hAnsi="Arial" w:cs="Arial"/>
                <w:bCs/>
                <w:color w:val="0F0D29" w:themeColor="text1"/>
                <w:sz w:val="20"/>
                <w:szCs w:val="20"/>
              </w:rPr>
            </w:pPr>
          </w:p>
          <w:p w14:paraId="3A28E3A8" w14:textId="77777777" w:rsidR="002C6B88" w:rsidRDefault="002C6B88" w:rsidP="008E5EAD">
            <w:pPr>
              <w:spacing w:line="360" w:lineRule="auto"/>
              <w:jc w:val="both"/>
              <w:rPr>
                <w:rFonts w:ascii="Arial" w:hAnsi="Arial" w:cs="Arial"/>
                <w:bCs/>
                <w:color w:val="0F0D29" w:themeColor="text1"/>
                <w:sz w:val="20"/>
                <w:szCs w:val="20"/>
              </w:rPr>
            </w:pPr>
          </w:p>
          <w:p w14:paraId="548ADA90" w14:textId="77777777" w:rsidR="002C6B88" w:rsidRDefault="002C6B88" w:rsidP="008E5EAD">
            <w:pPr>
              <w:spacing w:line="360" w:lineRule="auto"/>
              <w:jc w:val="both"/>
              <w:rPr>
                <w:rFonts w:ascii="Arial" w:hAnsi="Arial" w:cs="Arial"/>
                <w:bCs/>
                <w:color w:val="0F0D29" w:themeColor="text1"/>
                <w:sz w:val="20"/>
                <w:szCs w:val="20"/>
              </w:rPr>
            </w:pPr>
          </w:p>
          <w:p w14:paraId="453DA0D7" w14:textId="34118651" w:rsidR="00EE2BEE" w:rsidRPr="006E530F" w:rsidRDefault="00EE2BEE" w:rsidP="00EE2BEE">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E2BEE">
              <w:rPr>
                <w:rStyle w:val="Hypertextovodkaz"/>
                <w:rFonts w:ascii="Arial" w:eastAsia="Times New Roman" w:hAnsi="Arial" w:cs="Arial"/>
                <w:b/>
                <w:bCs/>
                <w:color w:val="0F0D29" w:themeColor="text1"/>
                <w:kern w:val="36"/>
                <w:sz w:val="24"/>
                <w:szCs w:val="24"/>
                <w:u w:val="none"/>
                <w:lang w:eastAsia="cs-CZ"/>
              </w:rPr>
              <w:lastRenderedPageBreak/>
              <w:t>Nařízení vlády č. 202/2024 Sb., kterým se mění nařízení vlády č. 589/2006 Sb., kterým se stanoví odchylná úprava pracovní doby a doby odpočinku zaměstnanců v dopravě, ve znění pozdějších předpisů, a nařízení vlády č. 182/2007 Sb., o odchylné úpravě pracovní doby a doby odpočinku členů jednotky hasičského záchranného sboru podniku</w:t>
            </w:r>
            <w:r w:rsidR="00624340">
              <w:rPr>
                <w:rStyle w:val="Hypertextovodkaz"/>
                <w:rFonts w:ascii="Arial" w:eastAsia="Times New Roman" w:hAnsi="Arial" w:cs="Arial"/>
                <w:b/>
                <w:bCs/>
                <w:color w:val="0F0D29" w:themeColor="text1"/>
                <w:kern w:val="36"/>
                <w:sz w:val="24"/>
                <w:szCs w:val="24"/>
                <w:u w:val="none"/>
                <w:lang w:eastAsia="cs-CZ"/>
              </w:rPr>
              <w:pict w14:anchorId="30F1BF1E">
                <v:rect id="_x0000_i1032" style="width:0;height:1.5pt" o:hralign="center" o:hrstd="t" o:hr="t" fillcolor="#a0a0a0" stroked="f"/>
              </w:pict>
            </w:r>
          </w:p>
          <w:p w14:paraId="685021C2" w14:textId="77777777" w:rsidR="00EE2BEE" w:rsidRPr="001A0EC5" w:rsidRDefault="00EE2BEE" w:rsidP="00EE2BE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1. 7. 2024</w:t>
            </w:r>
            <w:r w:rsidRPr="001A0EC5">
              <w:rPr>
                <w:rFonts w:asciiTheme="majorHAnsi" w:hAnsiTheme="majorHAnsi" w:cstheme="majorHAnsi"/>
                <w:color w:val="3B3B3B"/>
                <w:sz w:val="20"/>
                <w:szCs w:val="20"/>
              </w:rPr>
              <w:t xml:space="preserve"> </w:t>
            </w:r>
          </w:p>
          <w:p w14:paraId="652BFE85" w14:textId="77777777" w:rsidR="00EE2BEE" w:rsidRPr="001A0EC5" w:rsidRDefault="00EE2BEE" w:rsidP="00EE2BE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3D0157F" w14:textId="77777777" w:rsidR="00EE2BEE" w:rsidRDefault="00EE2BEE" w:rsidP="00EE2BEE">
            <w:pPr>
              <w:spacing w:line="360" w:lineRule="auto"/>
              <w:jc w:val="both"/>
              <w:rPr>
                <w:rFonts w:asciiTheme="majorHAnsi" w:eastAsia="Times New Roman" w:hAnsiTheme="majorHAnsi" w:cstheme="majorHAnsi"/>
                <w:b w:val="0"/>
                <w:color w:val="3B3B3B"/>
                <w:sz w:val="20"/>
                <w:szCs w:val="20"/>
                <w:lang w:eastAsia="cs-CZ"/>
              </w:rPr>
            </w:pPr>
          </w:p>
          <w:p w14:paraId="40D59988" w14:textId="675FA665" w:rsidR="00EE2BEE" w:rsidRDefault="00EE2BEE" w:rsidP="00EE2BEE">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Dne 28. 6. 2024 bylo ve sbírce zákonů publikováno </w:t>
            </w:r>
            <w:r w:rsidRPr="00EE2BEE">
              <w:rPr>
                <w:rStyle w:val="Hypertextovodkaz"/>
                <w:rFonts w:ascii="Arial" w:hAnsi="Arial" w:cs="Arial"/>
                <w:color w:val="auto"/>
                <w:sz w:val="20"/>
                <w:szCs w:val="20"/>
                <w:u w:val="none"/>
                <w:lang w:eastAsia="cs-CZ"/>
              </w:rPr>
              <w:t>Nařízení vlády č. 202/2024 Sb., kterým se mění nařízení vlády č. 589/2006 Sb., kterým se stanoví odchylná úprava pracovní doby a doby odpočinku zaměstnanců v dopravě, ve znění pozdějších předpisů, a nařízení vlády č. 182/2007 Sb., o odchylné úpravě pracovní doby a doby odpočinku členů jednotky hasičského záchranného sboru podniku</w:t>
            </w:r>
            <w:r>
              <w:rPr>
                <w:rStyle w:val="Hypertextovodkaz"/>
                <w:rFonts w:ascii="Arial" w:hAnsi="Arial" w:cs="Arial"/>
                <w:color w:val="auto"/>
                <w:sz w:val="20"/>
                <w:szCs w:val="20"/>
                <w:u w:val="none"/>
                <w:lang w:eastAsia="cs-CZ"/>
              </w:rPr>
              <w:t>.</w:t>
            </w:r>
          </w:p>
          <w:p w14:paraId="370E279E" w14:textId="77777777" w:rsidR="00FA7EE6" w:rsidRDefault="00FA7EE6" w:rsidP="00EE2BEE">
            <w:pPr>
              <w:pStyle w:val="Bezmezer"/>
              <w:spacing w:line="360" w:lineRule="auto"/>
              <w:jc w:val="both"/>
              <w:rPr>
                <w:rStyle w:val="Hypertextovodkaz"/>
                <w:rFonts w:ascii="Arial" w:hAnsi="Arial" w:cs="Arial"/>
                <w:color w:val="auto"/>
                <w:sz w:val="20"/>
                <w:szCs w:val="20"/>
                <w:u w:val="none"/>
                <w:lang w:eastAsia="cs-CZ"/>
              </w:rPr>
            </w:pPr>
          </w:p>
          <w:p w14:paraId="2675608E" w14:textId="3FCA2F5A" w:rsidR="00FA7EE6" w:rsidRDefault="00FA7EE6" w:rsidP="00EE2BEE">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N</w:t>
            </w:r>
            <w:r w:rsidRPr="00FA7EE6">
              <w:rPr>
                <w:rStyle w:val="Hypertextovodkaz"/>
                <w:rFonts w:ascii="Arial" w:hAnsi="Arial" w:cs="Arial"/>
                <w:color w:val="auto"/>
                <w:sz w:val="20"/>
                <w:szCs w:val="20"/>
                <w:u w:val="none"/>
                <w:lang w:eastAsia="cs-CZ"/>
              </w:rPr>
              <w:t>ovelizace zohledňuj</w:t>
            </w:r>
            <w:r>
              <w:rPr>
                <w:rStyle w:val="Hypertextovodkaz"/>
                <w:rFonts w:ascii="Arial" w:hAnsi="Arial" w:cs="Arial"/>
                <w:color w:val="auto"/>
                <w:sz w:val="20"/>
                <w:szCs w:val="20"/>
                <w:u w:val="none"/>
                <w:lang w:eastAsia="cs-CZ"/>
              </w:rPr>
              <w:t>e</w:t>
            </w:r>
            <w:r w:rsidRPr="00FA7EE6">
              <w:rPr>
                <w:rStyle w:val="Hypertextovodkaz"/>
                <w:rFonts w:ascii="Arial" w:hAnsi="Arial" w:cs="Arial"/>
                <w:color w:val="auto"/>
                <w:sz w:val="20"/>
                <w:szCs w:val="20"/>
                <w:u w:val="none"/>
                <w:lang w:eastAsia="cs-CZ"/>
              </w:rPr>
              <w:t xml:space="preserve"> úpravu právního institutu nepřetržitého denního odpočinku v</w:t>
            </w:r>
            <w:r>
              <w:rPr>
                <w:rStyle w:val="Hypertextovodkaz"/>
                <w:rFonts w:ascii="Arial" w:hAnsi="Arial" w:cs="Arial"/>
                <w:color w:val="auto"/>
                <w:sz w:val="20"/>
                <w:szCs w:val="20"/>
                <w:u w:val="none"/>
                <w:lang w:eastAsia="cs-CZ"/>
              </w:rPr>
              <w:t> </w:t>
            </w:r>
            <w:r w:rsidRPr="00FA7EE6">
              <w:rPr>
                <w:rStyle w:val="Hypertextovodkaz"/>
                <w:rFonts w:ascii="Arial" w:hAnsi="Arial" w:cs="Arial"/>
                <w:color w:val="auto"/>
                <w:sz w:val="20"/>
                <w:szCs w:val="20"/>
                <w:u w:val="none"/>
                <w:lang w:eastAsia="cs-CZ"/>
              </w:rPr>
              <w:t>ZP</w:t>
            </w:r>
            <w:r>
              <w:rPr>
                <w:rStyle w:val="Hypertextovodkaz"/>
                <w:rFonts w:ascii="Arial" w:hAnsi="Arial" w:cs="Arial"/>
                <w:color w:val="auto"/>
                <w:sz w:val="20"/>
                <w:szCs w:val="20"/>
                <w:u w:val="none"/>
                <w:lang w:eastAsia="cs-CZ"/>
              </w:rPr>
              <w:t>.</w:t>
            </w:r>
          </w:p>
          <w:p w14:paraId="5D6FBB90" w14:textId="77777777" w:rsidR="00EE2BEE" w:rsidRDefault="00EE2BEE" w:rsidP="00EE2BEE">
            <w:pPr>
              <w:pStyle w:val="Bezmezer"/>
              <w:spacing w:line="360" w:lineRule="auto"/>
              <w:jc w:val="both"/>
              <w:rPr>
                <w:rStyle w:val="Hypertextovodkaz"/>
                <w:rFonts w:ascii="Arial" w:hAnsi="Arial" w:cs="Arial"/>
                <w:b/>
                <w:bCs/>
                <w:color w:val="auto"/>
                <w:sz w:val="20"/>
                <w:szCs w:val="20"/>
                <w:u w:val="none"/>
                <w:lang w:eastAsia="cs-CZ"/>
              </w:rPr>
            </w:pPr>
          </w:p>
          <w:p w14:paraId="71DFBA30" w14:textId="5058D427" w:rsidR="00FA7EE6" w:rsidRPr="005078C0" w:rsidRDefault="00FA7EE6" w:rsidP="00FA7EE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 OŘLZ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EF6A73E" w14:textId="77777777" w:rsidR="00FA7EE6" w:rsidRPr="005078C0" w:rsidRDefault="00FA7EE6" w:rsidP="00FA7EE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7ACD44" w14:textId="4AD53F48" w:rsidR="00FA7EE6" w:rsidRPr="005078C0" w:rsidRDefault="00FA7EE6" w:rsidP="00FA7EE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OŘLZ – Mgr. Šárka Šolcová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31.7.2024</w:t>
            </w:r>
          </w:p>
          <w:p w14:paraId="2060AEE0" w14:textId="77777777" w:rsidR="00EE2BEE" w:rsidRPr="00EE2BEE" w:rsidRDefault="00EE2BEE" w:rsidP="00EE2BEE">
            <w:pPr>
              <w:spacing w:line="360" w:lineRule="auto"/>
              <w:jc w:val="both"/>
              <w:rPr>
                <w:rFonts w:ascii="Arial" w:hAnsi="Arial" w:cs="Arial"/>
                <w:bCs/>
                <w:color w:val="0F0D29" w:themeColor="text1"/>
                <w:sz w:val="20"/>
                <w:szCs w:val="20"/>
                <w:highlight w:val="yellow"/>
              </w:rPr>
            </w:pPr>
          </w:p>
          <w:p w14:paraId="1B6F12F7" w14:textId="77777777" w:rsidR="00EE2BEE" w:rsidRPr="008E5EAD" w:rsidRDefault="00EE2BEE" w:rsidP="008E5EAD">
            <w:pPr>
              <w:spacing w:line="360" w:lineRule="auto"/>
              <w:jc w:val="both"/>
              <w:rPr>
                <w:rFonts w:ascii="Arial" w:hAnsi="Arial" w:cs="Arial"/>
                <w:bCs/>
                <w:color w:val="0F0D29" w:themeColor="text1"/>
                <w:sz w:val="20"/>
                <w:szCs w:val="20"/>
              </w:rPr>
            </w:pPr>
          </w:p>
          <w:p w14:paraId="064C1314" w14:textId="77777777" w:rsidR="008E5EAD" w:rsidRPr="00BA4503" w:rsidRDefault="008E5EAD" w:rsidP="009C320A">
            <w:pPr>
              <w:spacing w:line="360" w:lineRule="auto"/>
              <w:jc w:val="both"/>
              <w:rPr>
                <w:rFonts w:ascii="Arial" w:hAnsi="Arial" w:cs="Arial"/>
                <w:bCs/>
                <w:color w:val="0F0D29" w:themeColor="text1"/>
                <w:sz w:val="20"/>
                <w:szCs w:val="20"/>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3F0F722B" w14:textId="733C30B8" w:rsidR="00937179" w:rsidRPr="00C4715F" w:rsidRDefault="00937179" w:rsidP="00F54BC8">
            <w:pPr>
              <w:pStyle w:val="Bezmezer"/>
              <w:spacing w:line="360" w:lineRule="auto"/>
              <w:jc w:val="both"/>
              <w:rPr>
                <w:rFonts w:ascii="Arial" w:hAnsi="Arial" w:cs="Arial"/>
                <w:i/>
                <w:iCs/>
                <w:sz w:val="20"/>
                <w:szCs w:val="20"/>
                <w:lang w:eastAsia="cs-CZ"/>
              </w:rPr>
            </w:pPr>
          </w:p>
          <w:p w14:paraId="31A164D6" w14:textId="2FBF97B3" w:rsidR="00C82604" w:rsidRPr="00C82604" w:rsidRDefault="00C82604" w:rsidP="00C82604">
            <w:pPr>
              <w:spacing w:line="360" w:lineRule="auto"/>
              <w:jc w:val="both"/>
              <w:rPr>
                <w:rFonts w:asciiTheme="majorHAnsi" w:hAnsiTheme="majorHAnsi" w:cstheme="majorHAnsi"/>
                <w:b w:val="0"/>
                <w:i/>
                <w:iCs/>
                <w:color w:val="0F0D29" w:themeColor="text1"/>
                <w:sz w:val="20"/>
                <w:szCs w:val="20"/>
              </w:rPr>
            </w:pPr>
            <w:r w:rsidRPr="00C82604">
              <w:rPr>
                <w:rFonts w:ascii="Arial" w:hAnsi="Arial" w:cs="Arial"/>
                <w:b w:val="0"/>
                <w:i/>
                <w:iCs/>
                <w:color w:val="0F0D29" w:themeColor="text1"/>
                <w:sz w:val="20"/>
                <w:szCs w:val="20"/>
              </w:rPr>
              <w:t xml:space="preserve">Ve sledovaném období nebyly </w:t>
            </w:r>
            <w:r>
              <w:rPr>
                <w:rFonts w:ascii="Arial" w:hAnsi="Arial" w:cs="Arial"/>
                <w:b w:val="0"/>
                <w:i/>
                <w:iCs/>
                <w:color w:val="0F0D29" w:themeColor="text1"/>
                <w:sz w:val="20"/>
                <w:szCs w:val="20"/>
              </w:rPr>
              <w:t xml:space="preserve">odpovědnými útvary </w:t>
            </w:r>
            <w:r w:rsidRPr="00C82604">
              <w:rPr>
                <w:rFonts w:ascii="Arial" w:hAnsi="Arial" w:cs="Arial"/>
                <w:b w:val="0"/>
                <w:i/>
                <w:iCs/>
                <w:color w:val="0F0D29" w:themeColor="text1"/>
                <w:sz w:val="20"/>
                <w:szCs w:val="20"/>
              </w:rPr>
              <w:t>předloženy žádné analýzy dopadové legislativy.</w:t>
            </w:r>
          </w:p>
          <w:p w14:paraId="34BC71AF" w14:textId="77777777" w:rsidR="0030302F" w:rsidRDefault="0030302F" w:rsidP="00597A91">
            <w:pPr>
              <w:pStyle w:val="Bezmezer"/>
              <w:ind w:firstLine="720"/>
              <w:jc w:val="both"/>
              <w:rPr>
                <w:rStyle w:val="Hypertextovodkaz"/>
                <w:rFonts w:ascii="Arial" w:eastAsia="Times New Roman" w:hAnsi="Arial" w:cs="Arial"/>
                <w:b/>
                <w:bCs/>
                <w:color w:val="FFFFFF" w:themeColor="background1"/>
                <w:kern w:val="36"/>
                <w:sz w:val="20"/>
                <w:szCs w:val="20"/>
                <w:u w:val="none"/>
                <w:lang w:eastAsia="cs-CZ"/>
              </w:rPr>
            </w:pPr>
          </w:p>
          <w:p w14:paraId="70A7915C" w14:textId="77777777" w:rsidR="00E90430" w:rsidRDefault="00E90430"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B6FDA65"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5EFC7A26"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32C9097E"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2C7A6943"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95CCCB6"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00A5E66"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696980F6"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08CE2DF3"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B2FF2DC"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773F382"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7AE5DF3"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65567EE9"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051553F5"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BBFA2BF"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29F4DBB5"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F74E718"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388BA95" w14:textId="77777777" w:rsidR="00597A91" w:rsidRDefault="00597A91"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70C9937" w14:textId="77777777" w:rsidR="007E269D" w:rsidRDefault="007E269D" w:rsidP="005F4E9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6268B81C" w:rsidR="00C90A3E" w:rsidRPr="005078C0" w:rsidRDefault="006C1244"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C1244">
              <w:rPr>
                <w:rStyle w:val="Hypertextovodkaz"/>
                <w:rFonts w:ascii="Arial" w:eastAsia="Times New Roman" w:hAnsi="Arial" w:cs="Arial"/>
                <w:b/>
                <w:bCs/>
                <w:color w:val="0F0D29" w:themeColor="text1"/>
                <w:kern w:val="36"/>
                <w:sz w:val="24"/>
                <w:szCs w:val="20"/>
                <w:u w:val="none"/>
                <w:lang w:eastAsia="cs-CZ"/>
              </w:rPr>
              <w:t xml:space="preserve">Návrh vyhlášky o personální bezpečnosti a o bezpečnostní způsobilosti </w:t>
            </w:r>
            <w:r w:rsidR="00624340">
              <w:rPr>
                <w:rStyle w:val="Hypertextovodkaz"/>
                <w:rFonts w:ascii="Arial" w:eastAsia="Times New Roman" w:hAnsi="Arial" w:cs="Arial"/>
                <w:b/>
                <w:bCs/>
                <w:color w:val="0F0D29" w:themeColor="text1"/>
                <w:kern w:val="36"/>
                <w:sz w:val="24"/>
                <w:szCs w:val="24"/>
                <w:u w:val="none"/>
                <w:lang w:eastAsia="cs-CZ"/>
              </w:rPr>
              <w:pict w14:anchorId="32314C35">
                <v:rect id="_x0000_i1033" style="width:0;height:1.5pt" o:hralign="center" o:hrstd="t" o:hr="t" fillcolor="#a0a0a0" stroked="f"/>
              </w:pict>
            </w:r>
          </w:p>
          <w:p w14:paraId="56306A1A" w14:textId="4042E07D" w:rsidR="004405C5" w:rsidRDefault="006C1244"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t xml:space="preserve"> </w:t>
            </w:r>
            <w:r w:rsidRPr="006C1244">
              <w:rPr>
                <w:rStyle w:val="Hypertextovodkaz"/>
                <w:rFonts w:ascii="Arial" w:hAnsi="Arial" w:cs="Arial"/>
                <w:color w:val="auto"/>
                <w:sz w:val="20"/>
                <w:szCs w:val="20"/>
                <w:u w:val="none"/>
                <w:lang w:eastAsia="cs-CZ"/>
              </w:rPr>
              <w:t xml:space="preserve">ALBSD5XGSMXX </w:t>
            </w:r>
            <w:r>
              <w:rPr>
                <w:rStyle w:val="Hypertextovodkaz"/>
                <w:rFonts w:ascii="Arial" w:hAnsi="Arial" w:cs="Arial"/>
                <w:color w:val="auto"/>
                <w:sz w:val="20"/>
                <w:szCs w:val="20"/>
                <w:u w:val="none"/>
                <w:lang w:eastAsia="cs-CZ"/>
              </w:rPr>
              <w:t xml:space="preserve">  </w:t>
            </w:r>
          </w:p>
          <w:p w14:paraId="119EDEFC" w14:textId="4E739D52" w:rsidR="00A547B7" w:rsidRDefault="006C1244"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2E39A939" w14:textId="77777777" w:rsidR="00A547B7" w:rsidRPr="004405C5" w:rsidRDefault="00A547B7" w:rsidP="004405C5">
            <w:pPr>
              <w:pStyle w:val="Bezmezer"/>
              <w:jc w:val="right"/>
              <w:rPr>
                <w:rStyle w:val="Hypertextovodkaz"/>
                <w:rFonts w:ascii="Arial" w:hAnsi="Arial" w:cs="Arial"/>
                <w:color w:val="auto"/>
                <w:sz w:val="20"/>
                <w:szCs w:val="20"/>
                <w:u w:val="none"/>
                <w:lang w:eastAsia="cs-CZ"/>
              </w:rPr>
            </w:pP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Default="004405C5" w:rsidP="00F42B34">
            <w:pPr>
              <w:pStyle w:val="Bezmezer"/>
              <w:spacing w:line="360" w:lineRule="auto"/>
              <w:jc w:val="both"/>
              <w:rPr>
                <w:rStyle w:val="Hypertextovodkaz"/>
                <w:rFonts w:ascii="Arial" w:hAnsi="Arial" w:cs="Arial"/>
                <w:b/>
                <w:bCs/>
                <w:color w:val="auto"/>
                <w:sz w:val="20"/>
                <w:szCs w:val="20"/>
                <w:u w:val="none"/>
                <w:lang w:eastAsia="cs-CZ"/>
              </w:rPr>
            </w:pPr>
          </w:p>
          <w:p w14:paraId="024363ED" w14:textId="31379CBE" w:rsidR="00A547B7" w:rsidRDefault="006C1244" w:rsidP="006C1244">
            <w:pPr>
              <w:pStyle w:val="Bezmezer"/>
              <w:spacing w:line="360" w:lineRule="auto"/>
              <w:jc w:val="both"/>
              <w:rPr>
                <w:rStyle w:val="Hypertextovodkaz"/>
                <w:rFonts w:ascii="Arial" w:hAnsi="Arial" w:cs="Arial"/>
                <w:color w:val="auto"/>
                <w:sz w:val="20"/>
                <w:szCs w:val="20"/>
                <w:u w:val="none"/>
                <w:lang w:eastAsia="cs-CZ"/>
              </w:rPr>
            </w:pPr>
            <w:r w:rsidRPr="006C1244">
              <w:rPr>
                <w:rStyle w:val="Hypertextovodkaz"/>
                <w:rFonts w:ascii="Arial" w:hAnsi="Arial" w:cs="Arial"/>
                <w:color w:val="auto"/>
                <w:sz w:val="20"/>
                <w:szCs w:val="20"/>
                <w:u w:val="none"/>
                <w:lang w:eastAsia="cs-CZ"/>
              </w:rPr>
              <w:t xml:space="preserve">Návrh vyhlášky o personální bezpečnosti a o bezpečnostní způsobilosti (dále jen „návrh vyhlášky“) nahrazuje stávající vyhlášku č. 363/2011 Sb., o personální bezpečnosti a o bezpečnostní způsobilosti, ve znění pozdějších předpisů. Návrh vyhlášky je předkládán v souvislosti s novelou zákona č. 412/2005 Sb., o ochraně utajovaných informací a o bezpečnostní způsobilosti, ve znění pozdějších předpisů a reaguje především na změny zavedené touto novelou v oblasti personální bezpečnosti a bezpečnostní způsobilosti, tj. na změny v žádosti fyzické osoby podle § 94 zákona, dotazníku fyzické osoby podle § 95 zákona, žádosti o doklad podle § 99 zákona a dotazníku podle § 100 zákona. </w:t>
            </w:r>
          </w:p>
          <w:p w14:paraId="1F26A9A0" w14:textId="77777777" w:rsidR="00A547B7" w:rsidRDefault="00A547B7" w:rsidP="00A547B7">
            <w:pPr>
              <w:pStyle w:val="Bezmezer"/>
              <w:spacing w:line="360" w:lineRule="auto"/>
              <w:jc w:val="both"/>
              <w:rPr>
                <w:rStyle w:val="Hypertextovodkaz"/>
                <w:rFonts w:ascii="Arial" w:hAnsi="Arial" w:cs="Arial"/>
                <w:color w:val="auto"/>
                <w:sz w:val="20"/>
                <w:szCs w:val="20"/>
                <w:u w:val="none"/>
                <w:lang w:eastAsia="cs-CZ"/>
              </w:rPr>
            </w:pPr>
          </w:p>
          <w:p w14:paraId="3B81E05C" w14:textId="7807629A" w:rsidR="001D0048" w:rsidRPr="005078C0" w:rsidRDefault="009720AA"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D0048">
              <w:rPr>
                <w:rStyle w:val="Hypertextovodkaz"/>
                <w:rFonts w:ascii="Arial" w:eastAsia="Times New Roman" w:hAnsi="Arial" w:cs="Arial"/>
                <w:bCs/>
                <w:i/>
                <w:color w:val="0F0D29" w:themeColor="text1"/>
                <w:kern w:val="36"/>
                <w:sz w:val="20"/>
                <w:szCs w:val="20"/>
                <w:u w:val="none"/>
                <w:lang w:eastAsia="cs-CZ"/>
              </w:rPr>
              <w:t xml:space="preserve"> </w:t>
            </w:r>
            <w:r w:rsidR="00A547B7">
              <w:rPr>
                <w:rStyle w:val="Hypertextovodkaz"/>
                <w:rFonts w:ascii="Arial" w:eastAsia="Times New Roman" w:hAnsi="Arial" w:cs="Arial"/>
                <w:bCs/>
                <w:i/>
                <w:color w:val="0F0D29" w:themeColor="text1"/>
                <w:kern w:val="36"/>
                <w:sz w:val="20"/>
                <w:szCs w:val="20"/>
                <w:u w:val="none"/>
                <w:lang w:eastAsia="cs-CZ"/>
              </w:rPr>
              <w:t>O</w:t>
            </w:r>
            <w:r w:rsidR="006C1244">
              <w:rPr>
                <w:rStyle w:val="Hypertextovodkaz"/>
                <w:rFonts w:ascii="Arial" w:eastAsia="Times New Roman" w:hAnsi="Arial" w:cs="Arial"/>
                <w:bCs/>
                <w:i/>
                <w:color w:val="0F0D29" w:themeColor="text1"/>
                <w:kern w:val="36"/>
                <w:sz w:val="20"/>
                <w:szCs w:val="20"/>
                <w:u w:val="none"/>
                <w:lang w:eastAsia="cs-CZ"/>
              </w:rPr>
              <w:t>BIA</w:t>
            </w:r>
            <w:r w:rsidR="001D0048">
              <w:rPr>
                <w:rStyle w:val="Hypertextovodkaz"/>
                <w:rFonts w:ascii="Arial" w:eastAsia="Times New Roman" w:hAnsi="Arial" w:cs="Arial"/>
                <w:bCs/>
                <w:i/>
                <w:color w:val="0F0D29" w:themeColor="text1"/>
                <w:kern w:val="36"/>
                <w:sz w:val="20"/>
                <w:szCs w:val="20"/>
                <w:u w:val="none"/>
                <w:lang w:eastAsia="cs-CZ"/>
              </w:rPr>
              <w:t xml:space="preserve"> </w:t>
            </w:r>
            <w:r w:rsidR="001D0048"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0890F1B" w14:textId="77777777" w:rsidR="001D0048" w:rsidRPr="005078C0" w:rsidRDefault="001D0048"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75B883" w14:textId="4DDFE28D" w:rsidR="009720AA" w:rsidRPr="005078C0" w:rsidRDefault="001D0048" w:rsidP="006E456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C1244">
              <w:rPr>
                <w:rStyle w:val="Hypertextovodkaz"/>
                <w:rFonts w:ascii="Arial" w:eastAsia="Times New Roman" w:hAnsi="Arial" w:cs="Arial"/>
                <w:i/>
                <w:color w:val="0F0D29" w:themeColor="text1"/>
                <w:kern w:val="36"/>
                <w:sz w:val="20"/>
                <w:szCs w:val="20"/>
                <w:u w:val="none"/>
                <w:lang w:eastAsia="cs-CZ"/>
              </w:rPr>
              <w:t>OBIA – Ing. Jiří Novák</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A547B7">
              <w:rPr>
                <w:rStyle w:val="Hypertextovodkaz"/>
                <w:rFonts w:ascii="Arial" w:eastAsia="Times New Roman" w:hAnsi="Arial" w:cs="Arial"/>
                <w:b/>
                <w:bCs/>
                <w:i/>
                <w:color w:val="0F0D29" w:themeColor="text1"/>
                <w:kern w:val="36"/>
                <w:sz w:val="20"/>
                <w:szCs w:val="20"/>
                <w:u w:val="none"/>
                <w:lang w:eastAsia="cs-CZ"/>
              </w:rPr>
              <w:t>31.</w:t>
            </w:r>
            <w:r w:rsidR="006C1244">
              <w:rPr>
                <w:rStyle w:val="Hypertextovodkaz"/>
                <w:rFonts w:ascii="Arial" w:eastAsia="Times New Roman" w:hAnsi="Arial" w:cs="Arial"/>
                <w:b/>
                <w:bCs/>
                <w:i/>
                <w:color w:val="0F0D29" w:themeColor="text1"/>
                <w:kern w:val="36"/>
                <w:sz w:val="20"/>
                <w:szCs w:val="20"/>
                <w:u w:val="none"/>
                <w:lang w:eastAsia="cs-CZ"/>
              </w:rPr>
              <w:t>8.2024</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1D6A3DBC" w:rsidR="00C13AF9" w:rsidRPr="005078C0" w:rsidRDefault="006C1244"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C1244">
              <w:rPr>
                <w:rStyle w:val="Hypertextovodkaz"/>
                <w:rFonts w:ascii="Arial" w:eastAsia="Times New Roman" w:hAnsi="Arial" w:cs="Arial"/>
                <w:b/>
                <w:bCs/>
                <w:color w:val="0F0D29" w:themeColor="text1"/>
                <w:kern w:val="36"/>
                <w:sz w:val="24"/>
                <w:szCs w:val="20"/>
                <w:u w:val="none"/>
                <w:lang w:eastAsia="cs-CZ"/>
              </w:rPr>
              <w:t>Návrh zákona, kterým se mění zákon č. 143/2001 Sb., o ochraně hospodářské soutěže</w:t>
            </w:r>
            <w:r w:rsidR="00624340">
              <w:rPr>
                <w:rStyle w:val="Hypertextovodkaz"/>
                <w:rFonts w:ascii="Arial" w:eastAsia="Times New Roman" w:hAnsi="Arial" w:cs="Arial"/>
                <w:b/>
                <w:bCs/>
                <w:color w:val="0F0D29" w:themeColor="text1"/>
                <w:kern w:val="36"/>
                <w:sz w:val="24"/>
                <w:szCs w:val="24"/>
                <w:u w:val="none"/>
                <w:lang w:eastAsia="cs-CZ"/>
              </w:rPr>
              <w:pict w14:anchorId="19E7E3B4">
                <v:rect id="_x0000_i1034" style="width:0;height:1.5pt" o:hralign="center" o:hrstd="t" o:hr="t" fillcolor="#a0a0a0" stroked="f"/>
              </w:pict>
            </w:r>
          </w:p>
          <w:p w14:paraId="4C3320F8" w14:textId="74148AE5" w:rsidR="006A1524" w:rsidRDefault="006A1524" w:rsidP="00944D9E">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597A91">
              <w:t xml:space="preserve"> </w:t>
            </w:r>
            <w:r w:rsidR="006E4566">
              <w:t xml:space="preserve"> </w:t>
            </w:r>
            <w:r w:rsidR="006C1244">
              <w:t xml:space="preserve"> </w:t>
            </w:r>
            <w:r w:rsidR="006C1244" w:rsidRPr="006C1244">
              <w:rPr>
                <w:rStyle w:val="Hypertextovodkaz"/>
                <w:rFonts w:ascii="Arial" w:hAnsi="Arial" w:cs="Arial"/>
                <w:color w:val="auto"/>
                <w:sz w:val="20"/>
                <w:szCs w:val="20"/>
                <w:u w:val="none"/>
                <w:lang w:eastAsia="cs-CZ"/>
              </w:rPr>
              <w:t>ALBSD5SBKHVX</w:t>
            </w:r>
          </w:p>
          <w:p w14:paraId="11289D52" w14:textId="62AEBD80" w:rsidR="00C13AF9" w:rsidRDefault="006C1244" w:rsidP="006A1524">
            <w:pPr>
              <w:pStyle w:val="Bezmezer"/>
              <w:ind w:left="720"/>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5564FCEC" w14:textId="77777777" w:rsidR="00F42B34" w:rsidRPr="004405C5" w:rsidRDefault="00F42B34" w:rsidP="006A1524">
            <w:pPr>
              <w:pStyle w:val="Bezmezer"/>
              <w:ind w:left="720"/>
              <w:jc w:val="right"/>
              <w:rPr>
                <w:rStyle w:val="Hypertextovodkaz"/>
                <w:rFonts w:ascii="Arial" w:hAnsi="Arial" w:cs="Arial"/>
                <w:color w:val="auto"/>
                <w:sz w:val="20"/>
                <w:szCs w:val="20"/>
                <w:u w:val="none"/>
                <w:lang w:eastAsia="cs-CZ"/>
              </w:rPr>
            </w:pPr>
          </w:p>
          <w:p w14:paraId="5E280224" w14:textId="77777777" w:rsidR="00C13AF9" w:rsidRPr="004405C5" w:rsidRDefault="00C13AF9" w:rsidP="00C13AF9">
            <w:pPr>
              <w:pStyle w:val="Bezmezer"/>
              <w:jc w:val="right"/>
              <w:rPr>
                <w:rStyle w:val="Hypertextovodkaz"/>
                <w:rFonts w:ascii="Arial" w:hAnsi="Arial" w:cs="Arial"/>
                <w:color w:val="auto"/>
                <w:sz w:val="20"/>
                <w:szCs w:val="20"/>
                <w:u w:val="none"/>
                <w:lang w:eastAsia="cs-CZ"/>
              </w:rPr>
            </w:pPr>
          </w:p>
          <w:p w14:paraId="34181D65" w14:textId="36EC9CBC" w:rsidR="005A2C01" w:rsidRDefault="00FE7699" w:rsidP="00FE7699">
            <w:pPr>
              <w:pStyle w:val="Bezmezer"/>
              <w:spacing w:line="360" w:lineRule="auto"/>
              <w:jc w:val="both"/>
              <w:rPr>
                <w:rStyle w:val="Hypertextovodkaz"/>
                <w:rFonts w:ascii="Arial" w:hAnsi="Arial" w:cs="Arial"/>
                <w:color w:val="auto"/>
                <w:sz w:val="20"/>
                <w:szCs w:val="20"/>
                <w:u w:val="none"/>
                <w:lang w:eastAsia="cs-CZ"/>
              </w:rPr>
            </w:pPr>
            <w:r w:rsidRPr="00FE7699">
              <w:rPr>
                <w:rStyle w:val="Hypertextovodkaz"/>
                <w:rFonts w:ascii="Arial" w:hAnsi="Arial" w:cs="Arial"/>
                <w:color w:val="auto"/>
                <w:sz w:val="20"/>
                <w:szCs w:val="20"/>
                <w:u w:val="none"/>
                <w:lang w:eastAsia="cs-CZ"/>
              </w:rPr>
              <w:t xml:space="preserve">Navrhovaná právní úprava cílí na různé oblasti činnosti Úřadu a lze je obecně rozdělit ve vztahu ke specifickým cílům, které jsou jimi konkrétně sledovány. Prvním cílem je umožnění zásahu ze strany Úřadu v případě, kdy je shledáno, že na určitém trhu nefunguje dlouhodobě efektivní hospodářská soutěž, avšak nikoliv z důvodu existence kartelové dohody nebo zneužívání dominantního postavení. Dalším cílem navrhované úpravy je posílení možnosti Úřadu odhalovat a trestat utajované kartelové dohody a odstrašovat tak od jejich uzavírání. Dále si nová úprava klade za cíl umožnit flexibilněji přezkoumávat spojení soutěžitelů, a to i taková, která nesplňují standardní notifikační obratová kritéria a za současné právní úpravy je nelze ze strany </w:t>
            </w:r>
            <w:proofErr w:type="gramStart"/>
            <w:r w:rsidRPr="00FE7699">
              <w:rPr>
                <w:rStyle w:val="Hypertextovodkaz"/>
                <w:rFonts w:ascii="Arial" w:hAnsi="Arial" w:cs="Arial"/>
                <w:color w:val="auto"/>
                <w:sz w:val="20"/>
                <w:szCs w:val="20"/>
                <w:u w:val="none"/>
                <w:lang w:eastAsia="cs-CZ"/>
              </w:rPr>
              <w:t>Úřadu</w:t>
            </w:r>
            <w:proofErr w:type="gramEnd"/>
            <w:r w:rsidRPr="00FE7699">
              <w:rPr>
                <w:rStyle w:val="Hypertextovodkaz"/>
                <w:rFonts w:ascii="Arial" w:hAnsi="Arial" w:cs="Arial"/>
                <w:color w:val="auto"/>
                <w:sz w:val="20"/>
                <w:szCs w:val="20"/>
                <w:u w:val="none"/>
                <w:lang w:eastAsia="cs-CZ"/>
              </w:rPr>
              <w:t xml:space="preserve"> jakkoliv kontrolovat. Právní úprava současně posiluje transparentnost v oblasti sektorových šetření, vypouští limit tržního podílu pro předpoklad dominantního postavení a doplňuje do demonstrativního výčtu o zneužívání dominantního postavení možnost postihovat dlouhodobé nabízení zboží za nepřiměřeně vysoké ceny.</w:t>
            </w:r>
          </w:p>
          <w:p w14:paraId="3FEFDB7F" w14:textId="77777777" w:rsidR="00FE7699" w:rsidRPr="005A2C01" w:rsidRDefault="00FE7699" w:rsidP="00FE7699">
            <w:pPr>
              <w:pStyle w:val="Bezmezer"/>
              <w:spacing w:line="360" w:lineRule="auto"/>
              <w:jc w:val="both"/>
              <w:rPr>
                <w:rStyle w:val="Hypertextovodkaz"/>
                <w:rFonts w:ascii="Arial" w:hAnsi="Arial" w:cs="Arial"/>
                <w:color w:val="auto"/>
                <w:sz w:val="20"/>
                <w:szCs w:val="20"/>
                <w:u w:val="none"/>
                <w:lang w:eastAsia="cs-CZ"/>
              </w:rPr>
            </w:pPr>
          </w:p>
          <w:p w14:paraId="05FD047F" w14:textId="2CCCB646"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FE7699">
              <w:rPr>
                <w:rStyle w:val="Hypertextovodkaz"/>
                <w:rFonts w:ascii="Arial" w:eastAsia="Times New Roman" w:hAnsi="Arial" w:cs="Arial"/>
                <w:bCs/>
                <w:i/>
                <w:color w:val="0F0D29" w:themeColor="text1"/>
                <w:kern w:val="36"/>
                <w:sz w:val="20"/>
                <w:szCs w:val="20"/>
                <w:u w:val="none"/>
                <w:lang w:eastAsia="cs-CZ"/>
              </w:rPr>
              <w:t>OPS</w:t>
            </w:r>
            <w:r w:rsidR="00757FDF">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3BF34011"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E7699">
              <w:rPr>
                <w:rStyle w:val="Hypertextovodkaz"/>
                <w:rFonts w:ascii="Arial" w:eastAsia="Times New Roman" w:hAnsi="Arial" w:cs="Arial"/>
                <w:i/>
                <w:color w:val="0F0D29" w:themeColor="text1"/>
                <w:kern w:val="36"/>
                <w:sz w:val="20"/>
                <w:szCs w:val="20"/>
                <w:u w:val="none"/>
                <w:lang w:eastAsia="cs-CZ"/>
              </w:rPr>
              <w:t>OPS</w:t>
            </w:r>
            <w:r w:rsidR="00757FDF">
              <w:rPr>
                <w:rStyle w:val="Hypertextovodkaz"/>
                <w:rFonts w:ascii="Arial" w:eastAsia="Times New Roman" w:hAnsi="Arial" w:cs="Arial"/>
                <w:i/>
                <w:color w:val="0F0D29" w:themeColor="text1"/>
                <w:kern w:val="36"/>
                <w:sz w:val="20"/>
                <w:szCs w:val="20"/>
                <w:u w:val="none"/>
                <w:lang w:eastAsia="cs-CZ"/>
              </w:rPr>
              <w:t xml:space="preserve"> – </w:t>
            </w:r>
            <w:r w:rsidR="00FE7699">
              <w:rPr>
                <w:rStyle w:val="Hypertextovodkaz"/>
                <w:rFonts w:ascii="Arial" w:eastAsia="Times New Roman" w:hAnsi="Arial" w:cs="Arial"/>
                <w:i/>
                <w:color w:val="0F0D29" w:themeColor="text1"/>
                <w:kern w:val="36"/>
                <w:sz w:val="20"/>
                <w:szCs w:val="20"/>
                <w:u w:val="none"/>
                <w:lang w:eastAsia="cs-CZ"/>
              </w:rPr>
              <w:t xml:space="preserve">Mgr. Pavel Císař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3358">
              <w:rPr>
                <w:rStyle w:val="Hypertextovodkaz"/>
                <w:rFonts w:ascii="Arial" w:eastAsia="Times New Roman" w:hAnsi="Arial" w:cs="Arial"/>
                <w:b/>
                <w:bCs/>
                <w:i/>
                <w:color w:val="0F0D29" w:themeColor="text1"/>
                <w:kern w:val="36"/>
                <w:sz w:val="20"/>
                <w:szCs w:val="20"/>
                <w:u w:val="none"/>
                <w:lang w:eastAsia="cs-CZ"/>
              </w:rPr>
              <w:t xml:space="preserve">31. </w:t>
            </w:r>
            <w:r w:rsidR="00FE7699">
              <w:rPr>
                <w:rStyle w:val="Hypertextovodkaz"/>
                <w:rFonts w:ascii="Arial" w:eastAsia="Times New Roman" w:hAnsi="Arial" w:cs="Arial"/>
                <w:b/>
                <w:bCs/>
                <w:i/>
                <w:color w:val="0F0D29" w:themeColor="text1"/>
                <w:kern w:val="36"/>
                <w:sz w:val="20"/>
                <w:szCs w:val="20"/>
                <w:u w:val="none"/>
                <w:lang w:eastAsia="cs-CZ"/>
              </w:rPr>
              <w:t>8</w:t>
            </w:r>
            <w:r w:rsidR="005A2C01">
              <w:rPr>
                <w:rStyle w:val="Hypertextovodkaz"/>
                <w:rFonts w:ascii="Arial" w:eastAsia="Times New Roman" w:hAnsi="Arial" w:cs="Arial"/>
                <w:b/>
                <w:bCs/>
                <w:i/>
                <w:color w:val="0F0D29" w:themeColor="text1"/>
                <w:kern w:val="36"/>
                <w:sz w:val="20"/>
                <w:szCs w:val="20"/>
                <w:u w:val="none"/>
                <w:lang w:eastAsia="cs-CZ"/>
              </w:rPr>
              <w:t>. 2024</w:t>
            </w:r>
          </w:p>
          <w:p w14:paraId="07995244" w14:textId="77411A93" w:rsidR="005C6E3C" w:rsidRDefault="005C6E3C" w:rsidP="005C6E3C">
            <w:pPr>
              <w:pStyle w:val="Bezmezer"/>
              <w:tabs>
                <w:tab w:val="left" w:pos="6360"/>
              </w:tabs>
              <w:spacing w:line="360" w:lineRule="auto"/>
            </w:pPr>
          </w:p>
          <w:p w14:paraId="7E6E5DDA" w14:textId="31960F0B" w:rsidR="00360A8C" w:rsidRPr="005078C0" w:rsidRDefault="007E3520"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7E3520">
              <w:rPr>
                <w:rStyle w:val="Hypertextovodkaz"/>
                <w:rFonts w:ascii="Arial" w:eastAsia="Times New Roman" w:hAnsi="Arial" w:cs="Arial"/>
                <w:b/>
                <w:bCs/>
                <w:color w:val="0F0D29" w:themeColor="text1"/>
                <w:kern w:val="36"/>
                <w:sz w:val="24"/>
                <w:szCs w:val="20"/>
                <w:u w:val="none"/>
                <w:lang w:eastAsia="cs-CZ"/>
              </w:rPr>
              <w:t>Návrh zákona, kterým se mění zákon č. 134/2016 Sb. o zadávání veřejných zakázek</w:t>
            </w:r>
            <w:r w:rsidR="00624340">
              <w:rPr>
                <w:rStyle w:val="Hypertextovodkaz"/>
                <w:rFonts w:ascii="Arial" w:eastAsia="Times New Roman" w:hAnsi="Arial" w:cs="Arial"/>
                <w:b/>
                <w:bCs/>
                <w:color w:val="0F0D29" w:themeColor="text1"/>
                <w:kern w:val="36"/>
                <w:sz w:val="24"/>
                <w:szCs w:val="24"/>
                <w:u w:val="none"/>
                <w:lang w:eastAsia="cs-CZ"/>
              </w:rPr>
              <w:pict w14:anchorId="11E0F6F2">
                <v:rect id="_x0000_i1035" style="width:0;height:1.5pt" o:hralign="center" o:hrstd="t" o:hr="t" fillcolor="#a0a0a0" stroked="f"/>
              </w:pict>
            </w:r>
          </w:p>
          <w:p w14:paraId="2DC41E3F" w14:textId="1289DBD2" w:rsidR="006E5699" w:rsidRDefault="006E5699"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rsidR="005A2C01">
              <w:rPr>
                <w:rStyle w:val="Hypertextovodkaz"/>
                <w:rFonts w:ascii="Arial" w:hAnsi="Arial" w:cs="Arial"/>
                <w:color w:val="auto"/>
                <w:sz w:val="20"/>
                <w:szCs w:val="20"/>
                <w:u w:val="none"/>
                <w:lang w:eastAsia="cs-CZ"/>
              </w:rPr>
              <w:t xml:space="preserve"> </w:t>
            </w:r>
            <w:r w:rsidR="007E3520">
              <w:t xml:space="preserve"> </w:t>
            </w:r>
            <w:r w:rsidR="007E3520" w:rsidRPr="007E3520">
              <w:rPr>
                <w:rStyle w:val="Hypertextovodkaz"/>
                <w:rFonts w:ascii="Arial" w:hAnsi="Arial" w:cs="Arial"/>
                <w:color w:val="auto"/>
                <w:sz w:val="20"/>
                <w:szCs w:val="20"/>
                <w:u w:val="none"/>
                <w:lang w:eastAsia="cs-CZ"/>
              </w:rPr>
              <w:t>ALBSD65EF6FP</w:t>
            </w:r>
          </w:p>
          <w:p w14:paraId="66312A1B" w14:textId="741CDCEC" w:rsidR="00360A8C" w:rsidRPr="004405C5" w:rsidRDefault="00143358"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79815EF0" w14:textId="77777777" w:rsidR="007E3520" w:rsidRPr="007E3520" w:rsidRDefault="007E3520" w:rsidP="007E3520">
            <w:pPr>
              <w:pStyle w:val="Bezmezer"/>
              <w:spacing w:line="360" w:lineRule="auto"/>
              <w:jc w:val="both"/>
              <w:rPr>
                <w:rStyle w:val="Hypertextovodkaz"/>
                <w:rFonts w:ascii="Arial" w:hAnsi="Arial" w:cs="Arial"/>
                <w:color w:val="auto"/>
                <w:sz w:val="20"/>
                <w:szCs w:val="20"/>
                <w:u w:val="none"/>
                <w:lang w:eastAsia="cs-CZ"/>
              </w:rPr>
            </w:pPr>
          </w:p>
          <w:p w14:paraId="7D262F52" w14:textId="73240C9A" w:rsidR="005A2C01" w:rsidRDefault="007E3520" w:rsidP="007E3520">
            <w:pPr>
              <w:pStyle w:val="Bezmezer"/>
              <w:spacing w:line="360" w:lineRule="auto"/>
              <w:jc w:val="both"/>
              <w:rPr>
                <w:rStyle w:val="Hypertextovodkaz"/>
                <w:rFonts w:ascii="Arial" w:hAnsi="Arial" w:cs="Arial"/>
                <w:color w:val="auto"/>
                <w:sz w:val="20"/>
                <w:szCs w:val="20"/>
                <w:u w:val="none"/>
                <w:lang w:eastAsia="cs-CZ"/>
              </w:rPr>
            </w:pPr>
            <w:r w:rsidRPr="007E3520">
              <w:rPr>
                <w:rStyle w:val="Hypertextovodkaz"/>
                <w:rFonts w:ascii="Arial" w:hAnsi="Arial" w:cs="Arial"/>
                <w:color w:val="auto"/>
                <w:sz w:val="20"/>
                <w:szCs w:val="20"/>
                <w:u w:val="none"/>
                <w:lang w:eastAsia="cs-CZ"/>
              </w:rPr>
              <w:t>Cílem předkládané novely zákona o zadávání veřejných zakázek a souvisejících zákonů je zajištění účinného a zejména co nejrychlejšího přezkumu zadávání veřejných zakázek tak, aby byl současně uspokojen veřejný zájem na tom, aby veřejné zakázky mohly být zadávány bez nepřiměřených průtahů.</w:t>
            </w:r>
          </w:p>
          <w:p w14:paraId="261FD54F" w14:textId="77777777" w:rsidR="007E3520" w:rsidRPr="005C6E3C" w:rsidRDefault="007E3520" w:rsidP="007E3520">
            <w:pPr>
              <w:pStyle w:val="Bezmezer"/>
              <w:spacing w:line="360" w:lineRule="auto"/>
              <w:jc w:val="both"/>
              <w:rPr>
                <w:rStyle w:val="Hypertextovodkaz"/>
                <w:rFonts w:ascii="Arial" w:hAnsi="Arial" w:cs="Arial"/>
                <w:color w:val="auto"/>
                <w:sz w:val="20"/>
                <w:szCs w:val="20"/>
                <w:u w:val="none"/>
                <w:lang w:eastAsia="cs-CZ"/>
              </w:rPr>
            </w:pPr>
          </w:p>
          <w:p w14:paraId="1E9A7B25" w14:textId="4DDBECE6"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7E3520">
              <w:rPr>
                <w:rStyle w:val="Hypertextovodkaz"/>
                <w:rFonts w:ascii="Arial" w:eastAsia="Times New Roman" w:hAnsi="Arial" w:cs="Arial"/>
                <w:bCs/>
                <w:i/>
                <w:color w:val="0F0D29" w:themeColor="text1"/>
                <w:kern w:val="36"/>
                <w:sz w:val="20"/>
                <w:szCs w:val="20"/>
                <w:u w:val="none"/>
                <w:lang w:eastAsia="cs-CZ"/>
              </w:rPr>
              <w:t>OPS</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772F3C3" w14:textId="77777777"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FFE57F4" w14:textId="0952D0D3" w:rsidR="004863FE" w:rsidRPr="005078C0" w:rsidRDefault="004863FE" w:rsidP="004863F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C7D5A">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3358">
              <w:rPr>
                <w:rStyle w:val="Hypertextovodkaz"/>
                <w:rFonts w:ascii="Arial" w:eastAsia="Times New Roman" w:hAnsi="Arial" w:cs="Arial"/>
                <w:b/>
                <w:bCs/>
                <w:i/>
                <w:color w:val="0F0D29" w:themeColor="text1"/>
                <w:kern w:val="36"/>
                <w:sz w:val="20"/>
                <w:szCs w:val="20"/>
                <w:u w:val="none"/>
                <w:lang w:eastAsia="cs-CZ"/>
              </w:rPr>
              <w:t xml:space="preserve">31. </w:t>
            </w:r>
            <w:r w:rsidR="00FC7D5A">
              <w:rPr>
                <w:rStyle w:val="Hypertextovodkaz"/>
                <w:rFonts w:ascii="Arial" w:eastAsia="Times New Roman" w:hAnsi="Arial" w:cs="Arial"/>
                <w:b/>
                <w:bCs/>
                <w:i/>
                <w:color w:val="0F0D29" w:themeColor="text1"/>
                <w:kern w:val="36"/>
                <w:sz w:val="20"/>
                <w:szCs w:val="20"/>
                <w:u w:val="none"/>
                <w:lang w:eastAsia="cs-CZ"/>
              </w:rPr>
              <w:t>8. 2024</w:t>
            </w:r>
          </w:p>
          <w:p w14:paraId="759938A1" w14:textId="34EB2394" w:rsidR="0001717D" w:rsidRDefault="0001717D"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02F5ABC6" w14:textId="77777777" w:rsidR="00341E8D" w:rsidRDefault="00341E8D"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D5176D7" w14:textId="3A71C551" w:rsidR="006E5699" w:rsidRPr="005078C0" w:rsidRDefault="00FC7D5A"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C7D5A">
              <w:rPr>
                <w:rStyle w:val="Hypertextovodkaz"/>
                <w:rFonts w:ascii="Arial" w:eastAsia="Times New Roman" w:hAnsi="Arial" w:cs="Arial"/>
                <w:b/>
                <w:bCs/>
                <w:color w:val="0F0D29" w:themeColor="text1"/>
                <w:kern w:val="36"/>
                <w:sz w:val="24"/>
                <w:szCs w:val="20"/>
                <w:u w:val="none"/>
                <w:lang w:eastAsia="cs-CZ"/>
              </w:rPr>
              <w:t>Návrh zákona, kterým se mění některé zákony v souvislosti s přijetím zákona o účetnictví</w:t>
            </w:r>
            <w:bookmarkStart w:id="0" w:name="_Hlk155039052"/>
            <w:r w:rsidR="00624340">
              <w:rPr>
                <w:rStyle w:val="Hypertextovodkaz"/>
                <w:rFonts w:ascii="Arial" w:eastAsia="Times New Roman" w:hAnsi="Arial" w:cs="Arial"/>
                <w:b/>
                <w:bCs/>
                <w:color w:val="0F0D29" w:themeColor="text1"/>
                <w:kern w:val="36"/>
                <w:sz w:val="24"/>
                <w:szCs w:val="24"/>
                <w:u w:val="none"/>
                <w:lang w:eastAsia="cs-CZ"/>
              </w:rPr>
              <w:pict w14:anchorId="3EF6636F">
                <v:rect id="_x0000_i1036" style="width:0;height:1.5pt" o:hralign="center" o:hrstd="t" o:hr="t" fillcolor="#a0a0a0" stroked="f"/>
              </w:pict>
            </w:r>
          </w:p>
          <w:p w14:paraId="0948BD99" w14:textId="36FF6CF9" w:rsidR="006E5699" w:rsidRDefault="00122416"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EB3773">
              <w:t xml:space="preserve"> </w:t>
            </w:r>
            <w:r w:rsidR="005A2C01">
              <w:t xml:space="preserve"> </w:t>
            </w:r>
            <w:r w:rsidR="00FC7D5A">
              <w:t xml:space="preserve"> </w:t>
            </w:r>
            <w:r w:rsidR="00FC7D5A" w:rsidRPr="00FC7D5A">
              <w:rPr>
                <w:rStyle w:val="Hypertextovodkaz"/>
                <w:rFonts w:ascii="Arial" w:hAnsi="Arial" w:cs="Arial"/>
                <w:color w:val="auto"/>
                <w:sz w:val="20"/>
                <w:szCs w:val="20"/>
                <w:u w:val="none"/>
                <w:lang w:eastAsia="cs-CZ"/>
              </w:rPr>
              <w:t>KORND5SBAVSH</w:t>
            </w:r>
            <w:r w:rsidR="005A2C01" w:rsidRPr="005A2C01">
              <w:rPr>
                <w:rStyle w:val="Hypertextovodkaz"/>
                <w:rFonts w:ascii="Arial" w:hAnsi="Arial" w:cs="Arial"/>
                <w:color w:val="auto"/>
                <w:sz w:val="20"/>
                <w:szCs w:val="20"/>
                <w:u w:val="none"/>
                <w:lang w:eastAsia="cs-CZ"/>
              </w:rPr>
              <w:t xml:space="preserve"> </w:t>
            </w:r>
            <w:r>
              <w:rPr>
                <w:rStyle w:val="Hypertextovodkaz"/>
                <w:rFonts w:ascii="Arial" w:hAnsi="Arial" w:cs="Arial"/>
                <w:color w:val="auto"/>
                <w:sz w:val="20"/>
                <w:szCs w:val="20"/>
                <w:u w:val="none"/>
                <w:lang w:eastAsia="cs-CZ"/>
              </w:rPr>
              <w:t xml:space="preserve"> </w:t>
            </w:r>
          </w:p>
          <w:p w14:paraId="469E3F7E" w14:textId="2D5F4A61" w:rsidR="006E5699" w:rsidRPr="004405C5" w:rsidRDefault="00FC7D5A"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74327311"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177DA311" w14:textId="7F975916" w:rsidR="00A03608" w:rsidRDefault="00FC7D5A" w:rsidP="00664524">
            <w:pPr>
              <w:pStyle w:val="Bezmezer"/>
              <w:spacing w:line="360" w:lineRule="auto"/>
              <w:jc w:val="both"/>
              <w:rPr>
                <w:rStyle w:val="Hypertextovodkaz"/>
                <w:rFonts w:ascii="Arial" w:hAnsi="Arial" w:cs="Arial"/>
                <w:color w:val="auto"/>
                <w:sz w:val="20"/>
                <w:szCs w:val="20"/>
                <w:u w:val="none"/>
                <w:lang w:eastAsia="cs-CZ"/>
              </w:rPr>
            </w:pPr>
            <w:r w:rsidRPr="00FC7D5A">
              <w:rPr>
                <w:rStyle w:val="Hypertextovodkaz"/>
                <w:rFonts w:ascii="Arial" w:hAnsi="Arial" w:cs="Arial"/>
                <w:color w:val="auto"/>
                <w:sz w:val="20"/>
                <w:szCs w:val="20"/>
                <w:u w:val="none"/>
                <w:lang w:eastAsia="cs-CZ"/>
              </w:rPr>
              <w:t xml:space="preserve">Cílem předkládaného návrhu zákona, kterým se mění některé zákony v souvislosti s přijetím zákona o účetnictví, (dále jen „změnový zákon“) je reflektovat v právním řádu změny navazující na návrh nového zákona o účetnictví, který byl vládě předložen v lednu 2024. Tyto změny mají jak legislativně-technický, tak věcný charakter, neboť návrh zákona o účetnictví přináší nejen změny v oblasti terminologie, ale rovněž změnu pojetí účetnictví jako takového a změny dosavadního přístupu k řešení některých oblastí. </w:t>
            </w:r>
          </w:p>
          <w:p w14:paraId="19DD6D33"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412B8EF4" w14:textId="23DF322F"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FC7D5A">
              <w:rPr>
                <w:rStyle w:val="Hypertextovodkaz"/>
                <w:rFonts w:ascii="Arial" w:eastAsia="Times New Roman" w:hAnsi="Arial" w:cs="Arial"/>
                <w:bCs/>
                <w:i/>
                <w:color w:val="0F0D29" w:themeColor="text1"/>
                <w:kern w:val="36"/>
                <w:sz w:val="20"/>
                <w:szCs w:val="20"/>
                <w:u w:val="none"/>
                <w:lang w:eastAsia="cs-CZ"/>
              </w:rPr>
              <w:t>FÚ</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F1807D3"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F10AB0" w14:textId="382C799D"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C7D5A">
              <w:rPr>
                <w:rStyle w:val="Hypertextovodkaz"/>
                <w:rFonts w:ascii="Arial" w:eastAsia="Times New Roman" w:hAnsi="Arial" w:cs="Arial"/>
                <w:i/>
                <w:color w:val="0F0D29" w:themeColor="text1"/>
                <w:kern w:val="36"/>
                <w:sz w:val="20"/>
                <w:szCs w:val="20"/>
                <w:u w:val="none"/>
                <w:lang w:eastAsia="cs-CZ"/>
              </w:rPr>
              <w:t>FÚ</w:t>
            </w:r>
            <w:r w:rsidR="00A03608">
              <w:rPr>
                <w:rStyle w:val="Hypertextovodkaz"/>
                <w:rFonts w:ascii="Arial" w:eastAsia="Times New Roman" w:hAnsi="Arial" w:cs="Arial"/>
                <w:i/>
                <w:color w:val="0F0D29" w:themeColor="text1"/>
                <w:kern w:val="36"/>
                <w:sz w:val="20"/>
                <w:szCs w:val="20"/>
                <w:u w:val="none"/>
                <w:lang w:eastAsia="cs-CZ"/>
              </w:rPr>
              <w:t xml:space="preserve"> </w:t>
            </w:r>
            <w:r w:rsidR="00664524">
              <w:rPr>
                <w:rStyle w:val="Hypertextovodkaz"/>
                <w:rFonts w:ascii="Arial" w:eastAsia="Times New Roman" w:hAnsi="Arial" w:cs="Arial"/>
                <w:i/>
                <w:color w:val="0F0D29" w:themeColor="text1"/>
                <w:kern w:val="36"/>
                <w:sz w:val="20"/>
                <w:szCs w:val="20"/>
                <w:u w:val="none"/>
                <w:lang w:eastAsia="cs-CZ"/>
              </w:rPr>
              <w:t>–</w:t>
            </w:r>
            <w:r w:rsidR="00A03608">
              <w:rPr>
                <w:rStyle w:val="Hypertextovodkaz"/>
                <w:rFonts w:ascii="Arial" w:eastAsia="Times New Roman" w:hAnsi="Arial" w:cs="Arial"/>
                <w:i/>
                <w:color w:val="0F0D29" w:themeColor="text1"/>
                <w:kern w:val="36"/>
                <w:sz w:val="20"/>
                <w:szCs w:val="20"/>
                <w:u w:val="none"/>
                <w:lang w:eastAsia="cs-CZ"/>
              </w:rPr>
              <w:t xml:space="preserve"> </w:t>
            </w:r>
            <w:r w:rsidR="00FC7D5A">
              <w:rPr>
                <w:rStyle w:val="Hypertextovodkaz"/>
                <w:rFonts w:ascii="Arial" w:eastAsia="Times New Roman" w:hAnsi="Arial" w:cs="Arial"/>
                <w:i/>
                <w:color w:val="0F0D29" w:themeColor="text1"/>
                <w:kern w:val="36"/>
                <w:sz w:val="20"/>
                <w:szCs w:val="20"/>
                <w:u w:val="none"/>
                <w:lang w:eastAsia="cs-CZ"/>
              </w:rPr>
              <w:t>Ing. Helena Hostková</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C7D5A">
              <w:rPr>
                <w:rStyle w:val="Hypertextovodkaz"/>
                <w:rFonts w:ascii="Arial" w:eastAsia="Times New Roman" w:hAnsi="Arial" w:cs="Arial"/>
                <w:b/>
                <w:bCs/>
                <w:i/>
                <w:color w:val="0F0D29" w:themeColor="text1"/>
                <w:kern w:val="36"/>
                <w:sz w:val="20"/>
                <w:szCs w:val="20"/>
                <w:u w:val="none"/>
                <w:lang w:eastAsia="cs-CZ"/>
              </w:rPr>
              <w:t>31. 10. 2024</w:t>
            </w:r>
          </w:p>
          <w:bookmarkEnd w:id="0"/>
          <w:p w14:paraId="2FCF5422" w14:textId="7B0C78D2" w:rsidR="002607A4" w:rsidRDefault="002607A4" w:rsidP="00932F08">
            <w:pPr>
              <w:pStyle w:val="Bezmezer"/>
              <w:tabs>
                <w:tab w:val="left" w:pos="6360"/>
              </w:tabs>
              <w:spacing w:line="360" w:lineRule="auto"/>
            </w:pPr>
          </w:p>
          <w:p w14:paraId="20E24912" w14:textId="77777777" w:rsidR="002C6B88" w:rsidRDefault="002C6B88" w:rsidP="00932F08">
            <w:pPr>
              <w:pStyle w:val="Bezmezer"/>
              <w:tabs>
                <w:tab w:val="left" w:pos="6360"/>
              </w:tabs>
              <w:spacing w:line="360" w:lineRule="auto"/>
            </w:pPr>
          </w:p>
          <w:p w14:paraId="132E550C" w14:textId="77777777" w:rsidR="002C6B88" w:rsidRDefault="002C6B88" w:rsidP="00932F08">
            <w:pPr>
              <w:pStyle w:val="Bezmezer"/>
              <w:tabs>
                <w:tab w:val="left" w:pos="6360"/>
              </w:tabs>
              <w:spacing w:line="360" w:lineRule="auto"/>
            </w:pPr>
          </w:p>
          <w:p w14:paraId="2BC8F154" w14:textId="77777777" w:rsidR="002C6B88" w:rsidRDefault="002C6B88" w:rsidP="00932F08">
            <w:pPr>
              <w:pStyle w:val="Bezmezer"/>
              <w:tabs>
                <w:tab w:val="left" w:pos="6360"/>
              </w:tabs>
              <w:spacing w:line="360" w:lineRule="auto"/>
            </w:pPr>
          </w:p>
          <w:p w14:paraId="4E46E676" w14:textId="77777777" w:rsidR="002C6B88" w:rsidRDefault="002C6B88" w:rsidP="00932F08">
            <w:pPr>
              <w:pStyle w:val="Bezmezer"/>
              <w:tabs>
                <w:tab w:val="left" w:pos="6360"/>
              </w:tabs>
              <w:spacing w:line="360" w:lineRule="auto"/>
            </w:pPr>
          </w:p>
          <w:p w14:paraId="6BE6A2E7" w14:textId="77777777" w:rsidR="002C6B88" w:rsidRDefault="002C6B88" w:rsidP="00932F08">
            <w:pPr>
              <w:pStyle w:val="Bezmezer"/>
              <w:tabs>
                <w:tab w:val="left" w:pos="6360"/>
              </w:tabs>
              <w:spacing w:line="360" w:lineRule="auto"/>
            </w:pPr>
          </w:p>
          <w:p w14:paraId="11AE3132" w14:textId="77777777" w:rsidR="002C6B88" w:rsidRDefault="002C6B88" w:rsidP="00932F08">
            <w:pPr>
              <w:pStyle w:val="Bezmezer"/>
              <w:tabs>
                <w:tab w:val="left" w:pos="6360"/>
              </w:tabs>
              <w:spacing w:line="360" w:lineRule="auto"/>
            </w:pPr>
          </w:p>
          <w:p w14:paraId="2B1D932A" w14:textId="7355B6CF" w:rsidR="006E5699" w:rsidRPr="005078C0" w:rsidRDefault="009942CE"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bookmarkStart w:id="1" w:name="_Hlk155039169"/>
            <w:r w:rsidRPr="009942CE">
              <w:rPr>
                <w:rStyle w:val="Hypertextovodkaz"/>
                <w:rFonts w:ascii="Arial" w:eastAsia="Times New Roman" w:hAnsi="Arial" w:cs="Arial"/>
                <w:b/>
                <w:bCs/>
                <w:color w:val="0F0D29" w:themeColor="text1"/>
                <w:kern w:val="36"/>
                <w:sz w:val="24"/>
                <w:szCs w:val="20"/>
                <w:u w:val="none"/>
                <w:lang w:eastAsia="cs-CZ"/>
              </w:rPr>
              <w:lastRenderedPageBreak/>
              <w:t>Návrh zákona, kterým se mění zákon č. 167/2008 Sb., o předcházení ekologické újmě a o její nápravě a o změně některých zákonů, ve znění pozdějších předpisů, a další související zákony</w:t>
            </w:r>
            <w:r w:rsidR="00624340">
              <w:rPr>
                <w:rStyle w:val="Hypertextovodkaz"/>
                <w:rFonts w:ascii="Arial" w:eastAsia="Times New Roman" w:hAnsi="Arial" w:cs="Arial"/>
                <w:b/>
                <w:bCs/>
                <w:color w:val="0F0D29" w:themeColor="text1"/>
                <w:kern w:val="36"/>
                <w:sz w:val="24"/>
                <w:szCs w:val="24"/>
                <w:u w:val="none"/>
                <w:lang w:eastAsia="cs-CZ"/>
              </w:rPr>
              <w:pict w14:anchorId="2AAC3297">
                <v:rect id="_x0000_i1037" style="width:0;height:1.5pt" o:hralign="center" o:hrstd="t" o:hr="t" fillcolor="#a0a0a0" stroked="f"/>
              </w:pict>
            </w:r>
          </w:p>
          <w:p w14:paraId="28A3709A" w14:textId="3A681BE7" w:rsidR="006E5699"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341E8D">
              <w:t xml:space="preserve"> </w:t>
            </w:r>
            <w:r w:rsidR="001D3246">
              <w:t xml:space="preserve"> </w:t>
            </w:r>
            <w:r w:rsidR="00664524">
              <w:t xml:space="preserve"> </w:t>
            </w:r>
            <w:r w:rsidR="00A03608">
              <w:t xml:space="preserve"> </w:t>
            </w:r>
            <w:r w:rsidR="009942CE">
              <w:t xml:space="preserve"> </w:t>
            </w:r>
            <w:r w:rsidR="009942CE" w:rsidRPr="009942CE">
              <w:rPr>
                <w:rStyle w:val="Hypertextovodkaz"/>
                <w:rFonts w:ascii="Arial" w:hAnsi="Arial" w:cs="Arial"/>
                <w:color w:val="auto"/>
                <w:sz w:val="20"/>
                <w:szCs w:val="20"/>
                <w:u w:val="none"/>
                <w:lang w:eastAsia="cs-CZ"/>
              </w:rPr>
              <w:t>KORND5KDYKPA</w:t>
            </w:r>
          </w:p>
          <w:p w14:paraId="21237C38" w14:textId="7B838BDF" w:rsidR="006E5699" w:rsidRPr="004405C5" w:rsidRDefault="009942CE"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696133A1"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p>
          <w:p w14:paraId="510685AC"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44E6E5FB" w14:textId="11DD2EFA" w:rsidR="00A03608" w:rsidRPr="009942CE" w:rsidRDefault="009942CE" w:rsidP="00A03608">
            <w:pPr>
              <w:pStyle w:val="Bezmezer"/>
              <w:spacing w:line="360" w:lineRule="auto"/>
              <w:jc w:val="both"/>
              <w:rPr>
                <w:rFonts w:ascii="Arial" w:hAnsi="Arial" w:cs="Arial"/>
                <w:sz w:val="20"/>
                <w:szCs w:val="20"/>
              </w:rPr>
            </w:pPr>
            <w:r w:rsidRPr="009942CE">
              <w:rPr>
                <w:rFonts w:ascii="Arial" w:hAnsi="Arial" w:cs="Arial"/>
                <w:sz w:val="20"/>
                <w:szCs w:val="20"/>
              </w:rPr>
              <w:t xml:space="preserve">Zákon o předcházení ekologické újmě (dále jen „ZEU“) je transpozičním předpisem ve vztahu ke směrnici Evropského parlamentu a Rady 2004/35/ES ze dne 21. dubna 2004 o odpovědnosti za životní prostředí v souvislosti s prevencí a nápravou škod na životním prostředí (dále jen „Směrnice“). Přestože transpozice Směrnice je v tuto chvíli úplná a řádná, zákon není v aplikační praxi využíván, a to z důvodu jeho nejasné působnosti ve vztahu k složkovým právním předpisům upravujícím obdobnou matérii, tedy ukládání nápravných opatření (vodní zákon, zákon o zemědělském půdním fondu, zákon o ochran přírody a krajiny). Účelem novely je tak primárně zefektivnění aplikační praxe, a to díky jasnému odlišení působnosti zákona od působnosti složkových předpisů. Toto zpřesnění se děje prostřednictvím úpravy definice ekologické újmy. </w:t>
            </w:r>
          </w:p>
          <w:p w14:paraId="1465BBAD" w14:textId="77777777" w:rsidR="009942CE" w:rsidRDefault="009942CE" w:rsidP="00A03608">
            <w:pPr>
              <w:pStyle w:val="Bezmezer"/>
              <w:spacing w:line="360" w:lineRule="auto"/>
              <w:jc w:val="both"/>
              <w:rPr>
                <w:rStyle w:val="Hypertextovodkaz"/>
                <w:rFonts w:ascii="Arial" w:hAnsi="Arial" w:cs="Arial"/>
                <w:color w:val="auto"/>
                <w:sz w:val="20"/>
                <w:szCs w:val="20"/>
                <w:u w:val="none"/>
                <w:lang w:eastAsia="cs-CZ"/>
              </w:rPr>
            </w:pPr>
          </w:p>
          <w:p w14:paraId="47DD8E01" w14:textId="0925CFA4"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sidR="00664524">
              <w:rPr>
                <w:rStyle w:val="Hypertextovodkaz"/>
                <w:rFonts w:ascii="Arial" w:eastAsia="Times New Roman" w:hAnsi="Arial" w:cs="Arial"/>
                <w:b/>
                <w:bCs/>
                <w:i/>
                <w:color w:val="0F0D29" w:themeColor="text1"/>
                <w:kern w:val="36"/>
                <w:sz w:val="20"/>
                <w:szCs w:val="20"/>
                <w:u w:val="none"/>
                <w:lang w:eastAsia="cs-CZ"/>
              </w:rPr>
              <w:t xml:space="preserve"> </w:t>
            </w:r>
            <w:r w:rsidR="004A4296">
              <w:rPr>
                <w:rStyle w:val="Hypertextovodkaz"/>
                <w:rFonts w:ascii="Arial" w:eastAsia="Times New Roman" w:hAnsi="Arial" w:cs="Arial"/>
                <w:i/>
                <w:color w:val="0F0D29" w:themeColor="text1"/>
                <w:kern w:val="36"/>
                <w:sz w:val="20"/>
                <w:szCs w:val="20"/>
                <w:u w:val="none"/>
                <w:lang w:eastAsia="cs-CZ"/>
              </w:rPr>
              <w:t>OHSE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99D92AF"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D1100A4" w14:textId="1DF70DF7"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4A4296">
              <w:rPr>
                <w:rStyle w:val="Hypertextovodkaz"/>
                <w:rFonts w:ascii="Arial" w:eastAsia="Times New Roman" w:hAnsi="Arial" w:cs="Arial"/>
                <w:i/>
                <w:color w:val="0F0D29" w:themeColor="text1"/>
                <w:kern w:val="36"/>
                <w:sz w:val="20"/>
                <w:szCs w:val="20"/>
                <w:u w:val="none"/>
                <w:lang w:eastAsia="cs-CZ"/>
              </w:rPr>
              <w:t>OHSE</w:t>
            </w:r>
            <w:r w:rsidR="00664524">
              <w:rPr>
                <w:rStyle w:val="Hypertextovodkaz"/>
                <w:rFonts w:ascii="Arial" w:eastAsia="Times New Roman" w:hAnsi="Arial" w:cs="Arial"/>
                <w:i/>
                <w:color w:val="0F0D29" w:themeColor="text1"/>
                <w:kern w:val="36"/>
                <w:sz w:val="20"/>
                <w:szCs w:val="20"/>
                <w:u w:val="none"/>
                <w:lang w:eastAsia="cs-CZ"/>
              </w:rPr>
              <w:t xml:space="preserve"> </w:t>
            </w:r>
            <w:r w:rsidR="0014695E">
              <w:rPr>
                <w:rStyle w:val="Hypertextovodkaz"/>
                <w:rFonts w:ascii="Arial" w:eastAsia="Times New Roman" w:hAnsi="Arial" w:cs="Arial"/>
                <w:i/>
                <w:color w:val="0F0D29" w:themeColor="text1"/>
                <w:kern w:val="36"/>
                <w:sz w:val="20"/>
                <w:szCs w:val="20"/>
                <w:u w:val="none"/>
                <w:lang w:eastAsia="cs-CZ"/>
              </w:rPr>
              <w:t xml:space="preserve">– Ing. </w:t>
            </w:r>
            <w:r w:rsidR="004A4296">
              <w:rPr>
                <w:rStyle w:val="Hypertextovodkaz"/>
                <w:rFonts w:ascii="Arial" w:eastAsia="Times New Roman" w:hAnsi="Arial" w:cs="Arial"/>
                <w:i/>
                <w:color w:val="0F0D29" w:themeColor="text1"/>
                <w:kern w:val="36"/>
                <w:sz w:val="20"/>
                <w:szCs w:val="20"/>
                <w:u w:val="none"/>
                <w:lang w:eastAsia="cs-CZ"/>
              </w:rPr>
              <w:t>Zdeněk Stejskal</w:t>
            </w:r>
            <w:r w:rsidR="0014695E">
              <w:rPr>
                <w:rStyle w:val="Hypertextovodkaz"/>
                <w:rFonts w:ascii="Arial" w:eastAsia="Times New Roman" w:hAnsi="Arial" w:cs="Arial"/>
                <w:i/>
                <w:color w:val="0F0D29" w:themeColor="text1"/>
                <w:kern w:val="36"/>
                <w:sz w:val="20"/>
                <w:szCs w:val="20"/>
                <w:u w:val="none"/>
                <w:lang w:eastAsia="cs-CZ"/>
              </w:rPr>
              <w:t xml:space="preserve"> </w:t>
            </w:r>
            <w:r w:rsidR="00BF7FF8">
              <w:rPr>
                <w:rStyle w:val="Hypertextovodkaz"/>
                <w:rFonts w:ascii="Arial" w:eastAsia="Times New Roman" w:hAnsi="Arial" w:cs="Arial"/>
                <w:i/>
                <w:color w:val="0F0D29" w:themeColor="text1"/>
                <w:kern w:val="36"/>
                <w:sz w:val="20"/>
                <w:szCs w:val="20"/>
                <w:u w:val="none"/>
                <w:lang w:eastAsia="cs-CZ"/>
              </w:rPr>
              <w:t xml:space="preserve">             </w:t>
            </w:r>
            <w:r w:rsidR="0014695E">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64524">
              <w:rPr>
                <w:rStyle w:val="Hypertextovodkaz"/>
                <w:rFonts w:ascii="Arial" w:eastAsia="Times New Roman" w:hAnsi="Arial" w:cs="Arial"/>
                <w:b/>
                <w:bCs/>
                <w:i/>
                <w:color w:val="0F0D29" w:themeColor="text1"/>
                <w:kern w:val="36"/>
                <w:sz w:val="20"/>
                <w:szCs w:val="20"/>
                <w:u w:val="none"/>
                <w:lang w:eastAsia="cs-CZ"/>
              </w:rPr>
              <w:t>31.</w:t>
            </w:r>
            <w:r w:rsidR="004A4296">
              <w:rPr>
                <w:rStyle w:val="Hypertextovodkaz"/>
                <w:rFonts w:ascii="Arial" w:eastAsia="Times New Roman" w:hAnsi="Arial" w:cs="Arial"/>
                <w:b/>
                <w:bCs/>
                <w:i/>
                <w:color w:val="0F0D29" w:themeColor="text1"/>
                <w:kern w:val="36"/>
                <w:sz w:val="20"/>
                <w:szCs w:val="20"/>
                <w:u w:val="none"/>
                <w:lang w:eastAsia="cs-CZ"/>
              </w:rPr>
              <w:t>8</w:t>
            </w:r>
            <w:r w:rsidR="0019191D">
              <w:rPr>
                <w:rStyle w:val="Hypertextovodkaz"/>
                <w:rFonts w:ascii="Arial" w:eastAsia="Times New Roman" w:hAnsi="Arial" w:cs="Arial"/>
                <w:b/>
                <w:bCs/>
                <w:i/>
                <w:color w:val="0F0D29" w:themeColor="text1"/>
                <w:kern w:val="36"/>
                <w:sz w:val="20"/>
                <w:szCs w:val="20"/>
                <w:u w:val="none"/>
                <w:lang w:eastAsia="cs-CZ"/>
              </w:rPr>
              <w:t>.2024</w:t>
            </w:r>
          </w:p>
          <w:bookmarkEnd w:id="1"/>
          <w:p w14:paraId="75391A20" w14:textId="77777777" w:rsidR="006E5699" w:rsidRDefault="006E5699"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36EBF1FC" w:rsidR="00325E58" w:rsidRPr="00F61304" w:rsidRDefault="00A95633"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A95633">
              <w:rPr>
                <w:rStyle w:val="Hypertextovodkaz"/>
                <w:rFonts w:ascii="Arial" w:eastAsia="Times New Roman" w:hAnsi="Arial" w:cs="Arial"/>
                <w:b/>
                <w:bCs/>
                <w:color w:val="0F0D29" w:themeColor="text1"/>
                <w:kern w:val="36"/>
                <w:sz w:val="24"/>
                <w:szCs w:val="20"/>
                <w:u w:val="none"/>
                <w:lang w:eastAsia="cs-CZ"/>
              </w:rPr>
              <w:t>Nepřípustné započtení v době po rozhodnutí o úpadku dlužníka</w:t>
            </w:r>
            <w:r w:rsidR="00624340">
              <w:rPr>
                <w:rStyle w:val="Hypertextovodkaz"/>
                <w:rFonts w:ascii="Arial" w:eastAsia="Times New Roman" w:hAnsi="Arial" w:cs="Arial"/>
                <w:b/>
                <w:bCs/>
                <w:color w:val="0F0D29" w:themeColor="text1"/>
                <w:kern w:val="36"/>
                <w:sz w:val="24"/>
                <w:szCs w:val="24"/>
                <w:u w:val="none"/>
                <w:lang w:eastAsia="cs-CZ"/>
              </w:rPr>
              <w:pict w14:anchorId="2602181E">
                <v:rect id="_x0000_i1038" style="width:0;height:1.5pt" o:hralign="center" o:hrstd="t" o:hr="t" fillcolor="#a0a0a0" stroked="f"/>
              </w:pict>
            </w:r>
          </w:p>
          <w:p w14:paraId="31DF7D2A" w14:textId="6D91B99C" w:rsidR="00A828F5" w:rsidRDefault="00C215BB" w:rsidP="00C215B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C215BB">
              <w:rPr>
                <w:rStyle w:val="Hypertextovodkaz"/>
                <w:rFonts w:ascii="Arial" w:eastAsia="Times New Roman" w:hAnsi="Arial" w:cs="Arial"/>
                <w:bCs/>
                <w:color w:val="0F0D29" w:themeColor="text1"/>
                <w:kern w:val="36"/>
                <w:sz w:val="20"/>
                <w:szCs w:val="20"/>
                <w:u w:val="none"/>
                <w:lang w:eastAsia="cs-CZ"/>
              </w:rPr>
              <w:t xml:space="preserve">Nejvyšší soud </w:t>
            </w:r>
            <w:r>
              <w:rPr>
                <w:rStyle w:val="Hypertextovodkaz"/>
                <w:rFonts w:ascii="Arial" w:eastAsia="Times New Roman" w:hAnsi="Arial" w:cs="Arial"/>
                <w:bCs/>
                <w:color w:val="0F0D29" w:themeColor="text1"/>
                <w:kern w:val="36"/>
                <w:sz w:val="20"/>
                <w:szCs w:val="20"/>
                <w:u w:val="none"/>
                <w:lang w:eastAsia="cs-CZ"/>
              </w:rPr>
              <w:t>sp. zn.</w:t>
            </w:r>
            <w:r w:rsidRPr="00C215BB">
              <w:rPr>
                <w:rStyle w:val="Hypertextovodkaz"/>
                <w:rFonts w:ascii="Arial" w:eastAsia="Times New Roman" w:hAnsi="Arial" w:cs="Arial"/>
                <w:bCs/>
                <w:color w:val="0F0D29" w:themeColor="text1"/>
                <w:kern w:val="36"/>
                <w:sz w:val="20"/>
                <w:szCs w:val="20"/>
                <w:u w:val="none"/>
                <w:lang w:eastAsia="cs-CZ"/>
              </w:rPr>
              <w:t xml:space="preserve"> </w:t>
            </w:r>
            <w:r w:rsidR="00A95633" w:rsidRPr="00A95633">
              <w:rPr>
                <w:rStyle w:val="Hypertextovodkaz"/>
                <w:rFonts w:ascii="Arial" w:eastAsia="Times New Roman" w:hAnsi="Arial" w:cs="Arial"/>
                <w:bCs/>
                <w:color w:val="0F0D29" w:themeColor="text1"/>
                <w:kern w:val="36"/>
                <w:sz w:val="20"/>
                <w:szCs w:val="20"/>
                <w:u w:val="none"/>
                <w:lang w:eastAsia="cs-CZ"/>
              </w:rPr>
              <w:t xml:space="preserve"> 29 Cdo 3589/2021</w:t>
            </w:r>
          </w:p>
          <w:p w14:paraId="2B46E305" w14:textId="77777777" w:rsidR="00C215BB" w:rsidRPr="00F61304" w:rsidRDefault="00C215BB" w:rsidP="00C215B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098AE3CE" w14:textId="77777777" w:rsidR="00A95633" w:rsidRPr="00A95633" w:rsidRDefault="00A95633" w:rsidP="00A95633">
            <w:pPr>
              <w:pStyle w:val="Nadpis3"/>
              <w:shd w:val="clear" w:color="auto" w:fill="FFFFFF"/>
              <w:spacing w:before="0" w:after="390" w:line="360" w:lineRule="auto"/>
              <w:jc w:val="both"/>
              <w:rPr>
                <w:rFonts w:ascii="Arial" w:hAnsi="Arial" w:cs="Arial"/>
                <w:b w:val="0"/>
                <w:bCs/>
                <w:color w:val="000000"/>
                <w:sz w:val="20"/>
                <w:szCs w:val="20"/>
              </w:rPr>
            </w:pPr>
            <w:r w:rsidRPr="00A95633">
              <w:rPr>
                <w:rFonts w:ascii="Arial" w:hAnsi="Arial" w:cs="Arial"/>
                <w:b w:val="0"/>
                <w:bCs/>
                <w:color w:val="000000"/>
                <w:sz w:val="20"/>
                <w:szCs w:val="20"/>
              </w:rPr>
              <w:t>Účinky započtení provedeného nepřípustně v době po rozhodnutí o úpadku dlužníka nenastávají ani po skončení insolvenčního řízení vedeného na majetek dlužníka. Jinak řečeno, kompenzační projev, jímž věřitel v průběhu insolvenčního řízení vedeného na majetek dlužníka nepřípustně započetl svou pohledávku proti pohledávce dlužníka, nemá žádné účinky (nenabývá žádných účinků) ani poté, co pominou (jen proto, že pominou) skutečnosti, které vylučovaly (nepřipouštěly) započtení v době kompenzačního projevu.</w:t>
            </w:r>
          </w:p>
          <w:p w14:paraId="2D209C97" w14:textId="77777777" w:rsidR="00C215BB" w:rsidRDefault="00C215BB"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BAFAE1F" w14:textId="1E22F874" w:rsidR="000E11F2" w:rsidRPr="000E11F2" w:rsidRDefault="00325E58" w:rsidP="00C411B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r w:rsidR="00D120F9" w:rsidRPr="00F61304">
              <w:rPr>
                <w:rStyle w:val="Hypertextovodkaz"/>
                <w:rFonts w:ascii="Arial" w:eastAsia="Times New Roman" w:hAnsi="Arial" w:cs="Arial"/>
                <w:bCs/>
                <w:i/>
                <w:color w:val="0F0D29" w:themeColor="text1"/>
                <w:kern w:val="36"/>
                <w:sz w:val="20"/>
                <w:szCs w:val="20"/>
                <w:u w:val="none"/>
                <w:lang w:eastAsia="cs-CZ"/>
              </w:rPr>
              <w:t>.</w:t>
            </w:r>
          </w:p>
          <w:p w14:paraId="6F1BB3CD" w14:textId="77777777" w:rsidR="000E11F2" w:rsidRDefault="000E11F2" w:rsidP="000E11F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14FD9C7F" w14:textId="77777777" w:rsidR="00624340" w:rsidRDefault="00624340" w:rsidP="000E11F2">
            <w:pPr>
              <w:pStyle w:val="Bezmezer"/>
              <w:spacing w:line="276" w:lineRule="auto"/>
              <w:jc w:val="center"/>
              <w:rPr>
                <w:rStyle w:val="Hypertextovodkaz"/>
                <w:rFonts w:eastAsia="Times New Roman"/>
                <w:b/>
                <w:bCs/>
                <w:color w:val="0F0D29" w:themeColor="text1"/>
                <w:kern w:val="36"/>
                <w:sz w:val="24"/>
                <w:lang w:eastAsia="cs-CZ"/>
              </w:rPr>
            </w:pPr>
          </w:p>
          <w:p w14:paraId="46628796" w14:textId="77777777" w:rsidR="00624340" w:rsidRDefault="00624340" w:rsidP="000E11F2">
            <w:pPr>
              <w:pStyle w:val="Bezmezer"/>
              <w:spacing w:line="276" w:lineRule="auto"/>
              <w:jc w:val="center"/>
              <w:rPr>
                <w:rStyle w:val="Hypertextovodkaz"/>
                <w:rFonts w:eastAsia="Times New Roman"/>
                <w:b/>
                <w:bCs/>
                <w:color w:val="0F0D29" w:themeColor="text1"/>
                <w:kern w:val="36"/>
                <w:sz w:val="24"/>
                <w:lang w:eastAsia="cs-CZ"/>
              </w:rPr>
            </w:pPr>
          </w:p>
          <w:p w14:paraId="70A48395" w14:textId="77777777" w:rsidR="00624340" w:rsidRDefault="00624340" w:rsidP="000E11F2">
            <w:pPr>
              <w:pStyle w:val="Bezmezer"/>
              <w:spacing w:line="276" w:lineRule="auto"/>
              <w:jc w:val="center"/>
              <w:rPr>
                <w:rStyle w:val="Hypertextovodkaz"/>
                <w:rFonts w:eastAsia="Times New Roman"/>
                <w:b/>
                <w:bCs/>
                <w:color w:val="0F0D29" w:themeColor="text1"/>
                <w:kern w:val="36"/>
                <w:sz w:val="24"/>
                <w:lang w:eastAsia="cs-CZ"/>
              </w:rPr>
            </w:pPr>
          </w:p>
          <w:p w14:paraId="54C2563C" w14:textId="77777777" w:rsidR="00624340" w:rsidRDefault="00624340" w:rsidP="000E11F2">
            <w:pPr>
              <w:pStyle w:val="Bezmezer"/>
              <w:spacing w:line="276" w:lineRule="auto"/>
              <w:jc w:val="center"/>
              <w:rPr>
                <w:rStyle w:val="Hypertextovodkaz"/>
                <w:rFonts w:eastAsia="Times New Roman"/>
                <w:b/>
                <w:bCs/>
                <w:color w:val="0F0D29" w:themeColor="text1"/>
                <w:kern w:val="36"/>
                <w:sz w:val="24"/>
                <w:lang w:eastAsia="cs-CZ"/>
              </w:rPr>
            </w:pPr>
          </w:p>
          <w:p w14:paraId="5F82265A" w14:textId="77777777" w:rsidR="00624340" w:rsidRDefault="00624340" w:rsidP="000E11F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57502A4B" w14:textId="6EBB5D9E" w:rsidR="000E11F2" w:rsidRPr="00F61304" w:rsidRDefault="000E11F2" w:rsidP="000E11F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lastRenderedPageBreak/>
              <w:t>Pokyny k BOZP</w:t>
            </w:r>
            <w:r>
              <w:rPr>
                <w:rStyle w:val="Hypertextovodkaz"/>
                <w:rFonts w:ascii="Arial" w:eastAsia="Times New Roman" w:hAnsi="Arial" w:cs="Arial"/>
                <w:b/>
                <w:bCs/>
                <w:color w:val="0F0D29" w:themeColor="text1"/>
                <w:kern w:val="36"/>
                <w:sz w:val="24"/>
                <w:szCs w:val="24"/>
                <w:u w:val="none"/>
                <w:lang w:eastAsia="cs-CZ"/>
              </w:rPr>
              <w:pict w14:anchorId="0DB79808">
                <v:rect id="_x0000_i1039" style="width:0;height:1.5pt" o:hralign="center" o:hrstd="t" o:hr="t" fillcolor="#a0a0a0" stroked="f"/>
              </w:pict>
            </w:r>
          </w:p>
          <w:p w14:paraId="397372B6" w14:textId="19108D22" w:rsidR="000E11F2" w:rsidRDefault="000E11F2" w:rsidP="000E11F2">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C215BB">
              <w:rPr>
                <w:rStyle w:val="Hypertextovodkaz"/>
                <w:rFonts w:ascii="Arial" w:eastAsia="Times New Roman" w:hAnsi="Arial" w:cs="Arial"/>
                <w:bCs/>
                <w:color w:val="0F0D29" w:themeColor="text1"/>
                <w:kern w:val="36"/>
                <w:sz w:val="20"/>
                <w:szCs w:val="20"/>
                <w:u w:val="none"/>
                <w:lang w:eastAsia="cs-CZ"/>
              </w:rPr>
              <w:t xml:space="preserve">Nejvyšší soud </w:t>
            </w:r>
            <w:r>
              <w:rPr>
                <w:rStyle w:val="Hypertextovodkaz"/>
                <w:rFonts w:ascii="Arial" w:eastAsia="Times New Roman" w:hAnsi="Arial" w:cs="Arial"/>
                <w:bCs/>
                <w:color w:val="0F0D29" w:themeColor="text1"/>
                <w:kern w:val="36"/>
                <w:sz w:val="20"/>
                <w:szCs w:val="20"/>
                <w:u w:val="none"/>
                <w:lang w:eastAsia="cs-CZ"/>
              </w:rPr>
              <w:t>sp. zn.</w:t>
            </w:r>
            <w:r w:rsidRPr="00C215BB">
              <w:rPr>
                <w:rStyle w:val="Hypertextovodkaz"/>
                <w:rFonts w:ascii="Arial" w:eastAsia="Times New Roman" w:hAnsi="Arial" w:cs="Arial"/>
                <w:bCs/>
                <w:color w:val="0F0D29" w:themeColor="text1"/>
                <w:kern w:val="36"/>
                <w:sz w:val="20"/>
                <w:szCs w:val="20"/>
                <w:u w:val="none"/>
                <w:lang w:eastAsia="cs-CZ"/>
              </w:rPr>
              <w:t xml:space="preserve"> </w:t>
            </w:r>
            <w:r w:rsidRPr="00A95633">
              <w:rPr>
                <w:rStyle w:val="Hypertextovodkaz"/>
                <w:rFonts w:ascii="Arial" w:eastAsia="Times New Roman" w:hAnsi="Arial" w:cs="Arial"/>
                <w:bCs/>
                <w:color w:val="0F0D29" w:themeColor="text1"/>
                <w:kern w:val="36"/>
                <w:sz w:val="20"/>
                <w:szCs w:val="20"/>
                <w:u w:val="none"/>
                <w:lang w:eastAsia="cs-CZ"/>
              </w:rPr>
              <w:t xml:space="preserve"> 2</w:t>
            </w:r>
            <w:r>
              <w:rPr>
                <w:rStyle w:val="Hypertextovodkaz"/>
                <w:rFonts w:ascii="Arial" w:eastAsia="Times New Roman" w:hAnsi="Arial" w:cs="Arial"/>
                <w:bCs/>
                <w:color w:val="0F0D29" w:themeColor="text1"/>
                <w:kern w:val="36"/>
                <w:sz w:val="20"/>
                <w:szCs w:val="20"/>
                <w:u w:val="none"/>
                <w:lang w:eastAsia="cs-CZ"/>
              </w:rPr>
              <w:t>1</w:t>
            </w:r>
            <w:r w:rsidRPr="00A95633">
              <w:rPr>
                <w:rStyle w:val="Hypertextovodkaz"/>
                <w:rFonts w:ascii="Arial" w:eastAsia="Times New Roman" w:hAnsi="Arial" w:cs="Arial"/>
                <w:bCs/>
                <w:color w:val="0F0D29" w:themeColor="text1"/>
                <w:kern w:val="36"/>
                <w:sz w:val="20"/>
                <w:szCs w:val="20"/>
                <w:u w:val="none"/>
                <w:lang w:eastAsia="cs-CZ"/>
              </w:rPr>
              <w:t xml:space="preserve"> Cdo </w:t>
            </w:r>
            <w:r>
              <w:rPr>
                <w:rStyle w:val="Hypertextovodkaz"/>
                <w:rFonts w:ascii="Arial" w:eastAsia="Times New Roman" w:hAnsi="Arial" w:cs="Arial"/>
                <w:bCs/>
                <w:color w:val="0F0D29" w:themeColor="text1"/>
                <w:kern w:val="36"/>
                <w:sz w:val="20"/>
                <w:szCs w:val="20"/>
                <w:u w:val="none"/>
                <w:lang w:eastAsia="cs-CZ"/>
              </w:rPr>
              <w:t>1276/2023</w:t>
            </w:r>
          </w:p>
          <w:p w14:paraId="1D048670" w14:textId="77777777" w:rsidR="000E11F2" w:rsidRPr="00F61304" w:rsidRDefault="000E11F2" w:rsidP="000E11F2">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79398A1E" w14:textId="4730A5CD" w:rsidR="000E11F2" w:rsidRPr="000E11F2" w:rsidRDefault="000E11F2" w:rsidP="000E11F2">
            <w:pPr>
              <w:pStyle w:val="Nadpis3"/>
              <w:shd w:val="clear" w:color="auto" w:fill="FFFFFF"/>
              <w:spacing w:after="390" w:line="360" w:lineRule="auto"/>
              <w:jc w:val="both"/>
              <w:rPr>
                <w:rFonts w:ascii="Arial" w:hAnsi="Arial" w:cs="Arial"/>
                <w:b w:val="0"/>
                <w:bCs/>
                <w:color w:val="000000"/>
                <w:sz w:val="20"/>
                <w:szCs w:val="20"/>
              </w:rPr>
            </w:pPr>
            <w:r>
              <w:rPr>
                <w:rFonts w:ascii="Arial" w:hAnsi="Arial" w:cs="Arial"/>
                <w:b w:val="0"/>
                <w:bCs/>
                <w:color w:val="000000"/>
                <w:sz w:val="20"/>
                <w:szCs w:val="20"/>
              </w:rPr>
              <w:t xml:space="preserve">Nejvyšší soud se zabýval otázkou </w:t>
            </w:r>
            <w:r w:rsidRPr="000E11F2">
              <w:rPr>
                <w:rFonts w:ascii="Arial" w:hAnsi="Arial" w:cs="Arial"/>
                <w:b w:val="0"/>
                <w:bCs/>
                <w:color w:val="000000"/>
                <w:sz w:val="20"/>
                <w:szCs w:val="20"/>
              </w:rPr>
              <w:t>pracovního úrazu a částečného zproštění zaměstnavatele povinnosti nahradit vzniklou škodu. Rozsudek se zaměřuje na podmínky, za kterých je zaměstnanec považován za řádně seznámeného s předpisy a pokyny k zajištění bezpečnosti a ochrany zdraví při práci (BOZP).</w:t>
            </w:r>
          </w:p>
          <w:p w14:paraId="26B746D1" w14:textId="272DECE1" w:rsidR="000E11F2" w:rsidRPr="000E11F2" w:rsidRDefault="000E11F2" w:rsidP="000E11F2">
            <w:pPr>
              <w:pStyle w:val="Nadpis3"/>
              <w:shd w:val="clear" w:color="auto" w:fill="FFFFFF"/>
              <w:spacing w:after="390" w:line="360" w:lineRule="auto"/>
              <w:jc w:val="both"/>
              <w:rPr>
                <w:rFonts w:ascii="Arial" w:hAnsi="Arial" w:cs="Arial"/>
                <w:b w:val="0"/>
                <w:bCs/>
                <w:color w:val="000000"/>
                <w:sz w:val="20"/>
                <w:szCs w:val="20"/>
              </w:rPr>
            </w:pPr>
            <w:r w:rsidRPr="000E11F2">
              <w:rPr>
                <w:rFonts w:ascii="Arial" w:hAnsi="Arial" w:cs="Arial"/>
                <w:b w:val="0"/>
                <w:bCs/>
                <w:color w:val="000000"/>
                <w:sz w:val="20"/>
                <w:szCs w:val="20"/>
              </w:rPr>
              <w:t>Zaměstnanec nemůže být detailně instruován o všech možných rizikových situacích, které mohou při práci nastat, protože zaměstnavatel nemůže všechny předjímat.</w:t>
            </w:r>
            <w:r>
              <w:rPr>
                <w:rFonts w:ascii="Arial" w:hAnsi="Arial" w:cs="Arial"/>
                <w:b w:val="0"/>
                <w:bCs/>
                <w:color w:val="000000"/>
                <w:sz w:val="20"/>
                <w:szCs w:val="20"/>
              </w:rPr>
              <w:t xml:space="preserve"> Zaměstnanci </w:t>
            </w:r>
            <w:r w:rsidRPr="000E11F2">
              <w:rPr>
                <w:rFonts w:ascii="Arial" w:hAnsi="Arial" w:cs="Arial"/>
                <w:b w:val="0"/>
                <w:bCs/>
                <w:color w:val="000000"/>
                <w:sz w:val="20"/>
                <w:szCs w:val="20"/>
              </w:rPr>
              <w:t>musí být jasné, jak postupovat, aby se vyhnul poškození zdraví.</w:t>
            </w:r>
          </w:p>
          <w:p w14:paraId="10104FB7" w14:textId="1CC6B4EF" w:rsidR="000E11F2" w:rsidRPr="000E11F2" w:rsidRDefault="000E11F2" w:rsidP="000E11F2">
            <w:pPr>
              <w:pStyle w:val="Nadpis3"/>
              <w:shd w:val="clear" w:color="auto" w:fill="FFFFFF"/>
              <w:spacing w:after="390" w:line="360" w:lineRule="auto"/>
              <w:jc w:val="both"/>
              <w:rPr>
                <w:rFonts w:ascii="Arial" w:hAnsi="Arial" w:cs="Arial"/>
                <w:b w:val="0"/>
                <w:bCs/>
                <w:color w:val="000000"/>
                <w:sz w:val="20"/>
                <w:szCs w:val="20"/>
              </w:rPr>
            </w:pPr>
            <w:r w:rsidRPr="000E11F2">
              <w:rPr>
                <w:rFonts w:ascii="Arial" w:hAnsi="Arial" w:cs="Arial"/>
                <w:b w:val="0"/>
                <w:bCs/>
                <w:color w:val="000000"/>
                <w:sz w:val="20"/>
                <w:szCs w:val="20"/>
              </w:rPr>
              <w:t>Pokyny mohou být písemné i ústní a musí stanovovat jednoznačný způsob chování.</w:t>
            </w:r>
            <w:r>
              <w:rPr>
                <w:rFonts w:ascii="Arial" w:hAnsi="Arial" w:cs="Arial"/>
                <w:b w:val="0"/>
                <w:bCs/>
                <w:color w:val="000000"/>
                <w:sz w:val="20"/>
                <w:szCs w:val="20"/>
              </w:rPr>
              <w:t xml:space="preserve"> </w:t>
            </w:r>
            <w:r w:rsidRPr="000E11F2">
              <w:rPr>
                <w:rFonts w:ascii="Arial" w:hAnsi="Arial" w:cs="Arial"/>
                <w:b w:val="0"/>
                <w:bCs/>
                <w:color w:val="000000"/>
                <w:sz w:val="20"/>
                <w:szCs w:val="20"/>
              </w:rPr>
              <w:t>Mohou mít normativní (vnitřní předpisy) nebo individuální charakter.</w:t>
            </w:r>
            <w:r>
              <w:rPr>
                <w:rFonts w:ascii="Arial" w:hAnsi="Arial" w:cs="Arial"/>
                <w:b w:val="0"/>
                <w:bCs/>
                <w:color w:val="000000"/>
                <w:sz w:val="20"/>
                <w:szCs w:val="20"/>
              </w:rPr>
              <w:t xml:space="preserve"> </w:t>
            </w:r>
            <w:r w:rsidRPr="000E11F2">
              <w:rPr>
                <w:rFonts w:ascii="Arial" w:hAnsi="Arial" w:cs="Arial"/>
                <w:b w:val="0"/>
                <w:bCs/>
                <w:color w:val="000000"/>
                <w:sz w:val="20"/>
                <w:szCs w:val="20"/>
              </w:rPr>
              <w:t>Zaměstnanec musí být obeznámen s obsahem předpisů a pokynů tak, aby jim rozuměl a věděl, jak se chránit.</w:t>
            </w:r>
            <w:r>
              <w:rPr>
                <w:rFonts w:ascii="Arial" w:hAnsi="Arial" w:cs="Arial"/>
                <w:b w:val="0"/>
                <w:bCs/>
                <w:color w:val="000000"/>
                <w:sz w:val="20"/>
                <w:szCs w:val="20"/>
              </w:rPr>
              <w:t xml:space="preserve"> </w:t>
            </w:r>
            <w:r w:rsidRPr="000E11F2">
              <w:rPr>
                <w:rFonts w:ascii="Arial" w:hAnsi="Arial" w:cs="Arial"/>
                <w:b w:val="0"/>
                <w:bCs/>
                <w:color w:val="000000"/>
                <w:sz w:val="20"/>
                <w:szCs w:val="20"/>
              </w:rPr>
              <w:t xml:space="preserve">Pouhé přečtení a podpis písemných pokynů k BOZP </w:t>
            </w:r>
            <w:proofErr w:type="gramStart"/>
            <w:r w:rsidRPr="000E11F2">
              <w:rPr>
                <w:rFonts w:ascii="Arial" w:hAnsi="Arial" w:cs="Arial"/>
                <w:b w:val="0"/>
                <w:bCs/>
                <w:color w:val="000000"/>
                <w:sz w:val="20"/>
                <w:szCs w:val="20"/>
              </w:rPr>
              <w:t>nestačí</w:t>
            </w:r>
            <w:proofErr w:type="gramEnd"/>
            <w:r w:rsidRPr="000E11F2">
              <w:rPr>
                <w:rFonts w:ascii="Arial" w:hAnsi="Arial" w:cs="Arial"/>
                <w:b w:val="0"/>
                <w:bCs/>
                <w:color w:val="000000"/>
                <w:sz w:val="20"/>
                <w:szCs w:val="20"/>
              </w:rPr>
              <w:t>.</w:t>
            </w:r>
          </w:p>
          <w:p w14:paraId="48AFD194" w14:textId="45023EA7" w:rsidR="000E11F2" w:rsidRPr="000E11F2" w:rsidRDefault="000E11F2" w:rsidP="000E11F2">
            <w:pPr>
              <w:pStyle w:val="Nadpis3"/>
              <w:shd w:val="clear" w:color="auto" w:fill="FFFFFF"/>
              <w:spacing w:after="390" w:line="360" w:lineRule="auto"/>
              <w:jc w:val="both"/>
              <w:rPr>
                <w:rFonts w:ascii="Arial" w:hAnsi="Arial" w:cs="Arial"/>
                <w:b w:val="0"/>
                <w:bCs/>
                <w:color w:val="000000"/>
                <w:sz w:val="20"/>
                <w:szCs w:val="20"/>
              </w:rPr>
            </w:pPr>
            <w:r w:rsidRPr="000E11F2">
              <w:rPr>
                <w:rFonts w:ascii="Arial" w:hAnsi="Arial" w:cs="Arial"/>
                <w:b w:val="0"/>
                <w:bCs/>
                <w:color w:val="000000"/>
                <w:sz w:val="20"/>
                <w:szCs w:val="20"/>
              </w:rPr>
              <w:t>NS ČR zdůraznil, že zaměstnanec musí být seznámen nejen s běžnými předpisy, ale i se zvláštními pravidly pro práci se stroji.</w:t>
            </w:r>
            <w:r>
              <w:rPr>
                <w:rFonts w:ascii="Arial" w:hAnsi="Arial" w:cs="Arial"/>
                <w:b w:val="0"/>
                <w:bCs/>
                <w:color w:val="000000"/>
                <w:sz w:val="20"/>
                <w:szCs w:val="20"/>
              </w:rPr>
              <w:t xml:space="preserve"> Z</w:t>
            </w:r>
            <w:r w:rsidRPr="000E11F2">
              <w:rPr>
                <w:rFonts w:ascii="Arial" w:hAnsi="Arial" w:cs="Arial"/>
                <w:b w:val="0"/>
                <w:bCs/>
                <w:color w:val="000000"/>
                <w:sz w:val="20"/>
                <w:szCs w:val="20"/>
              </w:rPr>
              <w:t>aměstnavatel musí identifikovat rizika, ale zaměstnanec musí být schopen řešit problémy na základě poskytnutých informací.</w:t>
            </w:r>
            <w:r>
              <w:rPr>
                <w:rFonts w:ascii="Arial" w:hAnsi="Arial" w:cs="Arial"/>
                <w:b w:val="0"/>
                <w:bCs/>
                <w:color w:val="000000"/>
                <w:sz w:val="20"/>
                <w:szCs w:val="20"/>
              </w:rPr>
              <w:t xml:space="preserve"> </w:t>
            </w:r>
            <w:r w:rsidRPr="000E11F2">
              <w:rPr>
                <w:rFonts w:ascii="Arial" w:hAnsi="Arial" w:cs="Arial"/>
                <w:b w:val="0"/>
                <w:bCs/>
                <w:color w:val="000000"/>
                <w:sz w:val="20"/>
                <w:szCs w:val="20"/>
              </w:rPr>
              <w:t>Není nutné, aby školení zahrnovalo všechny specifické rizikové situace, ale zaměstnanec musí vědět, jak postupovat obecně bezpečně.</w:t>
            </w:r>
          </w:p>
          <w:p w14:paraId="701C4E60" w14:textId="7A237E28" w:rsidR="000E11F2" w:rsidRPr="00426000" w:rsidRDefault="000E11F2" w:rsidP="00426000">
            <w:pPr>
              <w:pStyle w:val="Nadpis3"/>
              <w:shd w:val="clear" w:color="auto" w:fill="FFFFFF"/>
              <w:spacing w:after="390" w:line="360" w:lineRule="auto"/>
              <w:jc w:val="both"/>
              <w:rPr>
                <w:rStyle w:val="Hypertextovodkaz"/>
                <w:rFonts w:ascii="Arial" w:hAnsi="Arial" w:cs="Arial"/>
                <w:b w:val="0"/>
                <w:bCs/>
                <w:color w:val="000000"/>
                <w:sz w:val="20"/>
                <w:szCs w:val="20"/>
                <w:u w:val="none"/>
              </w:rPr>
            </w:pPr>
            <w:r>
              <w:rPr>
                <w:rFonts w:ascii="Arial" w:hAnsi="Arial" w:cs="Arial"/>
                <w:b w:val="0"/>
                <w:bCs/>
                <w:color w:val="000000"/>
                <w:sz w:val="20"/>
                <w:szCs w:val="20"/>
              </w:rPr>
              <w:t>V konkrétním případě o</w:t>
            </w:r>
            <w:r w:rsidRPr="000E11F2">
              <w:rPr>
                <w:rFonts w:ascii="Arial" w:hAnsi="Arial" w:cs="Arial"/>
                <w:b w:val="0"/>
                <w:bCs/>
                <w:color w:val="000000"/>
                <w:sz w:val="20"/>
                <w:szCs w:val="20"/>
              </w:rPr>
              <w:t>dvolací soud nesprávně rozhodl, že zaměstnanec nebyl řádně seznámen s BOZP, protože školení nezahrnovalo specifickou situaci, při které došlo k úrazu.</w:t>
            </w:r>
            <w:r w:rsidR="00426000">
              <w:rPr>
                <w:rFonts w:ascii="Arial" w:hAnsi="Arial" w:cs="Arial"/>
                <w:b w:val="0"/>
                <w:bCs/>
                <w:color w:val="000000"/>
                <w:sz w:val="20"/>
                <w:szCs w:val="20"/>
              </w:rPr>
              <w:t xml:space="preserve"> </w:t>
            </w:r>
            <w:r w:rsidR="009012F2" w:rsidRPr="009012F2">
              <w:rPr>
                <w:b w:val="0"/>
                <w:bCs/>
                <w:sz w:val="20"/>
                <w:szCs w:val="20"/>
              </w:rPr>
              <w:t>NS ČR rozhodl, že je důležité, zda zaměstnanci bylo jasné, jak postupovat bezpečně, i když specifická situace nebyla probírána.</w:t>
            </w:r>
          </w:p>
          <w:p w14:paraId="710E2DBD" w14:textId="08F79BDC" w:rsidR="000E11F2" w:rsidRPr="00C411B6" w:rsidRDefault="000E11F2" w:rsidP="000E11F2">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p>
        </w:tc>
      </w:tr>
      <w:tr w:rsidR="00ED31F9" w:rsidRPr="005078C0" w14:paraId="3584ACBC" w14:textId="77777777" w:rsidTr="00F2217C">
        <w:trPr>
          <w:trHeight w:val="5931"/>
        </w:trPr>
        <w:tc>
          <w:tcPr>
            <w:tcW w:w="9923" w:type="dxa"/>
            <w:shd w:val="clear" w:color="auto" w:fill="auto"/>
          </w:tcPr>
          <w:p w14:paraId="774401F0" w14:textId="77777777" w:rsidR="009012F2" w:rsidRDefault="009012F2" w:rsidP="009012F2">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p>
          <w:p w14:paraId="4AEC441C" w14:textId="1413425B" w:rsidR="009012F2" w:rsidRPr="00F61304" w:rsidRDefault="009012F2" w:rsidP="009012F2">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sidRPr="009012F2">
              <w:rPr>
                <w:rStyle w:val="Hypertextovodkaz"/>
                <w:rFonts w:ascii="Arial" w:eastAsia="Times New Roman" w:hAnsi="Arial" w:cs="Arial"/>
                <w:b/>
                <w:bCs/>
                <w:color w:val="0F0D29" w:themeColor="text1"/>
                <w:kern w:val="36"/>
                <w:sz w:val="24"/>
                <w:szCs w:val="20"/>
                <w:u w:val="none"/>
                <w:lang w:eastAsia="cs-CZ"/>
              </w:rPr>
              <w:t>K zohlednění požadavků na kybernetickou bezpečnost při zadávání veřejné zakázky</w:t>
            </w:r>
            <w:r>
              <w:rPr>
                <w:rStyle w:val="Hypertextovodkaz"/>
                <w:rFonts w:ascii="Arial" w:eastAsia="Times New Roman" w:hAnsi="Arial" w:cs="Arial"/>
                <w:b/>
                <w:bCs/>
                <w:color w:val="0F0D29" w:themeColor="text1"/>
                <w:kern w:val="36"/>
                <w:sz w:val="24"/>
                <w:szCs w:val="24"/>
                <w:u w:val="none"/>
                <w:lang w:eastAsia="cs-CZ"/>
              </w:rPr>
              <w:pict w14:anchorId="13C014D7">
                <v:rect id="_x0000_i1040" style="width:0;height:1.5pt" o:hralign="center" o:hrstd="t" o:hr="t" fillcolor="#a0a0a0" stroked="f"/>
              </w:pict>
            </w:r>
          </w:p>
          <w:p w14:paraId="64FDD55D" w14:textId="06AA9C61" w:rsidR="009012F2" w:rsidRDefault="009012F2" w:rsidP="009012F2">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Úřad pro ochranu hospodářské soutěže, ÚOHS-S0628/2023/VZ</w:t>
            </w:r>
          </w:p>
          <w:p w14:paraId="78EF3FE7" w14:textId="77777777" w:rsidR="009012F2" w:rsidRPr="00F61304" w:rsidRDefault="009012F2" w:rsidP="009012F2">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23DDB0DB" w14:textId="77777777" w:rsidR="009012F2" w:rsidRPr="009012F2" w:rsidRDefault="009012F2" w:rsidP="009012F2">
            <w:pPr>
              <w:pStyle w:val="Normlnweb"/>
              <w:spacing w:line="360" w:lineRule="auto"/>
              <w:jc w:val="both"/>
              <w:rPr>
                <w:rFonts w:ascii="Arial" w:hAnsi="Arial" w:cs="Arial"/>
                <w:sz w:val="20"/>
                <w:szCs w:val="20"/>
              </w:rPr>
            </w:pPr>
            <w:r w:rsidRPr="009012F2">
              <w:rPr>
                <w:rFonts w:ascii="Arial" w:hAnsi="Arial" w:cs="Arial"/>
                <w:sz w:val="20"/>
                <w:szCs w:val="20"/>
              </w:rPr>
              <w:t>Úřad pro ochranu hospodářské soutěže (ÚOHS) rozhodl ve věci návrhu na zahájení správního řízení týkajícího se zadávacích podmínek veřejné zakázky. Zadavatel vyloučil možnost použití výrobků subjektů uvedených ve varování Národního úřadu pro kybernetickou a informační bezpečnost (NÚKIB) kvůli bezpečnostní hrozbě.</w:t>
            </w:r>
          </w:p>
          <w:p w14:paraId="0AD678EF" w14:textId="797A9A42" w:rsidR="009012F2" w:rsidRPr="009012F2" w:rsidRDefault="009012F2" w:rsidP="009012F2">
            <w:pPr>
              <w:pStyle w:val="Normlnweb"/>
              <w:spacing w:line="360" w:lineRule="auto"/>
              <w:jc w:val="both"/>
              <w:rPr>
                <w:rFonts w:ascii="Arial" w:hAnsi="Arial" w:cs="Arial"/>
                <w:sz w:val="20"/>
                <w:szCs w:val="20"/>
              </w:rPr>
            </w:pPr>
            <w:r w:rsidRPr="009012F2">
              <w:rPr>
                <w:rFonts w:ascii="Arial" w:hAnsi="Arial" w:cs="Arial"/>
                <w:sz w:val="20"/>
                <w:szCs w:val="20"/>
              </w:rPr>
              <w:br/>
              <w:t>Navrhovatel považoval tuto podmínku za diskriminační a za překážku hospodářské soutěže dle § 6 a § 36 odst. 1 zákona č. 134/2016 Sb., o zadávání veřejných zakázek (ZZVZ). Navrhovatel tvrdil, že zadavatel mohl použít méně omezující podmínku, která by nevylučovala jeho ani jiné subjekty.</w:t>
            </w:r>
          </w:p>
          <w:p w14:paraId="18CC393C" w14:textId="38F78C56" w:rsidR="009012F2" w:rsidRPr="009012F2" w:rsidRDefault="009012F2" w:rsidP="009012F2">
            <w:pPr>
              <w:pStyle w:val="Normlnweb"/>
              <w:spacing w:line="360" w:lineRule="auto"/>
              <w:jc w:val="both"/>
              <w:rPr>
                <w:rFonts w:ascii="Arial" w:hAnsi="Arial" w:cs="Arial"/>
                <w:sz w:val="20"/>
                <w:szCs w:val="20"/>
              </w:rPr>
            </w:pPr>
            <w:r w:rsidRPr="009012F2">
              <w:rPr>
                <w:rFonts w:ascii="Arial" w:hAnsi="Arial" w:cs="Arial"/>
                <w:sz w:val="20"/>
                <w:szCs w:val="20"/>
              </w:rPr>
              <w:t>Zadavatel se rozhodl dobrovolně dodržet ustanovení zákona o kybernetické bezpečnosti (ZKB), přestože nebyl povinnou osobou dle tohoto zákona, vzhledem k připravované legislativě.</w:t>
            </w:r>
            <w:r w:rsidRPr="009012F2">
              <w:rPr>
                <w:rFonts w:ascii="Arial" w:hAnsi="Arial" w:cs="Arial"/>
                <w:sz w:val="20"/>
                <w:szCs w:val="20"/>
              </w:rPr>
              <w:br/>
              <w:t>ÚOHS považoval postup zadavatele za logický a oprávněný. Stanovení požadavků na kybernetickou bezpečnost není nezákonným omezením hospodářské soutěže, pokud jsou tyto požadavky v souladu se ZKB a varováním NÚKIB, a pokud jsou omezující opatření nezbytná pro zajištění odpovídající bezpečnosti.</w:t>
            </w:r>
            <w:r w:rsidRPr="009012F2">
              <w:rPr>
                <w:rFonts w:ascii="Arial" w:hAnsi="Arial" w:cs="Arial"/>
                <w:sz w:val="20"/>
                <w:szCs w:val="20"/>
              </w:rPr>
              <w:t xml:space="preserve"> </w:t>
            </w:r>
            <w:r w:rsidRPr="009012F2">
              <w:rPr>
                <w:rFonts w:ascii="Arial" w:hAnsi="Arial" w:cs="Arial"/>
                <w:sz w:val="20"/>
                <w:szCs w:val="20"/>
              </w:rPr>
              <w:t>NÚKIB potvrdil, že analýza rizik zpracovaná zadavatelem splňuje zákonné požadavky.</w:t>
            </w:r>
          </w:p>
          <w:p w14:paraId="6DBC8178" w14:textId="0BCF8514" w:rsidR="009012F2" w:rsidRPr="009012F2" w:rsidRDefault="009012F2" w:rsidP="009012F2">
            <w:pPr>
              <w:pStyle w:val="Normlnweb"/>
              <w:spacing w:line="360" w:lineRule="auto"/>
              <w:jc w:val="both"/>
              <w:rPr>
                <w:rFonts w:ascii="Arial" w:hAnsi="Arial" w:cs="Arial"/>
                <w:sz w:val="20"/>
                <w:szCs w:val="20"/>
              </w:rPr>
            </w:pPr>
            <w:r w:rsidRPr="009012F2">
              <w:rPr>
                <w:rFonts w:ascii="Arial" w:hAnsi="Arial" w:cs="Arial"/>
                <w:sz w:val="20"/>
                <w:szCs w:val="20"/>
              </w:rPr>
              <w:br/>
              <w:t>ÚOHS konstatoval, že překážka hospodářské soutěže je nezákonná pouze tehdy, pokud je stanovena bezdůvodně. V tomto případě byla podmínka zadavatele považována za jediné možné opatření k zajištění kybernetické bezpečnosti. Proto ÚOHS návrh navrhovatele zamítl a neshledal důvody pro uložení nápravného opatření.</w:t>
            </w:r>
          </w:p>
          <w:p w14:paraId="2EA61BC9" w14:textId="0B370C7A" w:rsidR="004A712F" w:rsidRPr="00157F2E" w:rsidRDefault="009012F2" w:rsidP="009012F2">
            <w:pPr>
              <w:pStyle w:val="Bezmezer"/>
              <w:shd w:val="clear" w:color="auto" w:fill="D9D9D9" w:themeFill="background1" w:themeFillShade="D9"/>
              <w:spacing w:line="360" w:lineRule="auto"/>
              <w:jc w:val="both"/>
              <w:rPr>
                <w:rFonts w:ascii="Arial" w:hAnsi="Arial" w:cs="Arial"/>
                <w:b/>
                <w:color w:val="0F0D29" w:themeColor="text1"/>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p>
        </w:tc>
      </w:tr>
      <w:tr w:rsidR="00F75ED7" w:rsidRPr="005078C0" w14:paraId="68237412" w14:textId="77777777" w:rsidTr="00DA4CC0">
        <w:trPr>
          <w:trHeight w:val="5931"/>
        </w:trPr>
        <w:tc>
          <w:tcPr>
            <w:tcW w:w="9923" w:type="dxa"/>
            <w:shd w:val="clear" w:color="auto" w:fill="auto"/>
          </w:tcPr>
          <w:p w14:paraId="7B892641" w14:textId="0F14B7DA" w:rsidR="003252CA" w:rsidRDefault="003252CA" w:rsidP="006402B1">
            <w:pPr>
              <w:spacing w:line="360" w:lineRule="auto"/>
              <w:jc w:val="both"/>
            </w:pPr>
          </w:p>
          <w:p w14:paraId="30AC96D7" w14:textId="578D94CE" w:rsidR="003252CA" w:rsidRPr="006402B1" w:rsidRDefault="003252CA" w:rsidP="006402B1">
            <w:pPr>
              <w:spacing w:line="360" w:lineRule="auto"/>
              <w:jc w:val="both"/>
              <w:rPr>
                <w:rFonts w:ascii="Arial" w:hAnsi="Arial" w:cs="Arial"/>
                <w:color w:val="0F0D29" w:themeColor="text1"/>
              </w:rPr>
            </w:pPr>
          </w:p>
        </w:tc>
      </w:tr>
    </w:tbl>
    <w:p w14:paraId="36AC9AAC" w14:textId="5478FA9A" w:rsidR="00457844" w:rsidRPr="00E4461E" w:rsidRDefault="00457844" w:rsidP="00680B7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7C9"/>
    <w:multiLevelType w:val="hybridMultilevel"/>
    <w:tmpl w:val="CFDA8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7FF77CF"/>
    <w:multiLevelType w:val="hybridMultilevel"/>
    <w:tmpl w:val="05889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F4FF5"/>
    <w:multiLevelType w:val="hybridMultilevel"/>
    <w:tmpl w:val="71B46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2476940"/>
    <w:multiLevelType w:val="hybridMultilevel"/>
    <w:tmpl w:val="13865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241F8C"/>
    <w:multiLevelType w:val="hybridMultilevel"/>
    <w:tmpl w:val="7460FC72"/>
    <w:lvl w:ilvl="0" w:tplc="04050017">
      <w:start w:val="1"/>
      <w:numFmt w:val="lowerLetter"/>
      <w:lvlText w:val="%1)"/>
      <w:lvlJc w:val="left"/>
      <w:pPr>
        <w:ind w:left="720" w:hanging="360"/>
      </w:pPr>
      <w:rPr>
        <w:rFonts w:hint="default"/>
      </w:rPr>
    </w:lvl>
    <w:lvl w:ilvl="1" w:tplc="3FECB288">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5437D"/>
    <w:multiLevelType w:val="hybridMultilevel"/>
    <w:tmpl w:val="B720D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794A7F"/>
    <w:multiLevelType w:val="hybridMultilevel"/>
    <w:tmpl w:val="5B183116"/>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FD01F3"/>
    <w:multiLevelType w:val="hybridMultilevel"/>
    <w:tmpl w:val="C6424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5FC5DE3"/>
    <w:multiLevelType w:val="hybridMultilevel"/>
    <w:tmpl w:val="50FAF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C7772"/>
    <w:multiLevelType w:val="hybridMultilevel"/>
    <w:tmpl w:val="065E9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E4504D"/>
    <w:multiLevelType w:val="hybridMultilevel"/>
    <w:tmpl w:val="058890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9483010"/>
    <w:multiLevelType w:val="hybridMultilevel"/>
    <w:tmpl w:val="430A6B16"/>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001B0B"/>
    <w:multiLevelType w:val="hybridMultilevel"/>
    <w:tmpl w:val="F3C45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2DB6509"/>
    <w:multiLevelType w:val="hybridMultilevel"/>
    <w:tmpl w:val="4D923DB8"/>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FF47DC"/>
    <w:multiLevelType w:val="hybridMultilevel"/>
    <w:tmpl w:val="59EE8FE8"/>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54870F36"/>
    <w:multiLevelType w:val="multilevel"/>
    <w:tmpl w:val="9D08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0A7A76"/>
    <w:multiLevelType w:val="hybridMultilevel"/>
    <w:tmpl w:val="9A902E00"/>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7A132D"/>
    <w:multiLevelType w:val="hybridMultilevel"/>
    <w:tmpl w:val="25B2AAC0"/>
    <w:lvl w:ilvl="0" w:tplc="4622F96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500128"/>
    <w:multiLevelType w:val="hybridMultilevel"/>
    <w:tmpl w:val="070A5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3D7053"/>
    <w:multiLevelType w:val="multilevel"/>
    <w:tmpl w:val="42865ACC"/>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4" w15:restartNumberingAfterBreak="0">
    <w:nsid w:val="727543F2"/>
    <w:multiLevelType w:val="multilevel"/>
    <w:tmpl w:val="D66C7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8A0A21"/>
    <w:multiLevelType w:val="hybridMultilevel"/>
    <w:tmpl w:val="F3C45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7" w15:restartNumberingAfterBreak="0">
    <w:nsid w:val="78E67432"/>
    <w:multiLevelType w:val="hybridMultilevel"/>
    <w:tmpl w:val="0130C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23"/>
  </w:num>
  <w:num w:numId="2" w16cid:durableId="1234467224">
    <w:abstractNumId w:val="21"/>
  </w:num>
  <w:num w:numId="3" w16cid:durableId="1316882545">
    <w:abstractNumId w:val="1"/>
  </w:num>
  <w:num w:numId="4" w16cid:durableId="1408501083">
    <w:abstractNumId w:val="36"/>
  </w:num>
  <w:num w:numId="5" w16cid:durableId="1987006562">
    <w:abstractNumId w:val="33"/>
  </w:num>
  <w:num w:numId="6" w16cid:durableId="1453748572">
    <w:abstractNumId w:val="10"/>
  </w:num>
  <w:num w:numId="7" w16cid:durableId="1505437701">
    <w:abstractNumId w:val="38"/>
  </w:num>
  <w:num w:numId="8" w16cid:durableId="1461268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18"/>
  </w:num>
  <w:num w:numId="10" w16cid:durableId="316570583">
    <w:abstractNumId w:val="6"/>
  </w:num>
  <w:num w:numId="11" w16cid:durableId="1930389362">
    <w:abstractNumId w:val="22"/>
  </w:num>
  <w:num w:numId="12" w16cid:durableId="166604650">
    <w:abstractNumId w:val="14"/>
  </w:num>
  <w:num w:numId="13" w16cid:durableId="937713538">
    <w:abstractNumId w:val="28"/>
  </w:num>
  <w:num w:numId="14" w16cid:durableId="1959797054">
    <w:abstractNumId w:val="4"/>
  </w:num>
  <w:num w:numId="15" w16cid:durableId="1149980130">
    <w:abstractNumId w:val="5"/>
  </w:num>
  <w:num w:numId="16" w16cid:durableId="956833311">
    <w:abstractNumId w:val="26"/>
  </w:num>
  <w:num w:numId="17" w16cid:durableId="338509019">
    <w:abstractNumId w:val="30"/>
  </w:num>
  <w:num w:numId="18" w16cid:durableId="1568565219">
    <w:abstractNumId w:val="11"/>
  </w:num>
  <w:num w:numId="19" w16cid:durableId="691535874">
    <w:abstractNumId w:val="32"/>
  </w:num>
  <w:num w:numId="20" w16cid:durableId="1941717516">
    <w:abstractNumId w:val="35"/>
  </w:num>
  <w:num w:numId="21" w16cid:durableId="978610651">
    <w:abstractNumId w:val="20"/>
  </w:num>
  <w:num w:numId="22" w16cid:durableId="168108573">
    <w:abstractNumId w:val="37"/>
  </w:num>
  <w:num w:numId="23" w16cid:durableId="1665082721">
    <w:abstractNumId w:val="8"/>
  </w:num>
  <w:num w:numId="24" w16cid:durableId="1109619996">
    <w:abstractNumId w:val="3"/>
  </w:num>
  <w:num w:numId="25" w16cid:durableId="849181087">
    <w:abstractNumId w:val="7"/>
  </w:num>
  <w:num w:numId="26" w16cid:durableId="2902678">
    <w:abstractNumId w:val="15"/>
  </w:num>
  <w:num w:numId="27" w16cid:durableId="631592431">
    <w:abstractNumId w:val="17"/>
  </w:num>
  <w:num w:numId="28" w16cid:durableId="409620098">
    <w:abstractNumId w:val="2"/>
  </w:num>
  <w:num w:numId="29" w16cid:durableId="1981955740">
    <w:abstractNumId w:val="31"/>
  </w:num>
  <w:num w:numId="30" w16cid:durableId="640112989">
    <w:abstractNumId w:val="0"/>
  </w:num>
  <w:num w:numId="31" w16cid:durableId="1124807306">
    <w:abstractNumId w:val="16"/>
  </w:num>
  <w:num w:numId="32" w16cid:durableId="210768018">
    <w:abstractNumId w:val="9"/>
  </w:num>
  <w:num w:numId="33" w16cid:durableId="569267382">
    <w:abstractNumId w:val="13"/>
  </w:num>
  <w:num w:numId="34" w16cid:durableId="2140488429">
    <w:abstractNumId w:val="24"/>
  </w:num>
  <w:num w:numId="35" w16cid:durableId="643125979">
    <w:abstractNumId w:val="29"/>
  </w:num>
  <w:num w:numId="36" w16cid:durableId="2060205758">
    <w:abstractNumId w:val="25"/>
  </w:num>
  <w:num w:numId="37" w16cid:durableId="2055300820">
    <w:abstractNumId w:val="12"/>
  </w:num>
  <w:num w:numId="38" w16cid:durableId="1615940433">
    <w:abstractNumId w:val="34"/>
  </w:num>
  <w:num w:numId="39" w16cid:durableId="1404450844">
    <w:abstractNumId w:val="19"/>
  </w:num>
  <w:num w:numId="40" w16cid:durableId="58700977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3D0A"/>
    <w:rsid w:val="0002482E"/>
    <w:rsid w:val="00027A0F"/>
    <w:rsid w:val="000304BF"/>
    <w:rsid w:val="00033FF9"/>
    <w:rsid w:val="000340BB"/>
    <w:rsid w:val="00043884"/>
    <w:rsid w:val="00045244"/>
    <w:rsid w:val="00045505"/>
    <w:rsid w:val="00045D16"/>
    <w:rsid w:val="000472DA"/>
    <w:rsid w:val="00047C36"/>
    <w:rsid w:val="00050324"/>
    <w:rsid w:val="00057254"/>
    <w:rsid w:val="0007061F"/>
    <w:rsid w:val="0007093B"/>
    <w:rsid w:val="00071C38"/>
    <w:rsid w:val="00080627"/>
    <w:rsid w:val="00080BF6"/>
    <w:rsid w:val="000852B7"/>
    <w:rsid w:val="00090ADC"/>
    <w:rsid w:val="00094BAD"/>
    <w:rsid w:val="00094F88"/>
    <w:rsid w:val="000954E9"/>
    <w:rsid w:val="00096CC8"/>
    <w:rsid w:val="000A0150"/>
    <w:rsid w:val="000A0BCC"/>
    <w:rsid w:val="000A19F5"/>
    <w:rsid w:val="000A4141"/>
    <w:rsid w:val="000B31AD"/>
    <w:rsid w:val="000B43A3"/>
    <w:rsid w:val="000C0C48"/>
    <w:rsid w:val="000C2615"/>
    <w:rsid w:val="000C427A"/>
    <w:rsid w:val="000C53CA"/>
    <w:rsid w:val="000C6B8E"/>
    <w:rsid w:val="000C6CC9"/>
    <w:rsid w:val="000E11F2"/>
    <w:rsid w:val="000E1ADD"/>
    <w:rsid w:val="000E2BBE"/>
    <w:rsid w:val="000E4F8F"/>
    <w:rsid w:val="000E5DCE"/>
    <w:rsid w:val="000E63C9"/>
    <w:rsid w:val="000E795D"/>
    <w:rsid w:val="000F5AD4"/>
    <w:rsid w:val="000F5BA6"/>
    <w:rsid w:val="00101083"/>
    <w:rsid w:val="001018E2"/>
    <w:rsid w:val="001023D4"/>
    <w:rsid w:val="00102FA4"/>
    <w:rsid w:val="00111A4A"/>
    <w:rsid w:val="00113E9D"/>
    <w:rsid w:val="001168AA"/>
    <w:rsid w:val="00120C25"/>
    <w:rsid w:val="00121A2E"/>
    <w:rsid w:val="00122416"/>
    <w:rsid w:val="00124E51"/>
    <w:rsid w:val="001255F9"/>
    <w:rsid w:val="00127DCB"/>
    <w:rsid w:val="00130E9D"/>
    <w:rsid w:val="00133A2D"/>
    <w:rsid w:val="00140D0B"/>
    <w:rsid w:val="00141ABA"/>
    <w:rsid w:val="00142E9F"/>
    <w:rsid w:val="00143358"/>
    <w:rsid w:val="001437A0"/>
    <w:rsid w:val="001449BB"/>
    <w:rsid w:val="00144F93"/>
    <w:rsid w:val="0014695E"/>
    <w:rsid w:val="0014703E"/>
    <w:rsid w:val="00150A6D"/>
    <w:rsid w:val="00151868"/>
    <w:rsid w:val="001559DF"/>
    <w:rsid w:val="00157531"/>
    <w:rsid w:val="00157F2E"/>
    <w:rsid w:val="00160DC8"/>
    <w:rsid w:val="001625EE"/>
    <w:rsid w:val="0016474D"/>
    <w:rsid w:val="00167935"/>
    <w:rsid w:val="00170060"/>
    <w:rsid w:val="00172E7E"/>
    <w:rsid w:val="00177623"/>
    <w:rsid w:val="0018012A"/>
    <w:rsid w:val="001822B6"/>
    <w:rsid w:val="001856BD"/>
    <w:rsid w:val="00185B35"/>
    <w:rsid w:val="00187880"/>
    <w:rsid w:val="0019191D"/>
    <w:rsid w:val="00196F8A"/>
    <w:rsid w:val="00197363"/>
    <w:rsid w:val="0019754A"/>
    <w:rsid w:val="001A0DC1"/>
    <w:rsid w:val="001A0EC5"/>
    <w:rsid w:val="001A5AA1"/>
    <w:rsid w:val="001A6DA8"/>
    <w:rsid w:val="001B1E14"/>
    <w:rsid w:val="001B5353"/>
    <w:rsid w:val="001B54B1"/>
    <w:rsid w:val="001B5A1F"/>
    <w:rsid w:val="001C7B53"/>
    <w:rsid w:val="001D0048"/>
    <w:rsid w:val="001D3246"/>
    <w:rsid w:val="001D7152"/>
    <w:rsid w:val="001E048A"/>
    <w:rsid w:val="001E4C6C"/>
    <w:rsid w:val="001E6151"/>
    <w:rsid w:val="001E64EB"/>
    <w:rsid w:val="001F0367"/>
    <w:rsid w:val="001F081B"/>
    <w:rsid w:val="001F2ABE"/>
    <w:rsid w:val="001F2BC8"/>
    <w:rsid w:val="001F5F6B"/>
    <w:rsid w:val="00201B03"/>
    <w:rsid w:val="00204F02"/>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39"/>
    <w:rsid w:val="00243EBC"/>
    <w:rsid w:val="002452D2"/>
    <w:rsid w:val="00246A35"/>
    <w:rsid w:val="00247E4E"/>
    <w:rsid w:val="00252F73"/>
    <w:rsid w:val="00253C75"/>
    <w:rsid w:val="002607A4"/>
    <w:rsid w:val="00261551"/>
    <w:rsid w:val="00261F3A"/>
    <w:rsid w:val="00262E16"/>
    <w:rsid w:val="00264ED1"/>
    <w:rsid w:val="002673EB"/>
    <w:rsid w:val="00270CA7"/>
    <w:rsid w:val="00276C4F"/>
    <w:rsid w:val="00283722"/>
    <w:rsid w:val="00284348"/>
    <w:rsid w:val="00285D32"/>
    <w:rsid w:val="002867AA"/>
    <w:rsid w:val="0029544A"/>
    <w:rsid w:val="002A1FF3"/>
    <w:rsid w:val="002A5582"/>
    <w:rsid w:val="002A670B"/>
    <w:rsid w:val="002A7630"/>
    <w:rsid w:val="002A7B59"/>
    <w:rsid w:val="002A7D57"/>
    <w:rsid w:val="002B714E"/>
    <w:rsid w:val="002C25F7"/>
    <w:rsid w:val="002C4B10"/>
    <w:rsid w:val="002C6B88"/>
    <w:rsid w:val="002D39B3"/>
    <w:rsid w:val="002D685E"/>
    <w:rsid w:val="002E068A"/>
    <w:rsid w:val="002E2CD2"/>
    <w:rsid w:val="002E61AB"/>
    <w:rsid w:val="002F0D61"/>
    <w:rsid w:val="002F352C"/>
    <w:rsid w:val="002F51F5"/>
    <w:rsid w:val="002F54EA"/>
    <w:rsid w:val="002F5594"/>
    <w:rsid w:val="002F6DF2"/>
    <w:rsid w:val="0030165A"/>
    <w:rsid w:val="003026C0"/>
    <w:rsid w:val="00302FB3"/>
    <w:rsid w:val="0030302F"/>
    <w:rsid w:val="0030751D"/>
    <w:rsid w:val="00310247"/>
    <w:rsid w:val="00312137"/>
    <w:rsid w:val="00313BA5"/>
    <w:rsid w:val="003252CA"/>
    <w:rsid w:val="00325E58"/>
    <w:rsid w:val="00330359"/>
    <w:rsid w:val="003322DF"/>
    <w:rsid w:val="00333529"/>
    <w:rsid w:val="00333BFC"/>
    <w:rsid w:val="00334605"/>
    <w:rsid w:val="003369D3"/>
    <w:rsid w:val="0033762F"/>
    <w:rsid w:val="00337ABE"/>
    <w:rsid w:val="0034183A"/>
    <w:rsid w:val="00341E8D"/>
    <w:rsid w:val="00341F21"/>
    <w:rsid w:val="003446FF"/>
    <w:rsid w:val="00344A05"/>
    <w:rsid w:val="00355AF2"/>
    <w:rsid w:val="00360494"/>
    <w:rsid w:val="00360A8C"/>
    <w:rsid w:val="00361BA9"/>
    <w:rsid w:val="0036269B"/>
    <w:rsid w:val="00366C7E"/>
    <w:rsid w:val="00366FC0"/>
    <w:rsid w:val="00372A73"/>
    <w:rsid w:val="00377602"/>
    <w:rsid w:val="00380B67"/>
    <w:rsid w:val="00382E1F"/>
    <w:rsid w:val="00384EA3"/>
    <w:rsid w:val="00386EE0"/>
    <w:rsid w:val="00393AEE"/>
    <w:rsid w:val="003A1E17"/>
    <w:rsid w:val="003A39A1"/>
    <w:rsid w:val="003A3D7A"/>
    <w:rsid w:val="003A5D3B"/>
    <w:rsid w:val="003A7F20"/>
    <w:rsid w:val="003B02AC"/>
    <w:rsid w:val="003B1131"/>
    <w:rsid w:val="003C1BE1"/>
    <w:rsid w:val="003C1F55"/>
    <w:rsid w:val="003C2191"/>
    <w:rsid w:val="003C4763"/>
    <w:rsid w:val="003C6F49"/>
    <w:rsid w:val="003D3863"/>
    <w:rsid w:val="003D5145"/>
    <w:rsid w:val="003F3942"/>
    <w:rsid w:val="003F5366"/>
    <w:rsid w:val="003F7659"/>
    <w:rsid w:val="00404C9B"/>
    <w:rsid w:val="004065E3"/>
    <w:rsid w:val="004106E8"/>
    <w:rsid w:val="004110DE"/>
    <w:rsid w:val="00411A05"/>
    <w:rsid w:val="00411E07"/>
    <w:rsid w:val="00415187"/>
    <w:rsid w:val="00424E93"/>
    <w:rsid w:val="00426000"/>
    <w:rsid w:val="004325C8"/>
    <w:rsid w:val="00433509"/>
    <w:rsid w:val="004344BA"/>
    <w:rsid w:val="0043631E"/>
    <w:rsid w:val="00437C27"/>
    <w:rsid w:val="004405C5"/>
    <w:rsid w:val="0044085A"/>
    <w:rsid w:val="0044471B"/>
    <w:rsid w:val="00444FD9"/>
    <w:rsid w:val="00446F61"/>
    <w:rsid w:val="0045209C"/>
    <w:rsid w:val="004539F3"/>
    <w:rsid w:val="00453C17"/>
    <w:rsid w:val="00454469"/>
    <w:rsid w:val="004571BE"/>
    <w:rsid w:val="00457844"/>
    <w:rsid w:val="004579C9"/>
    <w:rsid w:val="004646E1"/>
    <w:rsid w:val="00467760"/>
    <w:rsid w:val="004709CD"/>
    <w:rsid w:val="0047577B"/>
    <w:rsid w:val="00475E5C"/>
    <w:rsid w:val="004863F3"/>
    <w:rsid w:val="004863FE"/>
    <w:rsid w:val="004949C0"/>
    <w:rsid w:val="0049783A"/>
    <w:rsid w:val="004A4296"/>
    <w:rsid w:val="004A712F"/>
    <w:rsid w:val="004B005C"/>
    <w:rsid w:val="004B21A5"/>
    <w:rsid w:val="004B2C1D"/>
    <w:rsid w:val="004C05F3"/>
    <w:rsid w:val="004C3095"/>
    <w:rsid w:val="004C50C3"/>
    <w:rsid w:val="004D39AC"/>
    <w:rsid w:val="004E1F54"/>
    <w:rsid w:val="004E6A60"/>
    <w:rsid w:val="004F0B76"/>
    <w:rsid w:val="004F4878"/>
    <w:rsid w:val="004F5618"/>
    <w:rsid w:val="005037F0"/>
    <w:rsid w:val="005054D5"/>
    <w:rsid w:val="005078C0"/>
    <w:rsid w:val="00510BB6"/>
    <w:rsid w:val="0051287F"/>
    <w:rsid w:val="00514577"/>
    <w:rsid w:val="0051554D"/>
    <w:rsid w:val="00516A86"/>
    <w:rsid w:val="00521069"/>
    <w:rsid w:val="005216F2"/>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72472"/>
    <w:rsid w:val="00577D54"/>
    <w:rsid w:val="0058396E"/>
    <w:rsid w:val="0058525A"/>
    <w:rsid w:val="0058598E"/>
    <w:rsid w:val="00597A91"/>
    <w:rsid w:val="005A2C01"/>
    <w:rsid w:val="005A405A"/>
    <w:rsid w:val="005A623B"/>
    <w:rsid w:val="005B0434"/>
    <w:rsid w:val="005B3D0D"/>
    <w:rsid w:val="005B4170"/>
    <w:rsid w:val="005C0086"/>
    <w:rsid w:val="005C048D"/>
    <w:rsid w:val="005C3DFE"/>
    <w:rsid w:val="005C6E3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26F8"/>
    <w:rsid w:val="00623626"/>
    <w:rsid w:val="00624340"/>
    <w:rsid w:val="00625270"/>
    <w:rsid w:val="00630128"/>
    <w:rsid w:val="0063264A"/>
    <w:rsid w:val="006402B1"/>
    <w:rsid w:val="00642F78"/>
    <w:rsid w:val="00643757"/>
    <w:rsid w:val="00644DD2"/>
    <w:rsid w:val="00646116"/>
    <w:rsid w:val="00651663"/>
    <w:rsid w:val="00651780"/>
    <w:rsid w:val="00652171"/>
    <w:rsid w:val="0065503C"/>
    <w:rsid w:val="00656C4D"/>
    <w:rsid w:val="00657864"/>
    <w:rsid w:val="00660E12"/>
    <w:rsid w:val="00664524"/>
    <w:rsid w:val="00665BAB"/>
    <w:rsid w:val="00666EE9"/>
    <w:rsid w:val="0066776E"/>
    <w:rsid w:val="00680248"/>
    <w:rsid w:val="00680B7F"/>
    <w:rsid w:val="00681F86"/>
    <w:rsid w:val="00685C81"/>
    <w:rsid w:val="0069077B"/>
    <w:rsid w:val="00691C67"/>
    <w:rsid w:val="00694EBE"/>
    <w:rsid w:val="006A077B"/>
    <w:rsid w:val="006A1524"/>
    <w:rsid w:val="006A21D5"/>
    <w:rsid w:val="006A2953"/>
    <w:rsid w:val="006A4215"/>
    <w:rsid w:val="006A4542"/>
    <w:rsid w:val="006A4E78"/>
    <w:rsid w:val="006A5A4D"/>
    <w:rsid w:val="006A61E1"/>
    <w:rsid w:val="006B0DE4"/>
    <w:rsid w:val="006B1771"/>
    <w:rsid w:val="006B1D1E"/>
    <w:rsid w:val="006B24AE"/>
    <w:rsid w:val="006B33F6"/>
    <w:rsid w:val="006C0197"/>
    <w:rsid w:val="006C1244"/>
    <w:rsid w:val="006C147A"/>
    <w:rsid w:val="006C166A"/>
    <w:rsid w:val="006C458E"/>
    <w:rsid w:val="006C59D3"/>
    <w:rsid w:val="006C72A2"/>
    <w:rsid w:val="006C78B2"/>
    <w:rsid w:val="006D2230"/>
    <w:rsid w:val="006D2EC1"/>
    <w:rsid w:val="006D5B87"/>
    <w:rsid w:val="006D797C"/>
    <w:rsid w:val="006E225F"/>
    <w:rsid w:val="006E29BA"/>
    <w:rsid w:val="006E32D0"/>
    <w:rsid w:val="006E4475"/>
    <w:rsid w:val="006E4566"/>
    <w:rsid w:val="006E530F"/>
    <w:rsid w:val="006E5699"/>
    <w:rsid w:val="006E5716"/>
    <w:rsid w:val="006E5B8D"/>
    <w:rsid w:val="006E713B"/>
    <w:rsid w:val="006F0138"/>
    <w:rsid w:val="006F1F17"/>
    <w:rsid w:val="006F3D1A"/>
    <w:rsid w:val="006F41EA"/>
    <w:rsid w:val="006F5491"/>
    <w:rsid w:val="006F64C9"/>
    <w:rsid w:val="006F6A3C"/>
    <w:rsid w:val="006F790F"/>
    <w:rsid w:val="006F7A2A"/>
    <w:rsid w:val="006F7ADA"/>
    <w:rsid w:val="006F7E18"/>
    <w:rsid w:val="0070028C"/>
    <w:rsid w:val="00701CC1"/>
    <w:rsid w:val="007055E5"/>
    <w:rsid w:val="00706AC0"/>
    <w:rsid w:val="00710C2D"/>
    <w:rsid w:val="00711F12"/>
    <w:rsid w:val="00714C98"/>
    <w:rsid w:val="00716A8B"/>
    <w:rsid w:val="0071777B"/>
    <w:rsid w:val="007237A1"/>
    <w:rsid w:val="00723E3F"/>
    <w:rsid w:val="007257DE"/>
    <w:rsid w:val="007274B3"/>
    <w:rsid w:val="007302B3"/>
    <w:rsid w:val="00730733"/>
    <w:rsid w:val="00730C65"/>
    <w:rsid w:val="00730E3A"/>
    <w:rsid w:val="00733E9B"/>
    <w:rsid w:val="00735876"/>
    <w:rsid w:val="00735EAB"/>
    <w:rsid w:val="00736AAF"/>
    <w:rsid w:val="00742128"/>
    <w:rsid w:val="00756BA5"/>
    <w:rsid w:val="00757FDF"/>
    <w:rsid w:val="0076111C"/>
    <w:rsid w:val="007623C4"/>
    <w:rsid w:val="00762D39"/>
    <w:rsid w:val="007643FC"/>
    <w:rsid w:val="00765B2A"/>
    <w:rsid w:val="00770314"/>
    <w:rsid w:val="00771AD0"/>
    <w:rsid w:val="00771C0B"/>
    <w:rsid w:val="00772DF8"/>
    <w:rsid w:val="00780112"/>
    <w:rsid w:val="00780593"/>
    <w:rsid w:val="00782B2D"/>
    <w:rsid w:val="00783A34"/>
    <w:rsid w:val="00787D8A"/>
    <w:rsid w:val="00791ED0"/>
    <w:rsid w:val="007971D5"/>
    <w:rsid w:val="0079780B"/>
    <w:rsid w:val="007A2B64"/>
    <w:rsid w:val="007A38DC"/>
    <w:rsid w:val="007A5D12"/>
    <w:rsid w:val="007A65BE"/>
    <w:rsid w:val="007B23EB"/>
    <w:rsid w:val="007B360B"/>
    <w:rsid w:val="007C19BC"/>
    <w:rsid w:val="007C476B"/>
    <w:rsid w:val="007C4877"/>
    <w:rsid w:val="007C506D"/>
    <w:rsid w:val="007C6B52"/>
    <w:rsid w:val="007C7E90"/>
    <w:rsid w:val="007D083D"/>
    <w:rsid w:val="007D16C5"/>
    <w:rsid w:val="007E06C5"/>
    <w:rsid w:val="007E1A59"/>
    <w:rsid w:val="007E269D"/>
    <w:rsid w:val="007E3520"/>
    <w:rsid w:val="007E4EC7"/>
    <w:rsid w:val="007F1AD0"/>
    <w:rsid w:val="007F3748"/>
    <w:rsid w:val="008070BF"/>
    <w:rsid w:val="00810E13"/>
    <w:rsid w:val="00815900"/>
    <w:rsid w:val="00820160"/>
    <w:rsid w:val="00824CAE"/>
    <w:rsid w:val="00825113"/>
    <w:rsid w:val="008264C3"/>
    <w:rsid w:val="00826F0D"/>
    <w:rsid w:val="00834078"/>
    <w:rsid w:val="00834F4E"/>
    <w:rsid w:val="00845DF9"/>
    <w:rsid w:val="00847AEC"/>
    <w:rsid w:val="008508DD"/>
    <w:rsid w:val="008528DD"/>
    <w:rsid w:val="00856285"/>
    <w:rsid w:val="008602AE"/>
    <w:rsid w:val="008623F0"/>
    <w:rsid w:val="00862FE4"/>
    <w:rsid w:val="0086389A"/>
    <w:rsid w:val="008745AB"/>
    <w:rsid w:val="00874D16"/>
    <w:rsid w:val="0087605E"/>
    <w:rsid w:val="00876F2A"/>
    <w:rsid w:val="00886540"/>
    <w:rsid w:val="00887789"/>
    <w:rsid w:val="008A1F7A"/>
    <w:rsid w:val="008B1FEE"/>
    <w:rsid w:val="008B28D1"/>
    <w:rsid w:val="008B3184"/>
    <w:rsid w:val="008B4363"/>
    <w:rsid w:val="008B5919"/>
    <w:rsid w:val="008B68A9"/>
    <w:rsid w:val="008C718E"/>
    <w:rsid w:val="008E3CAD"/>
    <w:rsid w:val="008E5AEF"/>
    <w:rsid w:val="008E5EAD"/>
    <w:rsid w:val="008F5FFF"/>
    <w:rsid w:val="00900057"/>
    <w:rsid w:val="009012F2"/>
    <w:rsid w:val="00901622"/>
    <w:rsid w:val="00902589"/>
    <w:rsid w:val="00902DCC"/>
    <w:rsid w:val="00903C32"/>
    <w:rsid w:val="00905AEE"/>
    <w:rsid w:val="00907BCC"/>
    <w:rsid w:val="00910407"/>
    <w:rsid w:val="00911671"/>
    <w:rsid w:val="00916B16"/>
    <w:rsid w:val="00916FC4"/>
    <w:rsid w:val="009173B9"/>
    <w:rsid w:val="009217FA"/>
    <w:rsid w:val="0092437E"/>
    <w:rsid w:val="00932282"/>
    <w:rsid w:val="00932F08"/>
    <w:rsid w:val="0093335D"/>
    <w:rsid w:val="0093613E"/>
    <w:rsid w:val="00937179"/>
    <w:rsid w:val="00937E92"/>
    <w:rsid w:val="00943026"/>
    <w:rsid w:val="00944D9E"/>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42CE"/>
    <w:rsid w:val="00995144"/>
    <w:rsid w:val="009974C0"/>
    <w:rsid w:val="009A17AB"/>
    <w:rsid w:val="009A2896"/>
    <w:rsid w:val="009B1666"/>
    <w:rsid w:val="009B25AE"/>
    <w:rsid w:val="009C320A"/>
    <w:rsid w:val="009C34EB"/>
    <w:rsid w:val="009C4D72"/>
    <w:rsid w:val="009C5F59"/>
    <w:rsid w:val="009C7720"/>
    <w:rsid w:val="009D3610"/>
    <w:rsid w:val="009D44EB"/>
    <w:rsid w:val="009E47B1"/>
    <w:rsid w:val="009E5267"/>
    <w:rsid w:val="009E5DD7"/>
    <w:rsid w:val="009F2434"/>
    <w:rsid w:val="009F3BD4"/>
    <w:rsid w:val="009F755C"/>
    <w:rsid w:val="00A00B09"/>
    <w:rsid w:val="00A02A4D"/>
    <w:rsid w:val="00A02DB7"/>
    <w:rsid w:val="00A03608"/>
    <w:rsid w:val="00A04739"/>
    <w:rsid w:val="00A0491A"/>
    <w:rsid w:val="00A06F4B"/>
    <w:rsid w:val="00A10070"/>
    <w:rsid w:val="00A1140D"/>
    <w:rsid w:val="00A14DF9"/>
    <w:rsid w:val="00A2168E"/>
    <w:rsid w:val="00A21F5C"/>
    <w:rsid w:val="00A22382"/>
    <w:rsid w:val="00A23111"/>
    <w:rsid w:val="00A23AFA"/>
    <w:rsid w:val="00A276EF"/>
    <w:rsid w:val="00A31B3E"/>
    <w:rsid w:val="00A339D6"/>
    <w:rsid w:val="00A404F7"/>
    <w:rsid w:val="00A414A7"/>
    <w:rsid w:val="00A52014"/>
    <w:rsid w:val="00A532F3"/>
    <w:rsid w:val="00A547B7"/>
    <w:rsid w:val="00A617BF"/>
    <w:rsid w:val="00A6323B"/>
    <w:rsid w:val="00A65236"/>
    <w:rsid w:val="00A75C33"/>
    <w:rsid w:val="00A76167"/>
    <w:rsid w:val="00A7757B"/>
    <w:rsid w:val="00A81EDF"/>
    <w:rsid w:val="00A828F5"/>
    <w:rsid w:val="00A83FFF"/>
    <w:rsid w:val="00A8489E"/>
    <w:rsid w:val="00A85F53"/>
    <w:rsid w:val="00A86F93"/>
    <w:rsid w:val="00A90466"/>
    <w:rsid w:val="00A91B29"/>
    <w:rsid w:val="00A92FB5"/>
    <w:rsid w:val="00A939B9"/>
    <w:rsid w:val="00A9528D"/>
    <w:rsid w:val="00A95633"/>
    <w:rsid w:val="00A979E2"/>
    <w:rsid w:val="00A97F50"/>
    <w:rsid w:val="00AA1760"/>
    <w:rsid w:val="00AA594E"/>
    <w:rsid w:val="00AB02A7"/>
    <w:rsid w:val="00AB143E"/>
    <w:rsid w:val="00AB1990"/>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224C"/>
    <w:rsid w:val="00B231E5"/>
    <w:rsid w:val="00B261E4"/>
    <w:rsid w:val="00B26661"/>
    <w:rsid w:val="00B27B48"/>
    <w:rsid w:val="00B3039B"/>
    <w:rsid w:val="00B37492"/>
    <w:rsid w:val="00B43A52"/>
    <w:rsid w:val="00B466F0"/>
    <w:rsid w:val="00B47818"/>
    <w:rsid w:val="00B5009A"/>
    <w:rsid w:val="00B50466"/>
    <w:rsid w:val="00B50739"/>
    <w:rsid w:val="00B60730"/>
    <w:rsid w:val="00B70AB7"/>
    <w:rsid w:val="00B74226"/>
    <w:rsid w:val="00B835B4"/>
    <w:rsid w:val="00B83A09"/>
    <w:rsid w:val="00B83A81"/>
    <w:rsid w:val="00B83E90"/>
    <w:rsid w:val="00B85CCA"/>
    <w:rsid w:val="00B861BF"/>
    <w:rsid w:val="00B8664F"/>
    <w:rsid w:val="00B8759D"/>
    <w:rsid w:val="00B90AB3"/>
    <w:rsid w:val="00B94457"/>
    <w:rsid w:val="00B96FB3"/>
    <w:rsid w:val="00BA07FC"/>
    <w:rsid w:val="00BA21D1"/>
    <w:rsid w:val="00BA34E1"/>
    <w:rsid w:val="00BA4503"/>
    <w:rsid w:val="00BA6DE3"/>
    <w:rsid w:val="00BA7725"/>
    <w:rsid w:val="00BB2663"/>
    <w:rsid w:val="00BB4079"/>
    <w:rsid w:val="00BB56EB"/>
    <w:rsid w:val="00BC09D9"/>
    <w:rsid w:val="00BC14C6"/>
    <w:rsid w:val="00BC1FE6"/>
    <w:rsid w:val="00BC347C"/>
    <w:rsid w:val="00BC6C2A"/>
    <w:rsid w:val="00BD3C9C"/>
    <w:rsid w:val="00BD3D60"/>
    <w:rsid w:val="00BD7F0F"/>
    <w:rsid w:val="00BE00DE"/>
    <w:rsid w:val="00BE050B"/>
    <w:rsid w:val="00BE60C4"/>
    <w:rsid w:val="00BE7477"/>
    <w:rsid w:val="00BF2049"/>
    <w:rsid w:val="00BF3627"/>
    <w:rsid w:val="00BF66CB"/>
    <w:rsid w:val="00BF794B"/>
    <w:rsid w:val="00BF7FF8"/>
    <w:rsid w:val="00C02A22"/>
    <w:rsid w:val="00C02B87"/>
    <w:rsid w:val="00C13293"/>
    <w:rsid w:val="00C13A2A"/>
    <w:rsid w:val="00C13AF9"/>
    <w:rsid w:val="00C145DA"/>
    <w:rsid w:val="00C203E7"/>
    <w:rsid w:val="00C2146C"/>
    <w:rsid w:val="00C215BB"/>
    <w:rsid w:val="00C21B45"/>
    <w:rsid w:val="00C22D74"/>
    <w:rsid w:val="00C243D3"/>
    <w:rsid w:val="00C26302"/>
    <w:rsid w:val="00C26E3C"/>
    <w:rsid w:val="00C26ECF"/>
    <w:rsid w:val="00C27906"/>
    <w:rsid w:val="00C30113"/>
    <w:rsid w:val="00C32B46"/>
    <w:rsid w:val="00C355D1"/>
    <w:rsid w:val="00C4086D"/>
    <w:rsid w:val="00C411B6"/>
    <w:rsid w:val="00C4335C"/>
    <w:rsid w:val="00C4715F"/>
    <w:rsid w:val="00C4729D"/>
    <w:rsid w:val="00C506C6"/>
    <w:rsid w:val="00C50C1A"/>
    <w:rsid w:val="00C54724"/>
    <w:rsid w:val="00C554CD"/>
    <w:rsid w:val="00C6452A"/>
    <w:rsid w:val="00C64AAF"/>
    <w:rsid w:val="00C655D1"/>
    <w:rsid w:val="00C6736C"/>
    <w:rsid w:val="00C701BD"/>
    <w:rsid w:val="00C8218D"/>
    <w:rsid w:val="00C82604"/>
    <w:rsid w:val="00C841F9"/>
    <w:rsid w:val="00C8555E"/>
    <w:rsid w:val="00C86B4C"/>
    <w:rsid w:val="00C90A3E"/>
    <w:rsid w:val="00CA0366"/>
    <w:rsid w:val="00CA1896"/>
    <w:rsid w:val="00CA6DCD"/>
    <w:rsid w:val="00CB1423"/>
    <w:rsid w:val="00CB213B"/>
    <w:rsid w:val="00CB31D9"/>
    <w:rsid w:val="00CB41A7"/>
    <w:rsid w:val="00CB5B28"/>
    <w:rsid w:val="00CC07C6"/>
    <w:rsid w:val="00CC0972"/>
    <w:rsid w:val="00CC5DA6"/>
    <w:rsid w:val="00CD0AA6"/>
    <w:rsid w:val="00CD40D6"/>
    <w:rsid w:val="00CD533E"/>
    <w:rsid w:val="00CE07B8"/>
    <w:rsid w:val="00CE157A"/>
    <w:rsid w:val="00CF29B3"/>
    <w:rsid w:val="00CF36E9"/>
    <w:rsid w:val="00CF5371"/>
    <w:rsid w:val="00D01389"/>
    <w:rsid w:val="00D0323A"/>
    <w:rsid w:val="00D0559F"/>
    <w:rsid w:val="00D06200"/>
    <w:rsid w:val="00D06538"/>
    <w:rsid w:val="00D077E9"/>
    <w:rsid w:val="00D120F9"/>
    <w:rsid w:val="00D148C6"/>
    <w:rsid w:val="00D14B3E"/>
    <w:rsid w:val="00D17BCF"/>
    <w:rsid w:val="00D300B4"/>
    <w:rsid w:val="00D3550C"/>
    <w:rsid w:val="00D36AB7"/>
    <w:rsid w:val="00D4055C"/>
    <w:rsid w:val="00D42CB7"/>
    <w:rsid w:val="00D47B3C"/>
    <w:rsid w:val="00D5033D"/>
    <w:rsid w:val="00D5413D"/>
    <w:rsid w:val="00D547E9"/>
    <w:rsid w:val="00D55A3F"/>
    <w:rsid w:val="00D5608D"/>
    <w:rsid w:val="00D56C4F"/>
    <w:rsid w:val="00D56D03"/>
    <w:rsid w:val="00D570A9"/>
    <w:rsid w:val="00D67219"/>
    <w:rsid w:val="00D67DE6"/>
    <w:rsid w:val="00D70D02"/>
    <w:rsid w:val="00D72BBD"/>
    <w:rsid w:val="00D73626"/>
    <w:rsid w:val="00D76853"/>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3FAB"/>
    <w:rsid w:val="00DA4CC0"/>
    <w:rsid w:val="00DA52FC"/>
    <w:rsid w:val="00DA7115"/>
    <w:rsid w:val="00DB1347"/>
    <w:rsid w:val="00DB1C39"/>
    <w:rsid w:val="00DB5CE9"/>
    <w:rsid w:val="00DB64A1"/>
    <w:rsid w:val="00DB7416"/>
    <w:rsid w:val="00DC282C"/>
    <w:rsid w:val="00DC4089"/>
    <w:rsid w:val="00DC4CB0"/>
    <w:rsid w:val="00DC5BEE"/>
    <w:rsid w:val="00DC5E75"/>
    <w:rsid w:val="00DC7847"/>
    <w:rsid w:val="00DD139D"/>
    <w:rsid w:val="00DD152F"/>
    <w:rsid w:val="00DD262D"/>
    <w:rsid w:val="00DE0025"/>
    <w:rsid w:val="00DE213F"/>
    <w:rsid w:val="00DE3C37"/>
    <w:rsid w:val="00DE43F0"/>
    <w:rsid w:val="00DF027C"/>
    <w:rsid w:val="00DF09B8"/>
    <w:rsid w:val="00DF75F6"/>
    <w:rsid w:val="00E00A32"/>
    <w:rsid w:val="00E03770"/>
    <w:rsid w:val="00E04295"/>
    <w:rsid w:val="00E0665F"/>
    <w:rsid w:val="00E07C30"/>
    <w:rsid w:val="00E10414"/>
    <w:rsid w:val="00E104DD"/>
    <w:rsid w:val="00E11EAC"/>
    <w:rsid w:val="00E12896"/>
    <w:rsid w:val="00E14283"/>
    <w:rsid w:val="00E14631"/>
    <w:rsid w:val="00E148BB"/>
    <w:rsid w:val="00E14E1D"/>
    <w:rsid w:val="00E2016A"/>
    <w:rsid w:val="00E22ACD"/>
    <w:rsid w:val="00E2705F"/>
    <w:rsid w:val="00E33632"/>
    <w:rsid w:val="00E36A71"/>
    <w:rsid w:val="00E373F2"/>
    <w:rsid w:val="00E4461E"/>
    <w:rsid w:val="00E46109"/>
    <w:rsid w:val="00E47C41"/>
    <w:rsid w:val="00E553B9"/>
    <w:rsid w:val="00E561A7"/>
    <w:rsid w:val="00E61997"/>
    <w:rsid w:val="00E620B0"/>
    <w:rsid w:val="00E62F0F"/>
    <w:rsid w:val="00E655B6"/>
    <w:rsid w:val="00E678E1"/>
    <w:rsid w:val="00E67A9D"/>
    <w:rsid w:val="00E702E0"/>
    <w:rsid w:val="00E709A1"/>
    <w:rsid w:val="00E73E2A"/>
    <w:rsid w:val="00E81B40"/>
    <w:rsid w:val="00E86C99"/>
    <w:rsid w:val="00E87F0B"/>
    <w:rsid w:val="00E90430"/>
    <w:rsid w:val="00E91384"/>
    <w:rsid w:val="00EA47DA"/>
    <w:rsid w:val="00EA4921"/>
    <w:rsid w:val="00EA4B59"/>
    <w:rsid w:val="00EB0E41"/>
    <w:rsid w:val="00EB18AF"/>
    <w:rsid w:val="00EB1AD7"/>
    <w:rsid w:val="00EB3773"/>
    <w:rsid w:val="00EC6DA6"/>
    <w:rsid w:val="00ED04AD"/>
    <w:rsid w:val="00ED31F9"/>
    <w:rsid w:val="00ED7CDB"/>
    <w:rsid w:val="00EE04B7"/>
    <w:rsid w:val="00EE29F8"/>
    <w:rsid w:val="00EE2BEE"/>
    <w:rsid w:val="00EE2C49"/>
    <w:rsid w:val="00EE35D0"/>
    <w:rsid w:val="00EE4C0A"/>
    <w:rsid w:val="00EF02AC"/>
    <w:rsid w:val="00EF2109"/>
    <w:rsid w:val="00EF2EA3"/>
    <w:rsid w:val="00EF466E"/>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4532"/>
    <w:rsid w:val="00F3526A"/>
    <w:rsid w:val="00F407A5"/>
    <w:rsid w:val="00F41F1C"/>
    <w:rsid w:val="00F426FA"/>
    <w:rsid w:val="00F42B34"/>
    <w:rsid w:val="00F4523C"/>
    <w:rsid w:val="00F4796C"/>
    <w:rsid w:val="00F52D27"/>
    <w:rsid w:val="00F54BC8"/>
    <w:rsid w:val="00F55857"/>
    <w:rsid w:val="00F5617F"/>
    <w:rsid w:val="00F57428"/>
    <w:rsid w:val="00F61304"/>
    <w:rsid w:val="00F66C07"/>
    <w:rsid w:val="00F72153"/>
    <w:rsid w:val="00F738FF"/>
    <w:rsid w:val="00F75C32"/>
    <w:rsid w:val="00F75ED7"/>
    <w:rsid w:val="00F80FE3"/>
    <w:rsid w:val="00F81C67"/>
    <w:rsid w:val="00F83527"/>
    <w:rsid w:val="00F878CF"/>
    <w:rsid w:val="00F91557"/>
    <w:rsid w:val="00F95CE3"/>
    <w:rsid w:val="00FA082F"/>
    <w:rsid w:val="00FA4734"/>
    <w:rsid w:val="00FA7EE6"/>
    <w:rsid w:val="00FB3401"/>
    <w:rsid w:val="00FB42E1"/>
    <w:rsid w:val="00FC3688"/>
    <w:rsid w:val="00FC4541"/>
    <w:rsid w:val="00FC7D5A"/>
    <w:rsid w:val="00FD0649"/>
    <w:rsid w:val="00FD2F06"/>
    <w:rsid w:val="00FD37A4"/>
    <w:rsid w:val="00FD3A18"/>
    <w:rsid w:val="00FD3B14"/>
    <w:rsid w:val="00FD4C5B"/>
    <w:rsid w:val="00FD583F"/>
    <w:rsid w:val="00FD7488"/>
    <w:rsid w:val="00FE299D"/>
    <w:rsid w:val="00FE4C3F"/>
    <w:rsid w:val="00FE549A"/>
    <w:rsid w:val="00FE7113"/>
    <w:rsid w:val="00FE7699"/>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aliases w:val="List Paragraph (Czech Tourism),Dot pt,No Spacing1,List Paragraph Char Char Char,Indicator Text,Numbered Para 1,List Paragraph à moi,LISTA,List Paragraph1,Listaszerű bekezdés2,Listaszerű bekezdés1,Listaszerű bekezdés3,tabulky"/>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aliases w:val="List Paragraph (Czech Tourism) Char,Dot pt Char,No Spacing1 Char,List Paragraph Char Char Char Char,Indicator Text Char,Numbered Para 1 Char,List Paragraph à moi Char,LISTA Char,List Paragraph1 Char,Listaszerű bekezdés2 Char"/>
    <w:link w:val="Odstavecseseznamem"/>
    <w:uiPriority w:val="35"/>
    <w:qFormat/>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231238878">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34189403">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742680249">
      <w:bodyDiv w:val="1"/>
      <w:marLeft w:val="0"/>
      <w:marRight w:val="0"/>
      <w:marTop w:val="0"/>
      <w:marBottom w:val="0"/>
      <w:divBdr>
        <w:top w:val="none" w:sz="0" w:space="0" w:color="auto"/>
        <w:left w:val="none" w:sz="0" w:space="0" w:color="auto"/>
        <w:bottom w:val="none" w:sz="0" w:space="0" w:color="auto"/>
        <w:right w:val="none" w:sz="0" w:space="0" w:color="auto"/>
      </w:divBdr>
    </w:div>
    <w:div w:id="761804745">
      <w:bodyDiv w:val="1"/>
      <w:marLeft w:val="0"/>
      <w:marRight w:val="0"/>
      <w:marTop w:val="0"/>
      <w:marBottom w:val="0"/>
      <w:divBdr>
        <w:top w:val="none" w:sz="0" w:space="0" w:color="auto"/>
        <w:left w:val="none" w:sz="0" w:space="0" w:color="auto"/>
        <w:bottom w:val="none" w:sz="0" w:space="0" w:color="auto"/>
        <w:right w:val="none" w:sz="0" w:space="0" w:color="auto"/>
      </w:divBdr>
    </w:div>
    <w:div w:id="887305323">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59128478">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366709199">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4581858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01374248">
      <w:bodyDiv w:val="1"/>
      <w:marLeft w:val="0"/>
      <w:marRight w:val="0"/>
      <w:marTop w:val="0"/>
      <w:marBottom w:val="0"/>
      <w:divBdr>
        <w:top w:val="none" w:sz="0" w:space="0" w:color="auto"/>
        <w:left w:val="none" w:sz="0" w:space="0" w:color="auto"/>
        <w:bottom w:val="none" w:sz="0" w:space="0" w:color="auto"/>
        <w:right w:val="none" w:sz="0" w:space="0" w:color="auto"/>
      </w:divBdr>
    </w:div>
    <w:div w:id="1622763938">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25180933">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 w:id="214191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3602</TotalTime>
  <Pages>13</Pages>
  <Words>3219</Words>
  <Characters>18993</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457</cp:revision>
  <cp:lastPrinted>2006-08-01T17:47:00Z</cp:lastPrinted>
  <dcterms:created xsi:type="dcterms:W3CDTF">2022-06-02T17:54:00Z</dcterms:created>
  <dcterms:modified xsi:type="dcterms:W3CDTF">2024-07-03T21:05:00Z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