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921F" w14:textId="6E623A92" w:rsidR="00D077E9" w:rsidRPr="008E3CAD" w:rsidRDefault="006A4215" w:rsidP="00D70D02">
      <w:pPr>
        <w:rPr>
          <w:noProof/>
          <w:color w:val="0F0D29" w:themeColor="text1"/>
        </w:rPr>
      </w:pPr>
      <w:r w:rsidRPr="008E3CAD">
        <w:rPr>
          <w:noProof/>
          <w:color w:val="0F0D29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487825" wp14:editId="2CB82625">
                <wp:simplePos x="0" y="0"/>
                <wp:positionH relativeFrom="column">
                  <wp:posOffset>-228600</wp:posOffset>
                </wp:positionH>
                <wp:positionV relativeFrom="page">
                  <wp:posOffset>708660</wp:posOffset>
                </wp:positionV>
                <wp:extent cx="3961765" cy="9182735"/>
                <wp:effectExtent l="0" t="0" r="635" b="0"/>
                <wp:wrapNone/>
                <wp:docPr id="3" name="Obdélník 3" descr="bílý obdélník pro text na titulní straně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1765" cy="918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5C836" id="Obdélník 3" o:spid="_x0000_s1026" alt="bílý obdélník pro text na titulní straně" style="position:absolute;margin-left:-18pt;margin-top:55.8pt;width:311.95pt;height:72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" fillcolor="white [3212]" stroked="f" strokeweight="2pt">
                <w10:wrap anchory="page"/>
              </v:rect>
            </w:pict>
          </mc:Fallback>
        </mc:AlternateContent>
      </w:r>
      <w:r w:rsidR="00240052" w:rsidRPr="008E3CAD">
        <w:rPr>
          <w:noProof/>
          <w:color w:val="0F0D29" w:themeColor="text1"/>
          <w:lang w:eastAsia="cs-CZ"/>
        </w:rPr>
        <w:drawing>
          <wp:anchor distT="0" distB="0" distL="114300" distR="114300" simplePos="0" relativeHeight="251662336" behindDoc="1" locked="0" layoutInCell="1" allowOverlap="1" wp14:anchorId="5D3EB1F1" wp14:editId="1FC949FB">
            <wp:simplePos x="0" y="0"/>
            <wp:positionH relativeFrom="page">
              <wp:align>right</wp:align>
            </wp:positionH>
            <wp:positionV relativeFrom="paragraph">
              <wp:posOffset>-918210</wp:posOffset>
            </wp:positionV>
            <wp:extent cx="7552060" cy="5029200"/>
            <wp:effectExtent l="0" t="0" r="0" b="0"/>
            <wp:wrapNone/>
            <wp:docPr id="4" name="Obrázek 4" descr="Obsah obrázku exteriér, obloha, tráva, dopra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exteriér, obloha, tráva, doprav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6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8E3CAD" w:rsidRPr="008E3CAD" w14:paraId="5AE6E8E3" w14:textId="77777777" w:rsidTr="00E12896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8CC9923" w14:textId="3978D161" w:rsidR="00D077E9" w:rsidRPr="008E3CAD" w:rsidRDefault="00D077E9" w:rsidP="00E12896">
            <w:pPr>
              <w:rPr>
                <w:noProof/>
                <w:color w:val="0F0D29" w:themeColor="text1"/>
              </w:rPr>
            </w:pPr>
            <w:r w:rsidRPr="008E3CAD">
              <w:rPr>
                <w:noProof/>
                <w:color w:val="0F0D29" w:themeColor="text1"/>
                <w:lang w:eastAsia="cs-CZ"/>
              </w:rPr>
              <mc:AlternateContent>
                <mc:Choice Requires="wps">
                  <w:drawing>
                    <wp:inline distT="0" distB="0" distL="0" distR="0" wp14:anchorId="79AB1C24" wp14:editId="528C0C23">
                      <wp:extent cx="3528695" cy="2433099"/>
                      <wp:effectExtent l="0" t="0" r="0" b="5715"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695" cy="24330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D4FA48" w14:textId="1159B0FD" w:rsidR="00D077E9" w:rsidRPr="00815900" w:rsidRDefault="00240052" w:rsidP="00D077E9">
                                  <w:pPr>
                                    <w:pStyle w:val="Nzev"/>
                                    <w:spacing w:after="0"/>
                                    <w:rPr>
                                      <w:color w:val="0F0D29" w:themeColor="text1"/>
                                      <w:lang w:bidi="cs-CZ"/>
                                    </w:rPr>
                                  </w:pPr>
                                  <w:r w:rsidRPr="00815900">
                                    <w:rPr>
                                      <w:color w:val="0F0D29" w:themeColor="text1"/>
                                      <w:lang w:bidi="cs-CZ"/>
                                    </w:rPr>
                                    <w:t>MONITORING</w:t>
                                  </w:r>
                                </w:p>
                                <w:p w14:paraId="38E79375" w14:textId="03FA43E1" w:rsidR="00240052" w:rsidRPr="00815900" w:rsidRDefault="00240052" w:rsidP="00D077E9">
                                  <w:pPr>
                                    <w:pStyle w:val="Nzev"/>
                                    <w:spacing w:after="0"/>
                                    <w:rPr>
                                      <w:color w:val="0F0D29" w:themeColor="text1"/>
                                      <w:lang w:bidi="cs-CZ"/>
                                    </w:rPr>
                                  </w:pPr>
                                  <w:r w:rsidRPr="00815900">
                                    <w:rPr>
                                      <w:color w:val="0F0D29" w:themeColor="text1"/>
                                      <w:lang w:bidi="cs-CZ"/>
                                    </w:rPr>
                                    <w:t>LEGISLATIVY</w:t>
                                  </w:r>
                                </w:p>
                                <w:p w14:paraId="330AB6FA" w14:textId="3D1A5D0D" w:rsidR="00240052" w:rsidRPr="00045505" w:rsidRDefault="00240052" w:rsidP="00D077E9">
                                  <w:pPr>
                                    <w:pStyle w:val="Nzev"/>
                                    <w:spacing w:after="0"/>
                                    <w:rPr>
                                      <w:color w:val="0F0D29" w:themeColor="text1"/>
                                      <w:lang w:bidi="cs-CZ"/>
                                    </w:rPr>
                                  </w:pPr>
                                </w:p>
                                <w:p w14:paraId="37709975" w14:textId="57C224E8" w:rsidR="00240052" w:rsidRPr="00815900" w:rsidRDefault="00261551" w:rsidP="00D077E9">
                                  <w:pPr>
                                    <w:pStyle w:val="Nzev"/>
                                    <w:spacing w:after="0"/>
                                    <w:rPr>
                                      <w:color w:val="0F0D29" w:themeColor="text1"/>
                                      <w:sz w:val="56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0F0D29" w:themeColor="text1"/>
                                      <w:sz w:val="56"/>
                                      <w:szCs w:val="48"/>
                                      <w:lang w:bidi="cs-CZ"/>
                                    </w:rPr>
                                    <w:t>Listopad</w:t>
                                  </w:r>
                                  <w:r w:rsidR="00947FBA">
                                    <w:rPr>
                                      <w:color w:val="0F0D29" w:themeColor="text1"/>
                                      <w:sz w:val="56"/>
                                      <w:szCs w:val="48"/>
                                      <w:lang w:bidi="cs-CZ"/>
                                    </w:rPr>
                                    <w:t xml:space="preserve">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AB1C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width:277.85pt;height:19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LFGAIAAC0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" filled="f" stroked="f" strokeweight=".5pt">
                      <v:textbox>
                        <w:txbxContent>
                          <w:p w14:paraId="7AD4FA48" w14:textId="1159B0FD" w:rsidR="00D077E9" w:rsidRPr="00815900" w:rsidRDefault="00240052" w:rsidP="00D077E9">
                            <w:pPr>
                              <w:pStyle w:val="Nzev"/>
                              <w:spacing w:after="0"/>
                              <w:rPr>
                                <w:color w:val="0F0D29" w:themeColor="text1"/>
                                <w:lang w:bidi="cs-CZ"/>
                              </w:rPr>
                            </w:pPr>
                            <w:r w:rsidRPr="00815900">
                              <w:rPr>
                                <w:color w:val="0F0D29" w:themeColor="text1"/>
                                <w:lang w:bidi="cs-CZ"/>
                              </w:rPr>
                              <w:t>MONITORING</w:t>
                            </w:r>
                          </w:p>
                          <w:p w14:paraId="38E79375" w14:textId="03FA43E1" w:rsidR="00240052" w:rsidRPr="00815900" w:rsidRDefault="00240052" w:rsidP="00D077E9">
                            <w:pPr>
                              <w:pStyle w:val="Nzev"/>
                              <w:spacing w:after="0"/>
                              <w:rPr>
                                <w:color w:val="0F0D29" w:themeColor="text1"/>
                                <w:lang w:bidi="cs-CZ"/>
                              </w:rPr>
                            </w:pPr>
                            <w:r w:rsidRPr="00815900">
                              <w:rPr>
                                <w:color w:val="0F0D29" w:themeColor="text1"/>
                                <w:lang w:bidi="cs-CZ"/>
                              </w:rPr>
                              <w:t>LEGISLATIVY</w:t>
                            </w:r>
                          </w:p>
                          <w:p w14:paraId="330AB6FA" w14:textId="3D1A5D0D" w:rsidR="00240052" w:rsidRPr="00045505" w:rsidRDefault="00240052" w:rsidP="00D077E9">
                            <w:pPr>
                              <w:pStyle w:val="Nzev"/>
                              <w:spacing w:after="0"/>
                              <w:rPr>
                                <w:color w:val="0F0D29" w:themeColor="text1"/>
                                <w:lang w:bidi="cs-CZ"/>
                              </w:rPr>
                            </w:pPr>
                          </w:p>
                          <w:p w14:paraId="37709975" w14:textId="57C224E8" w:rsidR="00240052" w:rsidRPr="00815900" w:rsidRDefault="00261551" w:rsidP="00D077E9">
                            <w:pPr>
                              <w:pStyle w:val="Nzev"/>
                              <w:spacing w:after="0"/>
                              <w:rPr>
                                <w:color w:val="0F0D29" w:themeColor="text1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color w:val="0F0D29" w:themeColor="text1"/>
                                <w:sz w:val="56"/>
                                <w:szCs w:val="48"/>
                                <w:lang w:bidi="cs-CZ"/>
                              </w:rPr>
                              <w:t>Listopad</w:t>
                            </w:r>
                            <w:r w:rsidR="00947FBA">
                              <w:rPr>
                                <w:color w:val="0F0D29" w:themeColor="text1"/>
                                <w:sz w:val="56"/>
                                <w:szCs w:val="48"/>
                                <w:lang w:bidi="cs-CZ"/>
                              </w:rPr>
                              <w:t xml:space="preserve"> 2023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C1BA071" w14:textId="77777777" w:rsidR="00D077E9" w:rsidRPr="008E3CAD" w:rsidRDefault="00D077E9" w:rsidP="00E12896">
            <w:pPr>
              <w:rPr>
                <w:noProof/>
                <w:color w:val="0F0D29" w:themeColor="text1"/>
              </w:rPr>
            </w:pPr>
            <w:r w:rsidRPr="008E3CAD">
              <w:rPr>
                <w:noProof/>
                <w:color w:val="0F0D29" w:themeColor="text1"/>
                <w:lang w:eastAsia="cs-CZ"/>
              </w:rPr>
              <mc:AlternateContent>
                <mc:Choice Requires="wps">
                  <w:drawing>
                    <wp:inline distT="0" distB="0" distL="0" distR="0" wp14:anchorId="6A92AB48" wp14:editId="29E9302C">
                      <wp:extent cx="1390918" cy="0"/>
                      <wp:effectExtent l="0" t="19050" r="19050" b="19050"/>
                      <wp:docPr id="5" name="Přímá spojnice 5" descr="oddělovač tex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89E45DA" id="Přímá spojnice 5" o:spid="_x0000_s1026" alt="oddělovač tex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" strokecolor="#0f0d29 [3213]" strokeweight="3pt">
                      <w10:anchorlock/>
                    </v:line>
                  </w:pict>
                </mc:Fallback>
              </mc:AlternateContent>
            </w:r>
          </w:p>
        </w:tc>
      </w:tr>
      <w:tr w:rsidR="008E3CAD" w:rsidRPr="008E3CAD" w14:paraId="652DBBE3" w14:textId="77777777" w:rsidTr="00E12896">
        <w:trPr>
          <w:trHeight w:val="731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6781447F" w14:textId="5E591A8D" w:rsidR="00D077E9" w:rsidRPr="008E3CAD" w:rsidRDefault="00D077E9" w:rsidP="00E12896">
            <w:pPr>
              <w:rPr>
                <w:noProof/>
                <w:color w:val="0F0D29" w:themeColor="text1"/>
              </w:rPr>
            </w:pPr>
          </w:p>
        </w:tc>
      </w:tr>
      <w:tr w:rsidR="008E3CAD" w:rsidRPr="008E3CAD" w14:paraId="17C93C5B" w14:textId="77777777" w:rsidTr="00E12896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noProof/>
                <w:color w:val="0F0D29" w:themeColor="text1"/>
              </w:rPr>
              <w:id w:val="1080870105"/>
              <w:placeholder>
                <w:docPart w:val="C5032037B8CC4739BA2DA327D25FEF75"/>
              </w:placeholder>
              <w15:appearance w15:val="hidden"/>
            </w:sdtPr>
            <w:sdtEndPr/>
            <w:sdtContent>
              <w:p w14:paraId="268DE80E" w14:textId="55D2037F" w:rsidR="00D077E9" w:rsidRPr="008E3CAD" w:rsidRDefault="008E3CAD" w:rsidP="00E12896">
                <w:pPr>
                  <w:rPr>
                    <w:noProof/>
                    <w:color w:val="0F0D29" w:themeColor="text1"/>
                  </w:rPr>
                </w:pPr>
                <w:r w:rsidRPr="008E3CAD">
                  <w:rPr>
                    <w:noProof/>
                    <w:color w:val="0F0D29" w:themeColor="text1"/>
                  </w:rPr>
                  <w:t>O</w:t>
                </w:r>
                <w:r w:rsidRPr="008E3CAD">
                  <w:rPr>
                    <w:bCs/>
                    <w:noProof/>
                    <w:color w:val="0F0D29" w:themeColor="text1"/>
                  </w:rPr>
                  <w:t>dbor právních služeb</w:t>
                </w:r>
              </w:p>
            </w:sdtContent>
          </w:sdt>
          <w:p w14:paraId="2D0C2CD7" w14:textId="77777777" w:rsidR="00D077E9" w:rsidRPr="008E3CAD" w:rsidRDefault="00D077E9" w:rsidP="00E12896">
            <w:pPr>
              <w:rPr>
                <w:noProof/>
                <w:color w:val="0F0D29" w:themeColor="text1"/>
                <w:sz w:val="10"/>
                <w:szCs w:val="10"/>
              </w:rPr>
            </w:pPr>
            <w:r w:rsidRPr="008E3CAD">
              <w:rPr>
                <w:noProof/>
                <w:color w:val="0F0D29" w:themeColor="text1"/>
                <w:sz w:val="10"/>
                <w:szCs w:val="10"/>
                <w:lang w:eastAsia="cs-CZ"/>
              </w:rPr>
              <mc:AlternateContent>
                <mc:Choice Requires="wps">
                  <w:drawing>
                    <wp:inline distT="0" distB="0" distL="0" distR="0" wp14:anchorId="054D5E28" wp14:editId="7820ACD8">
                      <wp:extent cx="1493949" cy="0"/>
                      <wp:effectExtent l="0" t="19050" r="30480" b="19050"/>
                      <wp:docPr id="6" name="Přímá spojnice 6" descr="oddělovač tex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F0960D1" id="Přímá spojnice 6" o:spid="_x0000_s1026" alt="oddělovač tex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" strokecolor="#0f0d29 [3213]" strokeweight="3pt">
                      <w10:anchorlock/>
                    </v:line>
                  </w:pict>
                </mc:Fallback>
              </mc:AlternateContent>
            </w:r>
          </w:p>
          <w:p w14:paraId="47210015" w14:textId="77777777" w:rsidR="00D077E9" w:rsidRPr="008E3CAD" w:rsidRDefault="00D077E9" w:rsidP="00E12896">
            <w:pPr>
              <w:rPr>
                <w:noProof/>
                <w:color w:val="0F0D29" w:themeColor="text1"/>
                <w:sz w:val="10"/>
                <w:szCs w:val="10"/>
              </w:rPr>
            </w:pPr>
          </w:p>
          <w:p w14:paraId="580D0683" w14:textId="77777777" w:rsidR="00D077E9" w:rsidRPr="008E3CAD" w:rsidRDefault="00D077E9" w:rsidP="00E12896">
            <w:pPr>
              <w:rPr>
                <w:noProof/>
                <w:color w:val="0F0D29" w:themeColor="text1"/>
                <w:sz w:val="10"/>
                <w:szCs w:val="10"/>
              </w:rPr>
            </w:pPr>
          </w:p>
          <w:p w14:paraId="01079BD2" w14:textId="368412D9" w:rsidR="00D077E9" w:rsidRDefault="00090ADC" w:rsidP="00E12896">
            <w:pPr>
              <w:rPr>
                <w:noProof/>
                <w:color w:val="0F0D29" w:themeColor="text1"/>
              </w:rPr>
            </w:pPr>
            <w:r w:rsidRPr="008E3CAD">
              <w:rPr>
                <w:noProof/>
                <w:color w:val="0F0D29" w:themeColor="text1"/>
              </w:rPr>
              <w:t>ČEPRO, a.s.</w:t>
            </w:r>
          </w:p>
          <w:p w14:paraId="03D3E993" w14:textId="4872FC70" w:rsidR="00F33158" w:rsidRPr="00F33158" w:rsidRDefault="00F33158" w:rsidP="00F33158">
            <w:pPr>
              <w:jc w:val="right"/>
              <w:rPr>
                <w:b w:val="0"/>
                <w:bCs/>
                <w:noProof/>
                <w:color w:val="0F0D29" w:themeColor="text1"/>
              </w:rPr>
            </w:pPr>
            <w:r w:rsidRPr="004E6A60">
              <w:rPr>
                <w:b w:val="0"/>
                <w:bCs/>
                <w:noProof/>
                <w:color w:val="0F0D29" w:themeColor="text1"/>
              </w:rPr>
              <w:t>Vypracováno k</w:t>
            </w:r>
            <w:r w:rsidR="00261551">
              <w:rPr>
                <w:b w:val="0"/>
                <w:bCs/>
                <w:noProof/>
                <w:color w:val="0F0D29" w:themeColor="text1"/>
              </w:rPr>
              <w:t> 9.12.2023</w:t>
            </w:r>
          </w:p>
          <w:p w14:paraId="1BF16C02" w14:textId="77777777" w:rsidR="00D077E9" w:rsidRPr="008E3CAD" w:rsidRDefault="00D077E9" w:rsidP="00E12896">
            <w:pPr>
              <w:rPr>
                <w:noProof/>
                <w:color w:val="0F0D29" w:themeColor="text1"/>
                <w:sz w:val="10"/>
                <w:szCs w:val="10"/>
              </w:rPr>
            </w:pPr>
          </w:p>
        </w:tc>
      </w:tr>
    </w:tbl>
    <w:p w14:paraId="01F82EF8" w14:textId="3E7A33D0" w:rsidR="0014703E" w:rsidRPr="005078C0" w:rsidRDefault="00F33158" w:rsidP="005078C0">
      <w:pPr>
        <w:spacing w:after="200"/>
        <w:rPr>
          <w:noProof/>
          <w:color w:val="0F0D29" w:themeColor="text1"/>
        </w:rPr>
      </w:pPr>
      <w:r w:rsidRPr="008E3CAD">
        <w:rPr>
          <w:noProof/>
          <w:color w:val="0F0D29" w:themeColor="text1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C67AC5" wp14:editId="14E529DF">
                <wp:simplePos x="0" y="0"/>
                <wp:positionH relativeFrom="column">
                  <wp:posOffset>-746760</wp:posOffset>
                </wp:positionH>
                <wp:positionV relativeFrom="page">
                  <wp:posOffset>4972050</wp:posOffset>
                </wp:positionV>
                <wp:extent cx="7760970" cy="5715000"/>
                <wp:effectExtent l="0" t="0" r="0" b="0"/>
                <wp:wrapNone/>
                <wp:docPr id="2" name="Obdélník 2" descr="barevný 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5715000"/>
                        </a:xfrm>
                        <a:prstGeom prst="rect">
                          <a:avLst/>
                        </a:prstGeom>
                        <a:solidFill>
                          <a:srgbClr val="007A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A11D7" id="Obdélník 2" o:spid="_x0000_s1026" alt="barevný obdélník" style="position:absolute;margin-left:-58.8pt;margin-top:391.5pt;width:611.1pt;height:450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" fillcolor="#007a53" stroked="f" strokeweight="2pt">
                <w10:wrap anchory="page"/>
              </v:rect>
            </w:pict>
          </mc:Fallback>
        </mc:AlternateContent>
      </w:r>
      <w:r>
        <w:rPr>
          <w:noProof/>
          <w:color w:val="0F0D29" w:themeColor="text1"/>
          <w:lang w:eastAsia="cs-CZ"/>
        </w:rPr>
        <w:drawing>
          <wp:anchor distT="0" distB="0" distL="114300" distR="114300" simplePos="0" relativeHeight="251664384" behindDoc="0" locked="0" layoutInCell="1" allowOverlap="1" wp14:anchorId="57105471" wp14:editId="39C01BDD">
            <wp:simplePos x="0" y="0"/>
            <wp:positionH relativeFrom="column">
              <wp:posOffset>4320540</wp:posOffset>
            </wp:positionH>
            <wp:positionV relativeFrom="paragraph">
              <wp:posOffset>7138035</wp:posOffset>
            </wp:positionV>
            <wp:extent cx="1981204" cy="655321"/>
            <wp:effectExtent l="0" t="0" r="0" b="0"/>
            <wp:wrapNone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4" cy="655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7E9" w:rsidRPr="008E3CAD">
        <w:rPr>
          <w:noProof/>
          <w:color w:val="0F0D29" w:themeColor="text1"/>
          <w:lang w:bidi="cs-CZ"/>
        </w:rPr>
        <w:br w:type="page"/>
      </w:r>
    </w:p>
    <w:tbl>
      <w:tblPr>
        <w:tblpPr w:leftFromText="141" w:rightFromText="141" w:vertAnchor="text" w:tblpY="1"/>
        <w:tblOverlap w:val="never"/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E3CAD" w:rsidRPr="005078C0" w14:paraId="47FD99E1" w14:textId="77777777" w:rsidTr="00F2217C">
        <w:trPr>
          <w:trHeight w:val="5931"/>
        </w:trPr>
        <w:tc>
          <w:tcPr>
            <w:tcW w:w="9923" w:type="dxa"/>
            <w:shd w:val="clear" w:color="auto" w:fill="auto"/>
          </w:tcPr>
          <w:p w14:paraId="147DAE18" w14:textId="0168156A" w:rsidR="0014703E" w:rsidRPr="005078C0" w:rsidRDefault="0014703E" w:rsidP="008E3CAD">
            <w:pPr>
              <w:pStyle w:val="Bezmezer"/>
              <w:spacing w:line="360" w:lineRule="auto"/>
              <w:jc w:val="center"/>
              <w:rPr>
                <w:rFonts w:ascii="Arial" w:hAnsi="Arial" w:cs="Arial"/>
                <w:b/>
                <w:color w:val="0F0D29" w:themeColor="text1"/>
              </w:rPr>
            </w:pPr>
          </w:p>
          <w:p w14:paraId="0E89924B" w14:textId="5EF23423" w:rsidR="00977406" w:rsidRPr="00977406" w:rsidRDefault="0014703E" w:rsidP="00977406">
            <w:pPr>
              <w:pStyle w:val="Bezmezer"/>
              <w:spacing w:line="360" w:lineRule="auto"/>
              <w:jc w:val="both"/>
              <w:rPr>
                <w:rFonts w:ascii="Arial" w:hAnsi="Arial" w:cs="Arial"/>
                <w:b/>
                <w:color w:val="0F0D29" w:themeColor="text1"/>
                <w:sz w:val="24"/>
              </w:rPr>
            </w:pPr>
            <w:r w:rsidRPr="005078C0">
              <w:rPr>
                <w:rFonts w:ascii="Arial" w:hAnsi="Arial" w:cs="Arial"/>
                <w:b/>
                <w:color w:val="0F0D29" w:themeColor="text1"/>
                <w:sz w:val="24"/>
              </w:rPr>
              <w:t xml:space="preserve">I. Platné právní předpisy vyhlášené ve Sbírce zákonů </w:t>
            </w:r>
          </w:p>
          <w:p w14:paraId="39F7EE79" w14:textId="77777777" w:rsidR="00D67DE6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Vyhláška č. </w:t>
            </w: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347/2023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 Sb.</w:t>
            </w: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, kterou se mění vyhláška č. 82/2019 Sb., o tabákových nálepkách  </w:t>
            </w:r>
          </w:p>
          <w:p w14:paraId="77C9E409" w14:textId="3448330E" w:rsid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Vyhláška č. </w:t>
            </w: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345/2023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 Sb., </w:t>
            </w: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o uveřejňování formulářů pro účely zákona o zadávání veřejných zakázek a náležitostech profilu zadavatele</w:t>
            </w:r>
          </w:p>
          <w:p w14:paraId="50DB65FE" w14:textId="7EEC08F2" w:rsid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Vyhláška č. </w:t>
            </w: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341/2023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 Sb., </w:t>
            </w: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o stanovení výše základních sazeb zahraničního stravného pro rok 202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4</w:t>
            </w:r>
          </w:p>
          <w:p w14:paraId="681A07F7" w14:textId="6141A155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Zákon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 č. 323/2023 Sb.</w:t>
            </w: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, kterým se mění některé zákony v oblasti krizových stavů a státních hmotných rezerv  </w:t>
            </w:r>
          </w:p>
          <w:p w14:paraId="43A3D180" w14:textId="0EE70805" w:rsidR="0014703E" w:rsidRPr="007C506D" w:rsidRDefault="0014703E" w:rsidP="007C506D">
            <w:p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7C506D">
              <w:rPr>
                <w:rFonts w:ascii="Arial" w:hAnsi="Arial" w:cs="Arial"/>
                <w:color w:val="0F0D29" w:themeColor="text1"/>
                <w:sz w:val="24"/>
              </w:rPr>
              <w:t>II</w:t>
            </w:r>
            <w:r w:rsidRPr="007C506D">
              <w:rPr>
                <w:rFonts w:ascii="Arial" w:hAnsi="Arial" w:cs="Arial"/>
                <w:color w:val="0F0D29" w:themeColor="text1"/>
                <w:szCs w:val="24"/>
              </w:rPr>
              <w:t xml:space="preserve">. </w:t>
            </w:r>
            <w:r w:rsidRPr="007C506D">
              <w:rPr>
                <w:rFonts w:ascii="Arial" w:hAnsi="Arial" w:cs="Arial"/>
                <w:color w:val="0F0D29" w:themeColor="text1"/>
                <w:sz w:val="24"/>
                <w:szCs w:val="24"/>
              </w:rPr>
              <w:t>Připravovaná legislativa</w:t>
            </w:r>
          </w:p>
          <w:p w14:paraId="453FD427" w14:textId="18885FE7" w:rsidR="00C26ECF" w:rsidRPr="004E6A60" w:rsidRDefault="0014703E" w:rsidP="00C86B4C">
            <w:pPr>
              <w:pStyle w:val="Bezmezer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/>
                <w:color w:val="0F0D29" w:themeColor="text1"/>
                <w:sz w:val="20"/>
                <w:szCs w:val="20"/>
              </w:rPr>
            </w:pPr>
            <w:r w:rsidRPr="004E6A60">
              <w:rPr>
                <w:rFonts w:ascii="Arial" w:hAnsi="Arial" w:cs="Arial"/>
                <w:b/>
                <w:color w:val="0F0D29" w:themeColor="text1"/>
                <w:sz w:val="20"/>
                <w:szCs w:val="20"/>
              </w:rPr>
              <w:t>Výstupy</w:t>
            </w:r>
          </w:p>
          <w:p w14:paraId="65F8E583" w14:textId="4694A69E" w:rsidR="001B1E14" w:rsidRDefault="003A7F20" w:rsidP="003A7F20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</w:t>
            </w:r>
            <w:r w:rsidRPr="003A7F20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ařízení 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E</w:t>
            </w:r>
            <w:r w:rsidRPr="003A7F20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vropského parlamentu a rady (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EU</w:t>
            </w:r>
            <w:r w:rsidRPr="003A7F20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) 2023/1804 ze dne 13. září 2023 o zavádění infrastruktury pro alternativní paliva a o zrušení směrnice 2014/94/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EU</w:t>
            </w:r>
          </w:p>
          <w:p w14:paraId="2FC40677" w14:textId="14470FEE" w:rsidR="003A7F20" w:rsidRPr="003A7F20" w:rsidRDefault="003A7F20" w:rsidP="003A7F20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</w:t>
            </w:r>
            <w:r w:rsidRPr="003A7F20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ávrh zákona, kterým se mění zákon č. 458/2000 Sb., o podmínkách podnikání a o výkonu státní správy v energetických odvětvích a o změně některých zákonů (energetický zákon), ve znění pozdějších předpisů, a další související zákony</w:t>
            </w:r>
          </w:p>
          <w:p w14:paraId="01051C8D" w14:textId="4EF8F55A" w:rsidR="00B2224C" w:rsidRPr="00B2224C" w:rsidRDefault="0014703E" w:rsidP="00B2224C">
            <w:pPr>
              <w:pStyle w:val="Bezmezer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EA47DA">
              <w:rPr>
                <w:rFonts w:ascii="Arial" w:hAnsi="Arial" w:cs="Arial"/>
                <w:b/>
                <w:color w:val="0F0D29" w:themeColor="text1"/>
                <w:sz w:val="20"/>
                <w:szCs w:val="20"/>
              </w:rPr>
              <w:t>Zadání</w:t>
            </w:r>
          </w:p>
          <w:p w14:paraId="61B636CB" w14:textId="77777777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Návrh vyhlášky, kterou se mění vyhláška č. 383/2009 Sb., o účetních záznamech v technické formě vybraných účetních jednotek a jejich předávání do centrálního systému účetních informací státu a o požadavcích na technické a smíšené formy účetních záznamů (technická vyhláška o účetních záznamech)</w:t>
            </w:r>
          </w:p>
          <w:p w14:paraId="26610228" w14:textId="68388FB2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Nařízení vlády, kterým se mění nařízení vlády č. 567/2006 Sb., o minimální mzdě, o nejnižších úrovních zaručené mzdy, o vymezení ztíženého pracovního prostředí a o výši příplatku ke mzdě za práci ve ztíženém pracovním prostředí</w:t>
            </w:r>
          </w:p>
          <w:p w14:paraId="729C8E65" w14:textId="77777777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Návrh vyhlášky o stanovení výše paušální částky náhrady nákladů při práci na dálku pro rok 2024</w:t>
            </w:r>
          </w:p>
          <w:p w14:paraId="7B0FBF09" w14:textId="77777777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Návrh vyhlášky o změně sazby základní náhrady za používání silničních motorových vozidel a stravného a o stanovení průměrné ceny pohonných hmot pro účely poskytování cestovních náhrad pro rok 2024</w:t>
            </w:r>
          </w:p>
          <w:p w14:paraId="2620B056" w14:textId="77777777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Návrh vyhlášky, vyhláška č. 404/2016 Sb., o náležitostech a členění výkazů nezbytných pro zpracování zpráv o provozu soustav v energetických odvětvích, včetně termínů, rozsahu a pravidel pro sestavování výkazů</w:t>
            </w:r>
          </w:p>
          <w:p w14:paraId="4F1994A7" w14:textId="77777777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Návrh vyhlášky, kterou se mění vyhláška č. 470/2012 Sb., o užívání pozemních komunikací zpoplatněných mýtným, ve znění pozdějších předpisů</w:t>
            </w:r>
          </w:p>
          <w:p w14:paraId="3574C708" w14:textId="77777777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Návrh nařízení vlády, kterým se mění nařízení vlády č. 240/2014 Sb., o výši časových poplatků, sazeb mýtného, slevy na mýtném a o postupu při uplatnění slevy na mýtném, ve znění nařízení vlády č. 479/2020 Sb.</w:t>
            </w:r>
          </w:p>
          <w:p w14:paraId="2E00280D" w14:textId="2858F55A" w:rsidR="00261551" w:rsidRPr="00261551" w:rsidRDefault="00261551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Návrh zákona, kterým se mění zákon č. 477/2001 Sb., o obalech a o změně některých zákonů (zákon o obalech)</w:t>
            </w:r>
          </w:p>
          <w:p w14:paraId="118937B2" w14:textId="570D4773" w:rsidR="0014703E" w:rsidRPr="00261551" w:rsidRDefault="0014703E" w:rsidP="00261551">
            <w:p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261551">
              <w:rPr>
                <w:rFonts w:ascii="Arial" w:hAnsi="Arial" w:cs="Arial"/>
                <w:color w:val="0F0D29" w:themeColor="text1"/>
                <w:sz w:val="24"/>
                <w:szCs w:val="24"/>
              </w:rPr>
              <w:t>III. Judikatura a stanoviska</w:t>
            </w:r>
          </w:p>
          <w:p w14:paraId="34547D99" w14:textId="1B5D5C6E" w:rsidR="00045244" w:rsidRPr="003252CA" w:rsidRDefault="003252CA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Konkurence výpovědních důvodů</w:t>
            </w:r>
          </w:p>
          <w:p w14:paraId="67AFAB3F" w14:textId="0F44B5E2" w:rsidR="003252CA" w:rsidRPr="0030302F" w:rsidRDefault="003252CA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Uznání </w:t>
            </w:r>
            <w:r w:rsidRPr="0030302F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dluhu plněním</w:t>
            </w:r>
          </w:p>
          <w:p w14:paraId="5A025CC4" w14:textId="2320EE61" w:rsidR="003252CA" w:rsidRPr="0030302F" w:rsidRDefault="003252CA" w:rsidP="00261551">
            <w:pPr>
              <w:pStyle w:val="Odstavecseseznamem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02F">
              <w:rPr>
                <w:rFonts w:ascii="Arial" w:hAnsi="Arial" w:cs="Arial"/>
                <w:sz w:val="20"/>
                <w:szCs w:val="20"/>
              </w:rPr>
              <w:lastRenderedPageBreak/>
              <w:t>K platnému započtení promlčené aktivně započítávané pohledávky</w:t>
            </w:r>
          </w:p>
          <w:p w14:paraId="05071B87" w14:textId="7CB7BA71" w:rsidR="00045244" w:rsidRDefault="00045244" w:rsidP="0004524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F0CBA50" w14:textId="11123778" w:rsidR="00937E92" w:rsidRPr="00937E92" w:rsidRDefault="00937E92" w:rsidP="00937E92">
            <w:pPr>
              <w:pStyle w:val="Bezmezer"/>
              <w:numPr>
                <w:ilvl w:val="0"/>
                <w:numId w:val="5"/>
              </w:numPr>
              <w:shd w:val="clear" w:color="auto" w:fill="007A53"/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5078C0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latné předpisy vyhlášené ve Sbírce zákonů</w:t>
            </w:r>
          </w:p>
          <w:p w14:paraId="0741203E" w14:textId="77777777" w:rsidR="00937E92" w:rsidRDefault="00937E92" w:rsidP="00A86F93">
            <w:pPr>
              <w:pStyle w:val="Bezmezer"/>
              <w:spacing w:line="360" w:lineRule="auto"/>
              <w:ind w:left="360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</w:p>
          <w:p w14:paraId="7E4CDC0C" w14:textId="68304325" w:rsidR="00C203E7" w:rsidRPr="006E530F" w:rsidRDefault="00D67DE6" w:rsidP="00A86F93">
            <w:pPr>
              <w:pStyle w:val="Bezmezer"/>
              <w:spacing w:line="360" w:lineRule="auto"/>
              <w:ind w:left="360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D67DE6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t xml:space="preserve">Vyhláška č. 347/2023 Sb., kterou se mění vyhláška č. 82/2019 Sb., o tabákových nálepkách  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5D475690">
                <v:rect id="_x0000_i1025" style="width:0;height:1.5pt" o:hralign="center" o:hrstd="t" o:hr="t" fillcolor="#a0a0a0" stroked="f"/>
              </w:pict>
            </w:r>
          </w:p>
          <w:p w14:paraId="65A2A647" w14:textId="5B323F9A" w:rsidR="00C203E7" w:rsidRPr="001A0EC5" w:rsidRDefault="00C203E7" w:rsidP="00C203E7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Účinnost</w:t>
            </w:r>
            <w:r w:rsidR="00916FC4"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 od </w:t>
            </w:r>
            <w:r w:rsidR="00B2224C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1.1</w:t>
            </w:r>
            <w:r w:rsidR="00937E92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.202</w:t>
            </w:r>
            <w:r w:rsid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4</w:t>
            </w: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 </w:t>
            </w:r>
          </w:p>
          <w:p w14:paraId="2BD1DD9E" w14:textId="77777777" w:rsidR="00C203E7" w:rsidRPr="001A0EC5" w:rsidRDefault="00C203E7" w:rsidP="00C203E7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4F567DE8" w14:textId="44290925" w:rsidR="00D67DE6" w:rsidRDefault="00D67DE6" w:rsidP="00D67DE6">
            <w:pPr>
              <w:pStyle w:val="text-large"/>
              <w:shd w:val="clear" w:color="auto" w:fill="FFFFFF"/>
              <w:spacing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V</w:t>
            </w:r>
            <w:r w:rsidRP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yhlášk</w:t>
            </w: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a </w:t>
            </w:r>
            <w:r w:rsidRP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mění stávající vyhlášku o tabákových nálepkách. Tato změna je vyvolána potřebou zahrnout do systému značení tabákových výrobků nové produkty, včetně náplní do elektronických cigaret, nikotinových sáčků a dalších alternativních nikotinových výrobků. Tato změna je motivována zavedením nových daní na tyto produkty.</w:t>
            </w:r>
            <w:r w:rsidR="00C54724" w:rsidRPr="00C54724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 </w:t>
            </w:r>
          </w:p>
          <w:p w14:paraId="4716AD49" w14:textId="77777777" w:rsidR="00C54724" w:rsidRDefault="00C54724" w:rsidP="00C54724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6413DD11" w14:textId="55D48086" w:rsidR="00ED31F9" w:rsidRDefault="00ED31F9" w:rsidP="00ED31F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="00937E92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Novela je předmětem věcného posouzení ze strany </w:t>
            </w:r>
            <w:r w:rsidR="00D67DE6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OČS.</w:t>
            </w:r>
          </w:p>
          <w:p w14:paraId="42FFBB77" w14:textId="3D477093" w:rsidR="00ED31F9" w:rsidRDefault="00ED31F9" w:rsidP="00916FC4">
            <w:pPr>
              <w:pStyle w:val="Bezmezer"/>
              <w:tabs>
                <w:tab w:val="left" w:pos="4308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7274EA47" w14:textId="77777777" w:rsidR="00735876" w:rsidRPr="00BA4503" w:rsidRDefault="00735876" w:rsidP="00BA4503">
            <w:pPr>
              <w:spacing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</w:p>
          <w:p w14:paraId="5EF29AF6" w14:textId="0F96C678" w:rsidR="00ED31F9" w:rsidRPr="006E530F" w:rsidRDefault="00D67DE6" w:rsidP="00905AEE">
            <w:pPr>
              <w:pStyle w:val="Bezmezer"/>
              <w:spacing w:line="360" w:lineRule="auto"/>
              <w:ind w:left="360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D67DE6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t>Vyhláška č. 345/2023 Sb., o uveřejňování formulářů pro účely zákona o zadávání veřejných zakázek a náležitostech profilu zadavatele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0F1976E3">
                <v:rect id="_x0000_i1026" style="width:0;height:1.5pt" o:hralign="center" o:hrstd="t" o:hr="t" fillcolor="#a0a0a0" stroked="f"/>
              </w:pict>
            </w:r>
          </w:p>
          <w:p w14:paraId="1C2FA78F" w14:textId="447E2327" w:rsidR="00ED31F9" w:rsidRPr="001A0EC5" w:rsidRDefault="00ED31F9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Účinnost </w:t>
            </w:r>
            <w:r w:rsidR="00905AEE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od 1.</w:t>
            </w:r>
            <w:r w:rsid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2.2024</w:t>
            </w: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 </w:t>
            </w:r>
          </w:p>
          <w:p w14:paraId="6B3BEAC5" w14:textId="77777777" w:rsidR="00ED31F9" w:rsidRPr="001A0EC5" w:rsidRDefault="00ED31F9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74AA6EE4" w14:textId="0D84A39B" w:rsidR="00ED31F9" w:rsidRDefault="00D67DE6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 w:rsidRP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Cílem nové vyhlášky je implementovat elektronické formuláře dle prováděcího nařízení Komise (EU) 2019/1780, který stanoví standardní formuláře pro uveřejňování oznámení v oblasti veřejných zakázek. N</w:t>
            </w: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ovela vyhlášky </w:t>
            </w:r>
            <w:r w:rsidRP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oproti stávající vyhlášce č. 168/2016 Sb. ponechává pouze dva národní formuláře používané pro oznámení a zrušení či zneaktivnění profilu zadavatele.</w:t>
            </w:r>
          </w:p>
          <w:p w14:paraId="1902888A" w14:textId="113CCAF6" w:rsidR="00C54724" w:rsidRDefault="00C54724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224410E5" w14:textId="14EC49AF" w:rsidR="00ED31F9" w:rsidRDefault="00C54724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Dle vyjádření O</w:t>
            </w:r>
            <w:r w:rsid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CN </w:t>
            </w: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vyhláška ne</w:t>
            </w:r>
            <w:r w:rsidR="00D67DE6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vyvolává dopady do procesů společnosti. </w:t>
            </w:r>
          </w:p>
          <w:p w14:paraId="47D36ADB" w14:textId="77777777" w:rsidR="0030302F" w:rsidRDefault="0030302F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7070DE7F" w14:textId="5B427A38" w:rsidR="00D67DE6" w:rsidRDefault="00D67DE6" w:rsidP="00D67DE6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Úkol: Na vědomí OCN.</w:t>
            </w:r>
          </w:p>
          <w:p w14:paraId="478C93F3" w14:textId="2223BF9E" w:rsidR="00D67DE6" w:rsidRDefault="00D67DE6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507ADFE6" w14:textId="14B73AD0" w:rsidR="0030302F" w:rsidRDefault="0030302F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5457FC94" w14:textId="4E818A63" w:rsidR="0030302F" w:rsidRDefault="0030302F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5AA6E2E3" w14:textId="77777777" w:rsidR="0030302F" w:rsidRDefault="0030302F" w:rsidP="00ED31F9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5125F768" w14:textId="6F1CDE64" w:rsidR="00D67DE6" w:rsidRPr="006E530F" w:rsidRDefault="00D67DE6" w:rsidP="00D67DE6">
            <w:pPr>
              <w:pStyle w:val="Bezmezer"/>
              <w:spacing w:line="360" w:lineRule="auto"/>
              <w:ind w:left="360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D67DE6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lastRenderedPageBreak/>
              <w:t>Vyhláška č. 341/2023 Sb., o stanovení výše základních sazeb zahraničního stravného pro rok 2024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4543B28F">
                <v:rect id="_x0000_i1027" style="width:0;height:1.5pt" o:hralign="center" o:hrstd="t" o:hr="t" fillcolor="#a0a0a0" stroked="f"/>
              </w:pict>
            </w:r>
          </w:p>
          <w:p w14:paraId="38913A5B" w14:textId="77777777" w:rsidR="00D67DE6" w:rsidRPr="001A0EC5" w:rsidRDefault="00D67DE6" w:rsidP="00D67DE6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Účinnost </w:t>
            </w: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od 1.2.2024</w:t>
            </w: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 </w:t>
            </w:r>
          </w:p>
          <w:p w14:paraId="36788C47" w14:textId="77777777" w:rsidR="00D67DE6" w:rsidRPr="001A0EC5" w:rsidRDefault="00D67DE6" w:rsidP="00D67DE6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2D0FCFE9" w14:textId="18B74B39" w:rsidR="00D67DE6" w:rsidRDefault="00D67DE6" w:rsidP="00D67DE6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Novela vyhlášky stanovuje výše základních sazeb zahraničního stravného pro rok 2024.</w:t>
            </w:r>
          </w:p>
          <w:p w14:paraId="4ACD8D11" w14:textId="77777777" w:rsidR="00D67DE6" w:rsidRPr="00D67DE6" w:rsidRDefault="00D67DE6" w:rsidP="00D67DE6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Style w:val="Hypertextovodkaz"/>
                <w:rFonts w:asciiTheme="majorHAnsi" w:hAnsiTheme="majorHAnsi" w:cstheme="majorHAnsi"/>
                <w:color w:val="3B3B3B"/>
                <w:sz w:val="20"/>
                <w:szCs w:val="20"/>
                <w:u w:val="none"/>
              </w:rPr>
            </w:pPr>
          </w:p>
          <w:p w14:paraId="5CAA5112" w14:textId="5867AD35" w:rsidR="00D67DE6" w:rsidRDefault="00D67DE6" w:rsidP="00D67DE6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Úkol: Na vědomí OŘLZ.</w:t>
            </w:r>
          </w:p>
          <w:p w14:paraId="23F6134A" w14:textId="77777777" w:rsidR="00D67DE6" w:rsidRDefault="00D67DE6" w:rsidP="00D67DE6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79D6748C" w14:textId="188C0ECD" w:rsidR="00302FB3" w:rsidRPr="006E530F" w:rsidRDefault="00302FB3" w:rsidP="00302FB3">
            <w:pPr>
              <w:pStyle w:val="Bezmezer"/>
              <w:spacing w:line="360" w:lineRule="auto"/>
              <w:ind w:left="360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302FB3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t xml:space="preserve">Zákon č. 323/2023 Sb., kterým se mění některé zákony v oblasti krizových stavů a státních hmotných rezerv  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2F5C0FCA">
                <v:rect id="_x0000_i1028" style="width:0;height:1.5pt" o:hralign="center" o:hrstd="t" o:hr="t" fillcolor="#a0a0a0" stroked="f"/>
              </w:pict>
            </w:r>
          </w:p>
          <w:p w14:paraId="33421998" w14:textId="77777777" w:rsidR="00302FB3" w:rsidRPr="001A0EC5" w:rsidRDefault="00302FB3" w:rsidP="00302FB3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Účinnost </w:t>
            </w:r>
            <w:r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>od 1.2.2024</w:t>
            </w:r>
            <w:r w:rsidRPr="001A0EC5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 </w:t>
            </w:r>
          </w:p>
          <w:p w14:paraId="09DCA414" w14:textId="77777777" w:rsidR="00302FB3" w:rsidRPr="001A0EC5" w:rsidRDefault="00302FB3" w:rsidP="00302FB3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right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</w:p>
          <w:p w14:paraId="44B64BE4" w14:textId="045CDDD7" w:rsidR="00302FB3" w:rsidRDefault="00302FB3" w:rsidP="00302FB3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Fonts w:asciiTheme="majorHAnsi" w:hAnsiTheme="majorHAnsi" w:cstheme="majorHAnsi"/>
                <w:color w:val="3B3B3B"/>
                <w:sz w:val="20"/>
                <w:szCs w:val="20"/>
              </w:rPr>
            </w:pPr>
            <w:r w:rsidRPr="00302FB3">
              <w:rPr>
                <w:rFonts w:asciiTheme="majorHAnsi" w:hAnsiTheme="majorHAnsi" w:cstheme="majorHAnsi"/>
                <w:color w:val="3B3B3B"/>
                <w:sz w:val="20"/>
                <w:szCs w:val="20"/>
              </w:rPr>
              <w:t xml:space="preserve">Hlavní principy sledované novou právní úpravou je vytvoření systému flexibilního a komplexně provázaného systému plánování pro řešení krizových stavů. Pravidelně aktualizované plány následně umožní včasnou a adekvátní reakci na vznik krizových stavů a umožní přijetí adekvátních a efektivních opatření. Nová právní úprava dotváří a rozvíjí aktuální právní úpravu v reakci na nedostatky zjištěné při řešení krizového stavu vyvolaného pandemií COVID-19. Povinnost vlády pravidelně projednávat a schvalovat Plán vytváření a udržování státních hmotných rezerv k zajištění bezpečnosti ČR zajistí, aby byly plány pro vytváření strategických komodit  pravidelně aktualizovány a aby docházelo k průběžné kontrole jejich souladu s jednotlivými krizovými a obrannými plány. Nadto se systém provazuje, když je explicitně řečeno, že z plánu nezbytných dodávek a plánu hospodářské mobilizace se má vycházet při zpracovávání a aktualizaci Plánu. </w:t>
            </w:r>
          </w:p>
          <w:p w14:paraId="79B72392" w14:textId="77777777" w:rsidR="00302FB3" w:rsidRPr="00D67DE6" w:rsidRDefault="00302FB3" w:rsidP="00302FB3">
            <w:pPr>
              <w:pStyle w:val="text-large"/>
              <w:shd w:val="clear" w:color="auto" w:fill="FFFFFF"/>
              <w:spacing w:before="0" w:beforeAutospacing="0" w:after="0" w:afterAutospacing="0" w:line="408" w:lineRule="atLeast"/>
              <w:jc w:val="both"/>
              <w:rPr>
                <w:rStyle w:val="Hypertextovodkaz"/>
                <w:rFonts w:asciiTheme="majorHAnsi" w:hAnsiTheme="majorHAnsi" w:cstheme="majorHAnsi"/>
                <w:color w:val="3B3B3B"/>
                <w:sz w:val="20"/>
                <w:szCs w:val="20"/>
                <w:u w:val="none"/>
              </w:rPr>
            </w:pPr>
          </w:p>
          <w:p w14:paraId="208A514E" w14:textId="7D4FCFE1" w:rsidR="00302FB3" w:rsidRDefault="00302FB3" w:rsidP="00302FB3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Úkol: Novela je předmětem věcného posouzení ze strany OÚ.</w:t>
            </w:r>
          </w:p>
          <w:p w14:paraId="4D9AC691" w14:textId="2EF70F76" w:rsidR="00172E7E" w:rsidRDefault="00172E7E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5718E873" w14:textId="719A61A9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4AA18116" w14:textId="30E20A07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6AA76AA2" w14:textId="33B2BC9E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6AFAC539" w14:textId="316D1504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40CC174A" w14:textId="70A64DBE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7016663" w14:textId="4BC1C140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631F938F" w14:textId="4D6CB096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5DBF49F3" w14:textId="0E84D8DB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197FFA6A" w14:textId="5DB67877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C3863C5" w14:textId="5A583DAE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06431022" w14:textId="55CEAC9C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74C0C8B7" w14:textId="22E111D6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2F76143D" w14:textId="5FF3254D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0DEADD35" w14:textId="0634F2C1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85187F1" w14:textId="2AD8FA60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6109F5D6" w14:textId="77777777" w:rsidR="0030302F" w:rsidRDefault="0030302F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184E4401" w14:textId="77777777" w:rsidR="001E6151" w:rsidRPr="00DE0025" w:rsidRDefault="001E6151" w:rsidP="00124E51">
            <w:pPr>
              <w:pStyle w:val="Bezmezer"/>
              <w:tabs>
                <w:tab w:val="left" w:pos="4224"/>
              </w:tabs>
              <w:jc w:val="both"/>
              <w:rPr>
                <w:rStyle w:val="Hypertextovodkaz"/>
                <w:rFonts w:ascii="Arial" w:eastAsia="Times New Roman" w:hAnsi="Arial" w:cs="Arial"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745291D9" w14:textId="3E9798D4" w:rsidR="0014703E" w:rsidRPr="005078C0" w:rsidRDefault="0014703E" w:rsidP="00DE0025">
            <w:pPr>
              <w:pStyle w:val="Bezmezer"/>
              <w:numPr>
                <w:ilvl w:val="0"/>
                <w:numId w:val="3"/>
              </w:numPr>
              <w:shd w:val="clear" w:color="auto" w:fill="007A53"/>
              <w:spacing w:line="360" w:lineRule="auto"/>
              <w:ind w:hanging="71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5078C0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lastRenderedPageBreak/>
              <w:t>Připravovaná legislativa</w:t>
            </w:r>
          </w:p>
          <w:p w14:paraId="1EB2211A" w14:textId="77777777" w:rsidR="0014703E" w:rsidRPr="005078C0" w:rsidRDefault="0014703E" w:rsidP="005078C0">
            <w:pPr>
              <w:pStyle w:val="Bezmezer"/>
              <w:shd w:val="clear" w:color="auto" w:fill="007A53"/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5078C0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a) výstupy</w:t>
            </w:r>
          </w:p>
          <w:p w14:paraId="3F0F722B" w14:textId="733C30B8" w:rsidR="00937179" w:rsidRPr="00C4715F" w:rsidRDefault="00937179" w:rsidP="00F54BC8">
            <w:pPr>
              <w:pStyle w:val="Bezmezer"/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52C33C96" w14:textId="7D0E0878" w:rsidR="00780593" w:rsidRPr="005078C0" w:rsidRDefault="00780593" w:rsidP="00780593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780593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Nařízení Evropského parlamentu a rady (EU) 2023/1804 ze dne 13. září 2023 o zavádění infrastruktury pro alternativní paliva a o zrušení směrnice 2014/94/EU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322BBB75">
                <v:rect id="_x0000_i1042" style="width:0;height:1.5pt" o:hralign="center" o:hrstd="t" o:hr="t" fillcolor="#a0a0a0" stroked="f"/>
              </w:pict>
            </w:r>
          </w:p>
          <w:p w14:paraId="2F84157D" w14:textId="77777777" w:rsidR="00A75C33" w:rsidRDefault="00A75C33" w:rsidP="00780593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proofErr w:type="spellStart"/>
            <w:r w:rsidRPr="00A75C33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Document</w:t>
            </w:r>
            <w:proofErr w:type="spellEnd"/>
            <w:r w:rsidRPr="00A75C33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 52021PC0559</w:t>
            </w:r>
          </w:p>
          <w:p w14:paraId="1AB4CF42" w14:textId="45F0BC61" w:rsidR="00780593" w:rsidRPr="004405C5" w:rsidRDefault="00A75C33" w:rsidP="00780593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Schváleno Radou EU</w:t>
            </w:r>
          </w:p>
          <w:p w14:paraId="257FCA28" w14:textId="77777777" w:rsidR="00780593" w:rsidRPr="004405C5" w:rsidRDefault="00780593" w:rsidP="00780593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1935F4A1" w14:textId="77777777" w:rsidR="00A75C33" w:rsidRPr="00A75C33" w:rsidRDefault="00A75C33" w:rsidP="00A75C33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Nařízení Evropského parlamentu a Rady se zabývá pravidly pro zavádění infrastruktury pro alternativní paliva a hlavní cíle jsou shrnuty v Článku 1 (více viz níže odstavce).</w:t>
            </w:r>
          </w:p>
          <w:p w14:paraId="45F694BD" w14:textId="77777777" w:rsidR="00A75C33" w:rsidRPr="00A75C33" w:rsidRDefault="00A75C33" w:rsidP="00A75C33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Nařízení stanoví povinné vnitrostátní cíle pro zavedení dostatečné infrastruktury pro alternativní paliva v Unii pro silniční vozidla, vlaky, plavidla a stojící letadla. V oblasti infrastruktury pro alternativní paliva stanoví společné technické specifikace a požadavky na informace pro uživatele, poskytování dat a platební požadavky.</w:t>
            </w:r>
          </w:p>
          <w:p w14:paraId="1FB4DEBE" w14:textId="77777777" w:rsidR="00A75C33" w:rsidRPr="00A75C33" w:rsidRDefault="00A75C33" w:rsidP="00A75C33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Nařízení stanoví rovněž pravidla pro vnitrostátní rámce politiky, které mají členské státy přijmout, včetně zavádění infrastruktury pro alternativní paliva v oblastech, pro které nejsou stanoveny povinné celounijní cíle, a podávání zpráv o zavádění této infrastruktury.</w:t>
            </w:r>
          </w:p>
          <w:p w14:paraId="78D1EED2" w14:textId="77777777" w:rsidR="00A75C33" w:rsidRPr="00A75C33" w:rsidRDefault="00A75C33" w:rsidP="00A75C33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Nařízení zavádí mechanismus podávání zpráv s cílem podpořit spolupráci a zajistit spolehlivé sledování pokroku. Tento mechanismus podávání zpráv má podobu strukturovaného, transparentního a iterativního procesu probíhajícího mezi Komisí a členskými státy za účelem finalizace vnitrostátních rámců politiky, a to při zohlednění stávajících místních a regionálních strategií pro zavádění infrastruktury pro alternativní paliva, a jejich následného provádění a realizace odpovídajících opatření Komise na podporu soudržného a rychlejšího zavádění infrastruktury pro alternativní paliva v členských státech.</w:t>
            </w:r>
          </w:p>
          <w:p w14:paraId="28C3D94A" w14:textId="03C43310" w:rsidR="00A75C33" w:rsidRPr="00A75C33" w:rsidRDefault="00A75C33" w:rsidP="00A75C33">
            <w:pPr>
              <w:shd w:val="clear" w:color="auto" w:fill="D9D9D9" w:themeFill="background1" w:themeFillShade="D9"/>
              <w:spacing w:before="24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Závěr věcné analýzy</w:t>
            </w:r>
            <w:r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 xml:space="preserve"> ze strany oddělení alternativních energií</w:t>
            </w:r>
          </w:p>
          <w:p w14:paraId="7C73AE0B" w14:textId="77777777" w:rsidR="00A75C33" w:rsidRPr="00A75C33" w:rsidRDefault="00A75C33" w:rsidP="00A75C33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 xml:space="preserve">Nařízení má vliv na společnost ČEPRO, a hlavně na její síť čerpacích stanic EuroOil. V Článku 2 je uveden výčet definic důležitých pojmů pro toto nařízení. Jde celkem o 72 definic a v této analýze budeme zmiňovat jen některé z nich. </w:t>
            </w:r>
          </w:p>
          <w:p w14:paraId="7CE8C4BE" w14:textId="77777777" w:rsidR="00A75C33" w:rsidRPr="00A75C33" w:rsidRDefault="00A75C33" w:rsidP="00A75C33">
            <w:pPr>
              <w:pStyle w:val="Odstavecseseznamem"/>
              <w:numPr>
                <w:ilvl w:val="0"/>
                <w:numId w:val="22"/>
              </w:numPr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Jedna z prvních definic se zabývá vymezením pojmu alternativní palivo:</w:t>
            </w:r>
          </w:p>
          <w:p w14:paraId="08D0AAD5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 xml:space="preserve">4) „alternativními palivy“ paliva nebo zdroje energie, které v rámci energie používané v dopravě </w:t>
            </w:r>
            <w:proofErr w:type="gramStart"/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slouží</w:t>
            </w:r>
            <w:proofErr w:type="gramEnd"/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 xml:space="preserve"> alespoň zčásti jako náhrada zdrojů fosilní ropy a které mají potenciál přispět k její dekarbonizaci a zvýšit environmentální výkonnost odvětví dopravy, včetně:</w:t>
            </w:r>
          </w:p>
          <w:p w14:paraId="48365FF5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„alternativních paliv pro vozidla, vlaky, plavidla nebo letadla s nulovými emisemi“:</w:t>
            </w:r>
          </w:p>
          <w:p w14:paraId="690C04C8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elektřina,</w:t>
            </w:r>
          </w:p>
          <w:p w14:paraId="0D205123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vodík,</w:t>
            </w:r>
          </w:p>
          <w:p w14:paraId="2BD57572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amoniak;</w:t>
            </w:r>
          </w:p>
          <w:p w14:paraId="37076610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„obnovitelných paliv“:</w:t>
            </w:r>
          </w:p>
          <w:p w14:paraId="31E350E0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paliva z biomasy, včetně bioplynu, a biopaliva ve smyslu čl. 2 bodů 27, 28 a 33 směrnice (EU) 2018/2001,</w:t>
            </w:r>
          </w:p>
          <w:p w14:paraId="78A26BC7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lastRenderedPageBreak/>
              <w:t xml:space="preserve">syntetická a </w:t>
            </w:r>
            <w:proofErr w:type="spellStart"/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parafinická</w:t>
            </w:r>
            <w:proofErr w:type="spellEnd"/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 xml:space="preserve"> paliva, včetně amoniaku, vyrobená z energie z obnovitelných zdrojů;</w:t>
            </w:r>
          </w:p>
          <w:p w14:paraId="0A0D994C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„neobnovitelných alternativních paliv a přechodných fosilních paliv“</w:t>
            </w:r>
          </w:p>
          <w:p w14:paraId="46BEB095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zemní plyn, v plynné formě (stlačený zemní plyn (CNG)) a ve zkapalněné formě (zkapalněný zemní plyn (LNG)),</w:t>
            </w:r>
          </w:p>
          <w:p w14:paraId="1C8911E8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zkapalněný ropný plyn (LPG),</w:t>
            </w:r>
          </w:p>
          <w:p w14:paraId="5180B996" w14:textId="77777777" w:rsidR="00A75C33" w:rsidRPr="00A75C33" w:rsidRDefault="00A75C33" w:rsidP="00A75C33">
            <w:pPr>
              <w:pStyle w:val="Odstavecseseznamem"/>
              <w:numPr>
                <w:ilvl w:val="1"/>
                <w:numId w:val="23"/>
              </w:numPr>
              <w:shd w:val="clear" w:color="auto" w:fill="D9D9D9" w:themeFill="background1" w:themeFillShade="D9"/>
              <w:spacing w:after="0" w:line="360" w:lineRule="auto"/>
              <w:ind w:left="143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 xml:space="preserve">syntetická a </w:t>
            </w:r>
            <w:proofErr w:type="spellStart"/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parafinická</w:t>
            </w:r>
            <w:proofErr w:type="spellEnd"/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 xml:space="preserve"> paliva vyrobená z energie z neobnovitelných zdrojů;</w:t>
            </w:r>
          </w:p>
          <w:p w14:paraId="525C9432" w14:textId="77777777" w:rsidR="00A75C33" w:rsidRPr="00A75C33" w:rsidRDefault="00A75C33" w:rsidP="00A75C33">
            <w:pPr>
              <w:pStyle w:val="Odstavecseseznamem"/>
              <w:numPr>
                <w:ilvl w:val="0"/>
                <w:numId w:val="22"/>
              </w:numPr>
              <w:shd w:val="clear" w:color="auto" w:fill="D9D9D9" w:themeFill="background1" w:themeFillShade="D9"/>
              <w:spacing w:before="60" w:after="60" w:line="360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Budování infrastruktury pro alternativní paliva se bude týkat ČS, která jsou umístěna dle následujících kritérií:</w:t>
            </w:r>
          </w:p>
          <w:p w14:paraId="44AE20CC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3) „podél silniční sítě TEN-T“:</w:t>
            </w:r>
          </w:p>
          <w:p w14:paraId="672D1BC2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pokud jde o elektrické dobíjecí stanice, že se tyto stanice nachází na silniční síti TEN-T nebo v dojezdové vzdálenosti do 3 km od nejbližšího výjezdu ze silnice sítě TEN-T; a</w:t>
            </w:r>
          </w:p>
          <w:p w14:paraId="488EBFA9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pokud jde o vodíkové čerpací stanice, že se tyto stanice nachází na silniční síti TEN-T nebo v dojezdové vzdálenosti do 10 km od nejbližšího výjezdu ze silnice sítě TEN-T;</w:t>
            </w:r>
          </w:p>
          <w:p w14:paraId="275B9C99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72) „městským uzlem“ městský uzel ve smyslu čl. 3 písm. p) nařízení (EU) č. 1315/2013.</w:t>
            </w:r>
          </w:p>
          <w:p w14:paraId="00936A22" w14:textId="77777777" w:rsidR="00A75C33" w:rsidRPr="00A75C33" w:rsidRDefault="00A75C33" w:rsidP="00A75C33">
            <w:pPr>
              <w:pStyle w:val="Odstavecseseznamem"/>
              <w:numPr>
                <w:ilvl w:val="0"/>
                <w:numId w:val="22"/>
              </w:numPr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Důležitým pojmem je také definice obnovitelné energie:</w:t>
            </w:r>
          </w:p>
          <w:p w14:paraId="325B57F2" w14:textId="77777777" w:rsidR="00A75C33" w:rsidRPr="00A75C33" w:rsidRDefault="00A75C33" w:rsidP="00A75C33">
            <w:pPr>
              <w:pStyle w:val="Odstavecseseznamem"/>
              <w:shd w:val="clear" w:color="auto" w:fill="D9D9D9" w:themeFill="background1" w:themeFillShade="D9"/>
              <w:spacing w:after="60" w:line="360" w:lineRule="auto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61) „energie z obnovitelných zdrojů“ energie z obnovitelných zdrojů ve smyslu čl. 2 druhého pododstavce bodu 1 směrnice (EU) 2018/2001;</w:t>
            </w:r>
          </w:p>
          <w:p w14:paraId="75499E3A" w14:textId="77777777" w:rsidR="00A75C33" w:rsidRPr="00A75C33" w:rsidRDefault="00A75C33" w:rsidP="00A75C33">
            <w:pPr>
              <w:shd w:val="clear" w:color="auto" w:fill="D9D9D9" w:themeFill="background1" w:themeFillShade="D9"/>
              <w:spacing w:before="120" w:after="6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Z hlediska specifických požadavku na infrastrukturu jsou důležité následující články:</w:t>
            </w:r>
          </w:p>
          <w:p w14:paraId="24480F12" w14:textId="77777777" w:rsidR="00A75C33" w:rsidRPr="00A75C33" w:rsidRDefault="00A75C33" w:rsidP="00A75C33">
            <w:pPr>
              <w:pStyle w:val="Odstavecseseznamem"/>
              <w:numPr>
                <w:ilvl w:val="0"/>
                <w:numId w:val="24"/>
              </w:numPr>
              <w:shd w:val="clear" w:color="auto" w:fill="D9D9D9" w:themeFill="background1" w:themeFillShade="D9"/>
              <w:spacing w:after="60" w:line="360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Článek 3 - Cíle pro dobíjecí infrastrukturu pro lehká elektrická vozidla</w:t>
            </w:r>
          </w:p>
          <w:p w14:paraId="7B76E84C" w14:textId="77777777" w:rsidR="00A75C33" w:rsidRPr="00A75C33" w:rsidRDefault="00A75C33" w:rsidP="00A75C33">
            <w:pPr>
              <w:pStyle w:val="Odstavecseseznamem"/>
              <w:numPr>
                <w:ilvl w:val="0"/>
                <w:numId w:val="24"/>
              </w:numPr>
              <w:shd w:val="clear" w:color="auto" w:fill="D9D9D9" w:themeFill="background1" w:themeFillShade="D9"/>
              <w:spacing w:after="60" w:line="360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Článek 4 - Cíle pro dobíjecí infrastrukturu pro těžká elektrická vozidla</w:t>
            </w:r>
          </w:p>
          <w:p w14:paraId="1BBAA5BF" w14:textId="77777777" w:rsidR="00A75C33" w:rsidRPr="00A75C33" w:rsidRDefault="00A75C33" w:rsidP="00A75C33">
            <w:pPr>
              <w:pStyle w:val="Odstavecseseznamem"/>
              <w:numPr>
                <w:ilvl w:val="0"/>
                <w:numId w:val="24"/>
              </w:numPr>
              <w:shd w:val="clear" w:color="auto" w:fill="D9D9D9" w:themeFill="background1" w:themeFillShade="D9"/>
              <w:spacing w:after="60" w:line="360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Článek 5 - Dobíjecí infrastruktura</w:t>
            </w:r>
          </w:p>
          <w:p w14:paraId="627546DC" w14:textId="77777777" w:rsidR="00A75C33" w:rsidRPr="00A75C33" w:rsidRDefault="00A75C33" w:rsidP="00A75C33">
            <w:pPr>
              <w:pStyle w:val="Odstavecseseznamem"/>
              <w:numPr>
                <w:ilvl w:val="0"/>
                <w:numId w:val="24"/>
              </w:numPr>
              <w:shd w:val="clear" w:color="auto" w:fill="D9D9D9" w:themeFill="background1" w:themeFillShade="D9"/>
              <w:spacing w:after="60" w:line="360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Článek 6 - Cíle týkající se infrastruktury pro čerpání vodíku pro silniční vozidla</w:t>
            </w:r>
          </w:p>
          <w:p w14:paraId="482C41C9" w14:textId="77777777" w:rsidR="00A75C33" w:rsidRPr="00A75C33" w:rsidRDefault="00A75C33" w:rsidP="00A75C33">
            <w:pPr>
              <w:pStyle w:val="Odstavecseseznamem"/>
              <w:numPr>
                <w:ilvl w:val="0"/>
                <w:numId w:val="24"/>
              </w:numPr>
              <w:shd w:val="clear" w:color="auto" w:fill="D9D9D9" w:themeFill="background1" w:themeFillShade="D9"/>
              <w:spacing w:after="60" w:line="360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Článek 7 - Infrastruktura pro čerpání vodíku</w:t>
            </w:r>
          </w:p>
          <w:p w14:paraId="64E48A05" w14:textId="77777777" w:rsidR="00A75C33" w:rsidRPr="00A75C33" w:rsidRDefault="00A75C33" w:rsidP="00A75C33">
            <w:pPr>
              <w:pStyle w:val="Odstavecseseznamem"/>
              <w:numPr>
                <w:ilvl w:val="0"/>
                <w:numId w:val="24"/>
              </w:numPr>
              <w:shd w:val="clear" w:color="auto" w:fill="D9D9D9" w:themeFill="background1" w:themeFillShade="D9"/>
              <w:spacing w:after="60" w:line="360" w:lineRule="auto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  <w:t>Článek 8 - Infrastruktura pro zkapalněný metan pro silniční vozidla</w:t>
            </w:r>
          </w:p>
          <w:p w14:paraId="2E8FBF07" w14:textId="77777777" w:rsidR="00A75C33" w:rsidRPr="00A75C33" w:rsidRDefault="00A75C33" w:rsidP="00A75C33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Články upravují cíle pro členské státy, parametry infrastruktury, rozmístění/hustotu stanic a termíny pro plnění cílů. V těchto článcích jsou i povinnosti pro provozovatele daných stanic.</w:t>
            </w:r>
          </w:p>
          <w:p w14:paraId="5BA047E2" w14:textId="77777777" w:rsidR="00A75C33" w:rsidRPr="00A75C33" w:rsidRDefault="00A75C33" w:rsidP="00A75C33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Z pohledu nařízení je za průběh plnění cílů a povinností odpovědný členský stát a z pohledu společnosti ČEPRO je důležité tedy, jak toto nařízení uchopí ČR a jak nařízení promítne do vnitrostátních politik v dané oblasti. Termín pro vypracování vnitrostátních politik je v Článku 14 určen 31. prosinec 2024.</w:t>
            </w:r>
          </w:p>
          <w:p w14:paraId="2EF288DC" w14:textId="77777777" w:rsidR="00A75C33" w:rsidRPr="00A75C33" w:rsidRDefault="00A75C33" w:rsidP="00A75C33">
            <w:pPr>
              <w:shd w:val="clear" w:color="auto" w:fill="D9D9D9" w:themeFill="background1" w:themeFillShade="D9"/>
              <w:spacing w:before="24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Návrh implementačních opatření</w:t>
            </w:r>
          </w:p>
          <w:p w14:paraId="29793F02" w14:textId="77777777" w:rsidR="00A75C33" w:rsidRPr="00A75C33" w:rsidRDefault="00A75C33" w:rsidP="00A75C33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V tuto chvíli není zcela jasné, jak ČR toto evropské nařízení uchopí a promítne do legislativy s pravidly pro výstavbu dané infrastruktury. Proto s ohledem na aktuální procesy společnosti ČEPRO, na oblast jeho podnikání a s ohledem na jeho obchodní a provozní aktivity nejsou nyní doporučována žádná implementační opatření do procesů naší společnosti.</w:t>
            </w:r>
          </w:p>
          <w:p w14:paraId="2B72F676" w14:textId="77777777" w:rsidR="00A75C33" w:rsidRPr="00A75C33" w:rsidRDefault="00A75C33" w:rsidP="00A75C33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 xml:space="preserve">Z pohledu společnosti ČEPRO je však nyní navrhováno předběžně určit ČS, které se nacházejí dle odstavce 3) Článku 1 „podél silniční sítě TEN-T“ a dle odstavce 72) Článku 1 v „městských uzlech“ anebo se mohou stát </w:t>
            </w:r>
            <w:r w:rsidRPr="00A75C33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lastRenderedPageBreak/>
              <w:t>součástí tohoto systém do roku 2023 po dostavbě některé z dálnic, které se stanou součástí systému TEN-T, a s tento seznam ČS vést v patrnosti. Dalším návrhem je pracovat s tímto nařízením v oblasti rozvoje nabídky alternativních paliv na ČS v rámci projektů interních a v projektech s externími partnery, u kterých se přepokládá spuštění v roce 2025 a dále.</w:t>
            </w:r>
          </w:p>
          <w:p w14:paraId="03CD07A4" w14:textId="4DFB20A9" w:rsidR="00826F0D" w:rsidRDefault="00826F0D" w:rsidP="00F54BC8">
            <w:pPr>
              <w:pStyle w:val="Bezmezer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620E450" w14:textId="6F88856A" w:rsidR="00A75C33" w:rsidRDefault="00A75C33" w:rsidP="00A75C33">
            <w:pPr>
              <w:pStyle w:val="Bezmezer"/>
              <w:shd w:val="clear" w:color="auto" w:fill="D9D9D9" w:themeFill="background1" w:themeFillShade="D9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75C3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Úkol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: OAE vypracuje seznam legislativou dotčených čerpacích stanic.</w:t>
            </w:r>
          </w:p>
          <w:p w14:paraId="610C53C3" w14:textId="30F65AE0" w:rsidR="00A75C33" w:rsidRDefault="00A75C33" w:rsidP="00A75C33">
            <w:pPr>
              <w:pStyle w:val="Bezmezer"/>
              <w:shd w:val="clear" w:color="auto" w:fill="D9D9D9" w:themeFill="background1" w:themeFillShade="D9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F8515D4" w14:textId="273EA498" w:rsidR="00A75C33" w:rsidRPr="005078C0" w:rsidRDefault="00A75C33" w:rsidP="00A75C33">
            <w:pPr>
              <w:pStyle w:val="Bezmezer"/>
              <w:shd w:val="clear" w:color="auto" w:fill="D9D9D9" w:themeFill="background1" w:themeFillShade="D9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Odpovědný útvar: </w:t>
            </w:r>
            <w:r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OAE – Ing. Petr Lux</w:t>
            </w:r>
            <w:r w:rsidR="0030302F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ab/>
            </w: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Termín: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28.2.2024</w:t>
            </w:r>
          </w:p>
          <w:p w14:paraId="7DCEE1DB" w14:textId="77777777" w:rsidR="0030302F" w:rsidRDefault="0030302F" w:rsidP="00A75C33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</w:pPr>
          </w:p>
          <w:p w14:paraId="43B66207" w14:textId="5628FF16" w:rsidR="00A75C33" w:rsidRPr="005078C0" w:rsidRDefault="00A75C33" w:rsidP="00A75C33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A75C33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Návrh zákona, kterým se mění zákon č. 458/2000 Sb., o podmínkách podnikání a o výkonu státní správy v energetických odvětvích a o změně některých zákonů (energetický zákon), ve znění pozdějších předpisů, a další související zákony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6C3EE3CF">
                <v:rect id="_x0000_i1043" style="width:0;height:1.5pt" o:hralign="center" o:hrstd="t" o:hr="t" fillcolor="#a0a0a0" stroked="f"/>
              </w:pict>
            </w:r>
          </w:p>
          <w:p w14:paraId="46DB7AB0" w14:textId="40149896" w:rsidR="00A75C33" w:rsidRDefault="00A75C33" w:rsidP="00A75C33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>
              <w:t xml:space="preserve">  </w:t>
            </w:r>
            <w:r w:rsidRPr="00A75C33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KORNCVVBQQNX</w:t>
            </w: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  </w:t>
            </w:r>
          </w:p>
          <w:p w14:paraId="6CFE8B1A" w14:textId="687E5DD5" w:rsidR="00A75C33" w:rsidRPr="004405C5" w:rsidRDefault="00A75C33" w:rsidP="00A75C33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Připomínkové řízení ukončeno</w:t>
            </w:r>
          </w:p>
          <w:p w14:paraId="7C2B4420" w14:textId="77777777" w:rsidR="00A75C33" w:rsidRPr="004405C5" w:rsidRDefault="00A75C33" w:rsidP="00A75C33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22E17E2E" w14:textId="77777777" w:rsidR="00A75C33" w:rsidRPr="004405C5" w:rsidRDefault="00A75C33" w:rsidP="00A75C33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3F59E97D" w14:textId="17C91D9F" w:rsidR="00CF36E9" w:rsidRPr="00CF36E9" w:rsidRDefault="00CF36E9" w:rsidP="00CF36E9">
            <w:pPr>
              <w:pStyle w:val="Nadpis2"/>
              <w:spacing w:line="360" w:lineRule="auto"/>
              <w:jc w:val="both"/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</w:pP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>Z</w:t>
            </w: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>měna zákona č. 458/2000 Sb.</w:t>
            </w: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>,</w:t>
            </w: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 xml:space="preserve"> energetického zákona</w:t>
            </w:r>
          </w:p>
          <w:p w14:paraId="1850BD32" w14:textId="77777777" w:rsidR="00CF36E9" w:rsidRPr="00CF36E9" w:rsidRDefault="00CF36E9" w:rsidP="00CF36E9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Navrhovaná právní úprava energetického zákona upravuje tři hlavní právní instituty v oblasti moderní elektroenergetiky: ukládání energie v elektrizační soustavě, agregaci a flexibilitu a zavedení dalších pojmů (index zajištění obchodníka, dynamická cena, podružné měření, inteligentní měřící zařízení a další). Dokončení transpozice směrnice (EU) 2019/944 byla realizována postupně novelami energetického zákona v průběhu let 2022 a 2023. Adaptace českého právního řádu na nařízení (EU) 2019/943 zatím provedena nebyla a je součástí této navrhované právní úpravy.</w:t>
            </w:r>
          </w:p>
          <w:p w14:paraId="5F4A160E" w14:textId="77777777" w:rsidR="00CF36E9" w:rsidRPr="00CF36E9" w:rsidRDefault="00CF36E9" w:rsidP="00CF36E9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Nové ustanovení v odstavci 3 stanoví, že na činnost agregace se vyžaduje licence na obchod s elektřinou. Oprávnění vykonávat podnikatelsky činnost agregace má tedy vyplývat z udělené licence na obchod s elektřinou, jinými slovy právní úprava stanoví, že činnost agregace nebude vykonávána na základě „speciální“ licence na činnost agregace, ale vždy na základě skutečnosti, že danému subjektu byla udělena licence na obchod s elektřinou.</w:t>
            </w:r>
          </w:p>
          <w:p w14:paraId="383CF040" w14:textId="77777777" w:rsidR="00CF36E9" w:rsidRPr="00CF36E9" w:rsidRDefault="00CF36E9" w:rsidP="00CF36E9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Koncepčně je upraveno téma ukládání včetně práv a povinností provozovatele zařízení na ukládání elektřiny, protože zvyšování akumulačních schopností elektroenergetických soustav je současným trendem na celém světě jako reakce na zvyšující se výrobu energie z obnovitelných zdrojů energie.</w:t>
            </w:r>
          </w:p>
          <w:p w14:paraId="14D9A6F0" w14:textId="77777777" w:rsidR="00CF36E9" w:rsidRPr="00CF36E9" w:rsidRDefault="00CF36E9" w:rsidP="00CF36E9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 xml:space="preserve">Pokud jde o činnost ukládání elektřiny, navrhovaný zákon upravuje nový druh licence na tuto činnost, tedy ukládání elektřiny, nicméně totéž oprávnění může vznikat i výrobci elektřiny podle licence na výrobu elektřiny. Licence na ukládání elektřiny je bez ohledu na povahu činnosti vyžadována na ukládání elektřiny ve výrobnách elektřiny a zařízeních pro ukládání elektřiny s instalovaným výkonem nad 50 kW, pokud je výrobna elektřiny nebo zařízení pro ukládání elektřiny propojeno s přenosovou nebo s distribuční soustavou. Nicméně z tohoto pravidla se současně navrhuje výjimka upravená v odstavci 4, která podle navrhovaného doplnění tohoto odstavce stanoví, že se licence nevyžaduje na ukládání elektřiny v zařízení pro ukládání elektřiny připojeném do výrobny elektřiny, na jejíž provoz je udělena licence na výrobu elektřiny, pokud je zařízení pro ukládání elektřiny </w:t>
            </w: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lastRenderedPageBreak/>
              <w:t>provozováno stejnou osobou jako výrobna elektřiny a instalovaný výkon jednoho nebo více zařízení pro ukládání elektřiny je nejvýše 1,2násobkem instalovaného výkonu výrobny elektřiny.</w:t>
            </w:r>
          </w:p>
          <w:p w14:paraId="7CE5F6F0" w14:textId="77777777" w:rsidR="00CF36E9" w:rsidRPr="00CF36E9" w:rsidRDefault="00CF36E9" w:rsidP="00CF36E9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Návrh také obsahuje nové definice podpůrné služby a nefrekvenční podpůrné služby.</w:t>
            </w:r>
          </w:p>
          <w:p w14:paraId="11359221" w14:textId="77777777" w:rsidR="00CF36E9" w:rsidRPr="00CF36E9" w:rsidRDefault="00CF36E9" w:rsidP="00CF36E9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Návrh také zahrnuje nové možnosti pro neudělení licence na výrobu elektřiny, nové povinnosti pro dodavatele elektřiny. Dále nově definuje pokuty za neposkytnutí vyúčtování v zákonem dané lhůtě (15. den), nová práva zákazníka na základě plnění indexu zajištění obchodníka, nová pravidla pro prodlužování smluv, pravidla pro uzavírání smluv s dynamickou cenou. Návrh obsahuje také doplnění popisu Energetického datového centra a provozování datových center</w:t>
            </w:r>
          </w:p>
          <w:p w14:paraId="4F33C7E4" w14:textId="46F0DD40" w:rsidR="00CF36E9" w:rsidRPr="00CF36E9" w:rsidRDefault="00CF36E9" w:rsidP="00CF36E9">
            <w:pPr>
              <w:shd w:val="clear" w:color="auto" w:fill="D9D9D9" w:themeFill="background1" w:themeFillShade="D9"/>
              <w:spacing w:before="240" w:after="120"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Závěr věcné analýzy ze strany OAE:</w:t>
            </w:r>
          </w:p>
          <w:p w14:paraId="10884FBF" w14:textId="77777777" w:rsidR="00CF36E9" w:rsidRPr="00CF36E9" w:rsidRDefault="00CF36E9" w:rsidP="00CF36E9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 xml:space="preserve">Společnost ČEPRO je aktivním účastníkem trhu s elektřinou a každá změna, resp. novela Energetického zákona je pro společnost důležitá a ovlivňující. Tato novela upravuje jak vztah společnosti ČEPRO jako zákazníka, například rozšiřuje jeho práva vůči dodavateli, ale také jako výrobce elektřiny a také možného poskytovatele další služeb, jako je agregace flexibility nebo její poskytování, přičemž v těchto oblastech společnost ČEPRO plánuje do budoucna určité aktivity. </w:t>
            </w:r>
          </w:p>
          <w:p w14:paraId="586804AA" w14:textId="77777777" w:rsidR="00CF36E9" w:rsidRPr="00CF36E9" w:rsidRDefault="00CF36E9" w:rsidP="00CF36E9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 xml:space="preserve">S ohledem na aktuální procesy společnosti ČEPRO, na oblast jeho podnikání a s ohledem na jeho současné obchodní a provozní aktivity nejsou doporučována žádná implementační opatření do procesů naší společnosti. </w:t>
            </w:r>
          </w:p>
          <w:p w14:paraId="2987C307" w14:textId="77777777" w:rsidR="00CF36E9" w:rsidRDefault="00CF36E9" w:rsidP="00CF36E9">
            <w:pPr>
              <w:spacing w:before="240" w:after="120" w:line="240" w:lineRule="auto"/>
              <w:rPr>
                <w:b w:val="0"/>
              </w:rPr>
            </w:pPr>
          </w:p>
          <w:p w14:paraId="5851B224" w14:textId="118EB513" w:rsidR="00CF36E9" w:rsidRPr="00CF36E9" w:rsidRDefault="00CF36E9" w:rsidP="00CF36E9">
            <w:pPr>
              <w:pStyle w:val="Nadpis2"/>
              <w:jc w:val="both"/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</w:pP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>Z</w:t>
            </w: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 xml:space="preserve">měna zákona č. 406/2000 Sb. </w:t>
            </w: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 xml:space="preserve">- </w:t>
            </w:r>
            <w:r w:rsidRPr="00CF36E9">
              <w:rPr>
                <w:rFonts w:ascii="Arial" w:hAnsi="Arial" w:cs="Arial"/>
                <w:b/>
                <w:bCs/>
                <w:color w:val="0F0D29" w:themeColor="text1"/>
                <w:sz w:val="20"/>
                <w:szCs w:val="20"/>
                <w:u w:val="single"/>
              </w:rPr>
              <w:t xml:space="preserve">Novela zákona o hospodaření energií  </w:t>
            </w:r>
          </w:p>
          <w:p w14:paraId="1FAF8D39" w14:textId="77777777" w:rsidR="00CF36E9" w:rsidRPr="00CF36E9" w:rsidRDefault="00CF36E9" w:rsidP="0030302F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Definice datového centra a nové zavedení nových povinností provozovatelů datových center v ohledu energetických potřeb a hospodaření s energiemi.</w:t>
            </w:r>
          </w:p>
          <w:p w14:paraId="4944285B" w14:textId="77777777" w:rsidR="00CF36E9" w:rsidRPr="00CF36E9" w:rsidRDefault="00CF36E9" w:rsidP="0030302F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Vlastník nebo provozovatel datového centra o celkovém příkonu nad 500 kW se stal povinnou osobou k plnění informační povinnosti a každoročně nejpozději do 31. ledna kalendářního roku zveřejňuje způsobem umožňujícím dálkový přístup souhrnnou informaci o datovém centru.</w:t>
            </w:r>
          </w:p>
          <w:p w14:paraId="56CD0CC4" w14:textId="77777777" w:rsidR="00CF36E9" w:rsidRPr="00CF36E9" w:rsidRDefault="00CF36E9" w:rsidP="0030302F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Vlastník nebo provozovatel datového centra o celkovém příkonu vyšším než 1 MW je povinen při jeho výstavbě nebo navýšení příkonu o více než 25 % zajistit zpracování energetického posudku.</w:t>
            </w:r>
          </w:p>
          <w:p w14:paraId="136F8FA6" w14:textId="77777777" w:rsidR="00CF36E9" w:rsidRPr="00CF36E9" w:rsidRDefault="00CF36E9" w:rsidP="0030302F">
            <w:pPr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Vzhledem k velké energetické náročnosti provozu datových center je třeba upravit správné hospodaření s energiemi, které změny zákonu č.406/2000 Sb. zahrnují.</w:t>
            </w:r>
          </w:p>
          <w:p w14:paraId="04803001" w14:textId="3F6984DF" w:rsidR="00CF36E9" w:rsidRPr="00CF36E9" w:rsidRDefault="00CF36E9" w:rsidP="0030302F">
            <w:pPr>
              <w:shd w:val="clear" w:color="auto" w:fill="D9D9D9" w:themeFill="background1" w:themeFillShade="D9"/>
              <w:spacing w:before="240" w:after="120"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Závěr věcné analýzy</w:t>
            </w:r>
            <w:r w:rsidRPr="00CF36E9"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 ze strany OAE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:</w:t>
            </w:r>
          </w:p>
          <w:p w14:paraId="5FE0E962" w14:textId="4E1B26CB" w:rsidR="00CF36E9" w:rsidRDefault="00CF36E9" w:rsidP="0030302F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>Je potřeba se ujistit, resp. zjistit, zda společnost ČEPRO je vlastník nebo provozovatel datového centra o celkovém příkonu nad 500 kW, popř. o celkovém příkonu vyšším než 1 MW. Pokud společnost ČEPRO není provozovatelem datového centra o celkovém příkonu nad 500 kW, tak s ohledem na aktuální procesy společnosti ČEPRO, na oblast jeho podnikání a s ohledem na jeho současné obchodní a provozní aktivity nejsou nyní doporučována žádná implementační opatření do procesů naší společnosti.</w:t>
            </w:r>
          </w:p>
          <w:p w14:paraId="19F626FF" w14:textId="1E5D53DA" w:rsidR="00CF36E9" w:rsidRDefault="00CF36E9" w:rsidP="0030302F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</w:pPr>
          </w:p>
          <w:p w14:paraId="7D669939" w14:textId="6E2E9692" w:rsidR="00CF36E9" w:rsidRPr="00CF36E9" w:rsidRDefault="00CF36E9" w:rsidP="0030302F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 xml:space="preserve">Odpovědný útvar: </w:t>
            </w:r>
            <w:r>
              <w:rPr>
                <w:rFonts w:ascii="Arial" w:hAnsi="Arial" w:cs="Arial"/>
                <w:b w:val="0"/>
                <w:color w:val="0F0D29" w:themeColor="text1"/>
                <w:sz w:val="20"/>
                <w:szCs w:val="20"/>
              </w:rPr>
              <w:t xml:space="preserve">OAE – Ing. Petr Lux          </w:t>
            </w:r>
            <w:r>
              <w:rPr>
                <w:rFonts w:ascii="Arial" w:hAnsi="Arial" w:cs="Arial"/>
                <w:bCs/>
                <w:color w:val="0F0D29" w:themeColor="text1"/>
                <w:sz w:val="20"/>
                <w:szCs w:val="20"/>
              </w:rPr>
              <w:t>Termín: 31.1.2024</w:t>
            </w:r>
          </w:p>
          <w:p w14:paraId="0C9D10BB" w14:textId="77777777" w:rsidR="00CF36E9" w:rsidRDefault="00CF36E9" w:rsidP="00CF36E9">
            <w:pPr>
              <w:pStyle w:val="Nadpis2"/>
              <w:jc w:val="both"/>
              <w:rPr>
                <w:rFonts w:asciiTheme="majorHAnsi" w:hAnsiTheme="majorHAnsi" w:cstheme="majorHAnsi"/>
                <w:color w:val="0F0D29" w:themeColor="text1"/>
                <w:sz w:val="20"/>
                <w:szCs w:val="20"/>
              </w:rPr>
            </w:pPr>
          </w:p>
          <w:p w14:paraId="4FB27B33" w14:textId="009791F5" w:rsidR="00CF36E9" w:rsidRPr="00CF36E9" w:rsidRDefault="00CF36E9" w:rsidP="00CF36E9">
            <w:pPr>
              <w:pStyle w:val="Nadpis2"/>
              <w:jc w:val="both"/>
              <w:rPr>
                <w:rFonts w:asciiTheme="majorHAnsi" w:hAnsiTheme="majorHAnsi" w:cstheme="majorHAnsi"/>
                <w:b/>
                <w:bCs/>
                <w:color w:val="0F0D29" w:themeColor="text1"/>
                <w:sz w:val="20"/>
                <w:szCs w:val="20"/>
                <w:u w:val="single"/>
              </w:rPr>
            </w:pPr>
            <w:r w:rsidRPr="00CF36E9">
              <w:rPr>
                <w:rFonts w:asciiTheme="majorHAnsi" w:hAnsiTheme="majorHAnsi" w:cstheme="majorHAnsi"/>
                <w:b/>
                <w:bCs/>
                <w:color w:val="0F0D29" w:themeColor="text1"/>
                <w:sz w:val="20"/>
                <w:szCs w:val="20"/>
                <w:u w:val="single"/>
              </w:rPr>
              <w:t>Z</w:t>
            </w:r>
            <w:r w:rsidRPr="00CF36E9">
              <w:rPr>
                <w:rFonts w:asciiTheme="majorHAnsi" w:hAnsiTheme="majorHAnsi" w:cstheme="majorHAnsi"/>
                <w:b/>
                <w:bCs/>
                <w:color w:val="0F0D29" w:themeColor="text1"/>
                <w:sz w:val="20"/>
                <w:szCs w:val="20"/>
                <w:u w:val="single"/>
              </w:rPr>
              <w:t>měna zákona č. 165/2012 Sb. Změna zákona o podporovaných zdrojích energie</w:t>
            </w:r>
          </w:p>
          <w:p w14:paraId="18AB26E7" w14:textId="51C70413" w:rsidR="00CF36E9" w:rsidRDefault="00CF36E9" w:rsidP="0030302F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Zavedení aukcí záruk původu a zavedení ukládání energie do zákona č. 165/2012 Sb. a transpozici směrnice (EU) 2018/2001 o podpoře využívání energie z obnovitelných zdrojů. Dalším důležitým bodem je nakládání a pravidla pro záruky původu energie a zavedení vnitrostátního režimu pro ověřování kritérií udržitelnosti a úspor skleníkových plynů.</w:t>
            </w:r>
          </w:p>
          <w:p w14:paraId="5AF41CDA" w14:textId="77777777" w:rsidR="00CF36E9" w:rsidRPr="00CF36E9" w:rsidRDefault="00CF36E9" w:rsidP="0030302F">
            <w:pPr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</w:p>
          <w:p w14:paraId="790020D0" w14:textId="7EAEE289" w:rsidR="00CF36E9" w:rsidRPr="00CF36E9" w:rsidRDefault="00CF36E9" w:rsidP="0030302F">
            <w:pPr>
              <w:shd w:val="clear" w:color="auto" w:fill="D9D9D9" w:themeFill="background1" w:themeFillShade="D9"/>
              <w:spacing w:before="240" w:after="120" w:line="360" w:lineRule="auto"/>
              <w:jc w:val="both"/>
              <w:rPr>
                <w:rFonts w:asciiTheme="majorHAnsi" w:hAnsiTheme="majorHAnsi" w:cstheme="majorHAnsi"/>
                <w:b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Cs/>
                <w:color w:val="0F0D29" w:themeColor="text1"/>
                <w:sz w:val="20"/>
                <w:szCs w:val="20"/>
              </w:rPr>
              <w:t>Závěr věcné analýzy</w:t>
            </w:r>
            <w:r w:rsidRPr="00CF36E9">
              <w:rPr>
                <w:rFonts w:asciiTheme="majorHAnsi" w:hAnsiTheme="majorHAnsi" w:cstheme="majorHAnsi"/>
                <w:bCs/>
                <w:color w:val="0F0D29" w:themeColor="text1"/>
                <w:sz w:val="20"/>
                <w:szCs w:val="20"/>
              </w:rPr>
              <w:t xml:space="preserve"> ze strany OAE:</w:t>
            </w:r>
          </w:p>
          <w:p w14:paraId="14F7D4E9" w14:textId="77777777" w:rsidR="00CF36E9" w:rsidRPr="00CF36E9" w:rsidRDefault="00CF36E9" w:rsidP="0030302F">
            <w:pPr>
              <w:shd w:val="clear" w:color="auto" w:fill="D9D9D9" w:themeFill="background1" w:themeFillShade="D9"/>
              <w:spacing w:before="120" w:after="120" w:line="36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 xml:space="preserve">Z pohledu společnosti ČEPRO jsou důležité body, které upravují nakládání se zárukami původu a dopady na další provoz energetického zařízení. ČEPRO provozuje několik výroben elektřiny (FVE), na které si společnost může vygenerovat záruky původu. </w:t>
            </w:r>
          </w:p>
          <w:p w14:paraId="02AFA02D" w14:textId="77777777" w:rsidR="00CF36E9" w:rsidRPr="00CF36E9" w:rsidRDefault="00CF36E9" w:rsidP="00CF36E9">
            <w:pPr>
              <w:shd w:val="clear" w:color="auto" w:fill="D9D9D9" w:themeFill="background1" w:themeFillShade="D9"/>
              <w:spacing w:before="120" w:after="120" w:line="24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 xml:space="preserve">S tímto souvisí nový odstavec 11 v § 45a, který zní: </w:t>
            </w:r>
          </w:p>
          <w:p w14:paraId="26A0944C" w14:textId="77777777" w:rsidR="00CF36E9" w:rsidRPr="00CF36E9" w:rsidRDefault="00CF36E9" w:rsidP="00CF36E9">
            <w:pPr>
              <w:shd w:val="clear" w:color="auto" w:fill="D9D9D9" w:themeFill="background1" w:themeFillShade="D9"/>
              <w:spacing w:before="120" w:after="120" w:line="240" w:lineRule="auto"/>
              <w:jc w:val="both"/>
              <w:rPr>
                <w:rFonts w:asciiTheme="majorHAnsi" w:hAnsiTheme="majorHAnsi" w:cstheme="majorHAnsi"/>
                <w:b w:val="0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 w:val="0"/>
                <w:i/>
                <w:iCs/>
                <w:color w:val="0F0D29" w:themeColor="text1"/>
                <w:sz w:val="20"/>
                <w:szCs w:val="20"/>
              </w:rPr>
              <w:t>„(11) V případě, že operátor trhu vydal záruky původu výrobci energie za dané období, nemá výrobce energie pro toto období možnost pro danou výrobnu elektřiny, výrobnu tepla nebo výrobnu biometanu požádat o výplatu provozní podpory.“.</w:t>
            </w:r>
          </w:p>
          <w:p w14:paraId="7965F90E" w14:textId="77777777" w:rsidR="00CF36E9" w:rsidRPr="00CF36E9" w:rsidRDefault="00CF36E9" w:rsidP="00CF36E9">
            <w:pPr>
              <w:shd w:val="clear" w:color="auto" w:fill="D9D9D9" w:themeFill="background1" w:themeFillShade="D9"/>
              <w:spacing w:before="120" w:after="120" w:line="24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a celý nový § 45c, který zní:</w:t>
            </w:r>
          </w:p>
          <w:p w14:paraId="58108FEF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426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Záruky původu nabízené v aukci a organizace aukce</w:t>
            </w:r>
          </w:p>
          <w:p w14:paraId="0E6EBBCA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0" w:firstLine="426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(1) Právo na vydání záruky původu nemá výrobce energie, který přijal pro danou výrobnu investiční podporu nebo jehož výrobna za dané období výroby energie byla registrována v systému operátora trhu s formou provozní podpory</w:t>
            </w:r>
          </w:p>
          <w:p w14:paraId="4926E071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0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a) elektřiny, jejíž výše nebyla stanovena v aukci podle tohoto zákona,</w:t>
            </w:r>
          </w:p>
          <w:p w14:paraId="737D2165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0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b) biometanu podle tohoto zákona nebo</w:t>
            </w:r>
          </w:p>
          <w:p w14:paraId="2277116F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0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c) tepla podle tohoto zákona.</w:t>
            </w:r>
          </w:p>
          <w:p w14:paraId="4CE49EF9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0" w:firstLine="426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(2) Záruku původu podle odstavce 1 operátor trhu vydá a eviduje ji na odděleném účtu operátora trhu. Takto vydané záruky původu jsou majetkem České republiky.</w:t>
            </w:r>
          </w:p>
          <w:p w14:paraId="79B39384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0" w:firstLine="426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(3) Záruky původu vydané podle odstavce 2 operátor trhu nabízí k prodeji držitelům účtů prostřednictvím aukce záruk původu, kterou elektronickou formou organizuje operátor trhu. Operátor trhu zveřejňuje pravidla aukcí a podmínky účasti v aukci způsobem umožňujícím dálkový přístup.</w:t>
            </w:r>
          </w:p>
          <w:p w14:paraId="792F1FB8" w14:textId="77777777" w:rsidR="00CF36E9" w:rsidRPr="00CF36E9" w:rsidRDefault="00CF36E9" w:rsidP="00CF36E9">
            <w:pPr>
              <w:pStyle w:val="Odstavecseseznamem"/>
              <w:shd w:val="clear" w:color="auto" w:fill="D9D9D9" w:themeFill="background1" w:themeFillShade="D9"/>
              <w:spacing w:before="120" w:after="120" w:line="264" w:lineRule="auto"/>
              <w:ind w:left="0" w:firstLine="426"/>
              <w:jc w:val="both"/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i/>
                <w:iCs/>
                <w:color w:val="0F0D29" w:themeColor="text1"/>
                <w:sz w:val="20"/>
                <w:szCs w:val="20"/>
              </w:rPr>
              <w:t>(4) Držitel účtu je povinen operátorovi trhu hradit částku odpovídající hodnotě záruk původu nakoupených v aukcích.“.</w:t>
            </w:r>
          </w:p>
          <w:p w14:paraId="0BE2C5C1" w14:textId="77777777" w:rsidR="00CF36E9" w:rsidRPr="00CF36E9" w:rsidRDefault="00CF36E9" w:rsidP="00CF36E9">
            <w:pPr>
              <w:shd w:val="clear" w:color="auto" w:fill="D9D9D9" w:themeFill="background1" w:themeFillShade="D9"/>
              <w:spacing w:before="120" w:after="120" w:line="24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Z této změny zákona o podporovaných zdrojích energie, zejména z nového paragrafu § 45c, vyplývá, že již nebude možné generovat záruky původu z výroben, které byly postaveny s investiční podporou (s pomocí dotací). V současnosti společnost ČEPRO generuje záruky původu z výroben elektřiny, které byly investičně podpořeny, a tyto záruky původu přinášejí příjmy v řádu nízkých desítek tisíc korun. Od 1.1.2025 společnost ČEPRO o tyto příjmy přijde, resp. nebude moci vygenerovat záruky původu, které se mohly uplatnit i v jiných částech obchodní činnosti (např. „ozelenění“ prodávaných fosilních paliv).</w:t>
            </w:r>
          </w:p>
          <w:p w14:paraId="38428AEC" w14:textId="5767CFF6" w:rsidR="009B1666" w:rsidRPr="00CF36E9" w:rsidRDefault="00CF36E9" w:rsidP="00CF36E9">
            <w:pPr>
              <w:shd w:val="clear" w:color="auto" w:fill="D9D9D9" w:themeFill="background1" w:themeFillShade="D9"/>
              <w:spacing w:before="120" w:after="120" w:line="240" w:lineRule="auto"/>
              <w:jc w:val="both"/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</w:pPr>
            <w:r w:rsidRPr="00CF36E9">
              <w:rPr>
                <w:rFonts w:asciiTheme="majorHAnsi" w:hAnsiTheme="majorHAnsi" w:cstheme="majorHAnsi"/>
                <w:b w:val="0"/>
                <w:color w:val="0F0D29" w:themeColor="text1"/>
                <w:sz w:val="20"/>
                <w:szCs w:val="20"/>
              </w:rPr>
              <w:t>S ohledem na aktuální procesy společnosti ČEPRO, na oblast jeho podnikání a s ohledem na jeho současné obchodní a provozní aktivity nejsou nyní doporučována žádná implementační opatření do procesů naší společnosti.</w:t>
            </w:r>
          </w:p>
          <w:p w14:paraId="3EA2DB20" w14:textId="122A9A1C" w:rsidR="0014703E" w:rsidRDefault="0014703E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0766D807" w14:textId="0F7A2C55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5D037DA9" w14:textId="69F8B2DB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04F25C12" w14:textId="60C2D037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2CBAB83B" w14:textId="123A78A4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6832F0CF" w14:textId="054D2F1D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7D150CF3" w14:textId="2B9EC6EE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05426DA9" w14:textId="60758DA9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18C87F1D" w14:textId="5EC13288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4BC71AF" w14:textId="77777777" w:rsidR="0030302F" w:rsidRDefault="0030302F" w:rsidP="00597A91">
            <w:pPr>
              <w:pStyle w:val="Bezmezer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1388BA95" w14:textId="77777777" w:rsidR="00597A91" w:rsidRDefault="00597A91" w:rsidP="005078C0">
            <w:pPr>
              <w:pStyle w:val="Bezmezer"/>
              <w:shd w:val="clear" w:color="auto" w:fill="007A53"/>
              <w:ind w:firstLine="720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color w:val="FFFFFF" w:themeColor="background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08BD26AE" w14:textId="77777777" w:rsidR="0014703E" w:rsidRPr="005078C0" w:rsidRDefault="0014703E" w:rsidP="005078C0">
            <w:pPr>
              <w:pStyle w:val="Bezmezer"/>
              <w:numPr>
                <w:ilvl w:val="0"/>
                <w:numId w:val="5"/>
              </w:numPr>
              <w:shd w:val="clear" w:color="auto" w:fill="007A53"/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5078C0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Připravovaná legislativa</w:t>
            </w:r>
          </w:p>
          <w:p w14:paraId="5B81A2B2" w14:textId="77777777" w:rsidR="0014703E" w:rsidRPr="005078C0" w:rsidRDefault="0014703E" w:rsidP="005078C0">
            <w:pPr>
              <w:pStyle w:val="Bezmezer"/>
              <w:shd w:val="clear" w:color="auto" w:fill="007A53"/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5078C0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b) zadání</w:t>
            </w:r>
          </w:p>
          <w:p w14:paraId="174B7D6E" w14:textId="77777777" w:rsidR="0014703E" w:rsidRPr="005078C0" w:rsidRDefault="0014703E" w:rsidP="008E3CAD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</w:pPr>
          </w:p>
          <w:p w14:paraId="28455D94" w14:textId="74614600" w:rsidR="00C90A3E" w:rsidRPr="005078C0" w:rsidRDefault="00597A91" w:rsidP="005F4E93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597A91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Návrh vyhlášky, kterou se mění vyhláška č. 383/2009 Sb., o účetních záznamech v technické formě vybraných účetních jednotek a jejich předávání do centrálního systému účetních informací státu a o požadavcích na technické a smíšené formy účetních záznamů (technická vyhláška o účetních záznamech)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32314C35">
                <v:rect id="_x0000_i1029" style="width:0;height:1.5pt" o:hralign="center" o:hrstd="t" o:hr="t" fillcolor="#a0a0a0" stroked="f"/>
              </w:pict>
            </w:r>
          </w:p>
          <w:p w14:paraId="08ADD1F9" w14:textId="2D5AF0AB" w:rsidR="009720AA" w:rsidRDefault="006F6A3C" w:rsidP="004405C5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="006D2EC1">
              <w:t xml:space="preserve"> </w:t>
            </w:r>
            <w:r w:rsidR="00C54724">
              <w:t xml:space="preserve"> </w:t>
            </w:r>
            <w:r w:rsidR="00597A91">
              <w:t xml:space="preserve"> </w:t>
            </w:r>
            <w:r w:rsidR="00597A91" w:rsidRPr="00597A9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KORNCY3JYLB7</w:t>
            </w: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  </w:t>
            </w:r>
          </w:p>
          <w:p w14:paraId="56306A1A" w14:textId="5E235105" w:rsidR="004405C5" w:rsidRPr="004405C5" w:rsidRDefault="006F6A3C" w:rsidP="004405C5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V mezirezortním připomínkovém řízení</w:t>
            </w:r>
          </w:p>
          <w:p w14:paraId="1A635571" w14:textId="77777777" w:rsidR="004405C5" w:rsidRPr="004405C5" w:rsidRDefault="004405C5" w:rsidP="004405C5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6FD19C66" w14:textId="77777777" w:rsidR="004405C5" w:rsidRPr="004405C5" w:rsidRDefault="004405C5" w:rsidP="004405C5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22DDE8CB" w14:textId="57636D8E" w:rsidR="00C54724" w:rsidRDefault="00597A91" w:rsidP="00C54724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597A9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Cílem předložení návrhu vyhlášky je zvýšení bezpečnosti a důvěryhodnosti předávání dat konsolidovaných jednotek státu do Centrálního systému účetních informací státu (CSÚIS) a výrazné snížení administrativní zátěže účetních jednotek v důsledku zjednodušení procesu registrace zodpovědných osob a zasílání výkazů pro vybrané účetní jednotky.</w:t>
            </w:r>
          </w:p>
          <w:p w14:paraId="6703A58D" w14:textId="2BC1F8E8" w:rsidR="009720AA" w:rsidRPr="005078C0" w:rsidRDefault="009720AA" w:rsidP="009720AA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="00597A91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FÚ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provede věcnou analýzu dopadů a zpracuje případný návrh implementačních opatření do procesů společnosti. Informaci o zhodnocení dopadů a o stavu implementace zašle na emailovou adresu legislativa@ceproas.cz.</w:t>
            </w:r>
          </w:p>
          <w:p w14:paraId="11F30E3B" w14:textId="77777777" w:rsidR="009720AA" w:rsidRPr="005078C0" w:rsidRDefault="009720AA" w:rsidP="009720AA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475B883" w14:textId="2499F30B" w:rsidR="009720AA" w:rsidRPr="005078C0" w:rsidRDefault="009720AA" w:rsidP="009720AA">
            <w:pPr>
              <w:pStyle w:val="Bezmezer"/>
              <w:shd w:val="clear" w:color="auto" w:fill="D9D9D9" w:themeFill="background1" w:themeFillShade="D9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Odpovědný útvar: </w:t>
            </w:r>
            <w:r w:rsidR="00597A91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FÚ – Ing. Helena Hostková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ab/>
            </w: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Termín: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="00C54724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31.1</w:t>
            </w:r>
            <w:r w:rsidR="00597A91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.2024</w:t>
            </w:r>
          </w:p>
          <w:p w14:paraId="6993D29C" w14:textId="77777777" w:rsidR="009720AA" w:rsidRPr="009720AA" w:rsidRDefault="009720AA" w:rsidP="009720AA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701742A9" w14:textId="7FF7F751" w:rsidR="00C13AF9" w:rsidRPr="005078C0" w:rsidRDefault="00597A91" w:rsidP="00C13AF9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597A91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nařízení vlády, kterým se mění nařízení vlády č. 567/2006 Sb., o minimální mzdě, o nejnižších úrovních zaručené mzdy, o vymezení ztíženého pracovního prostředí a o výši příplatku ke mzdě za práci ve ztíženém pracovním prostředí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19E7E3B4">
                <v:rect id="_x0000_i1030" style="width:0;height:1.5pt" o:hralign="center" o:hrstd="t" o:hr="t" fillcolor="#a0a0a0" stroked="f"/>
              </w:pict>
            </w:r>
          </w:p>
          <w:p w14:paraId="4C3320F8" w14:textId="713453A4" w:rsidR="006A1524" w:rsidRDefault="006A1524" w:rsidP="006A1524">
            <w:pPr>
              <w:pStyle w:val="Bezmezer"/>
              <w:ind w:left="720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="00597A91">
              <w:t xml:space="preserve"> </w:t>
            </w:r>
            <w:r w:rsidR="00597A91" w:rsidRPr="00597A9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ALBSCXDDMR7X</w:t>
            </w:r>
          </w:p>
          <w:p w14:paraId="11289D52" w14:textId="03A00673" w:rsidR="00C13AF9" w:rsidRPr="004405C5" w:rsidRDefault="00597A91" w:rsidP="006A1524">
            <w:pPr>
              <w:pStyle w:val="Bezmezer"/>
              <w:ind w:left="720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P</w:t>
            </w:r>
            <w:r w:rsidR="006A1524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řipomínkové řízení</w:t>
            </w: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 ukončeno</w:t>
            </w:r>
          </w:p>
          <w:p w14:paraId="5E280224" w14:textId="77777777" w:rsidR="00C13AF9" w:rsidRPr="004405C5" w:rsidRDefault="00C13AF9" w:rsidP="00C13AF9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3FE7177D" w14:textId="77777777" w:rsidR="00C13AF9" w:rsidRPr="004405C5" w:rsidRDefault="00C13AF9" w:rsidP="00C13AF9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13F15E59" w14:textId="234D1005" w:rsidR="006A1524" w:rsidRDefault="00597A91" w:rsidP="006D2EC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597A9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S účinností od 1. ledna 2024 se navrhuje zvýšení sazby minimální mzdy a zvýšení nejnižších úrovní zaručené mzdy.</w:t>
            </w:r>
          </w:p>
          <w:p w14:paraId="5E6C4B62" w14:textId="77777777" w:rsidR="00597A91" w:rsidRDefault="00597A91" w:rsidP="006D2EC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62B19C77" w14:textId="5752ECA3" w:rsidR="00C13AF9" w:rsidRPr="005078C0" w:rsidRDefault="00C13AF9" w:rsidP="00597A91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="00597A91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Na vědomí OŘLZ.</w:t>
            </w:r>
          </w:p>
          <w:p w14:paraId="4899E4CF" w14:textId="641F98C7" w:rsidR="00856285" w:rsidRDefault="00856285" w:rsidP="00856285">
            <w:pPr>
              <w:spacing w:line="360" w:lineRule="auto"/>
              <w:jc w:val="both"/>
              <w:rPr>
                <w:rFonts w:ascii="Arial" w:hAnsi="Arial" w:cs="Arial"/>
                <w:bCs/>
                <w:color w:val="1B174A" w:themeColor="text1" w:themeTint="E6"/>
                <w:sz w:val="20"/>
                <w:szCs w:val="20"/>
              </w:rPr>
            </w:pPr>
          </w:p>
          <w:p w14:paraId="2B34E69B" w14:textId="77777777" w:rsidR="00033FF9" w:rsidRDefault="00033FF9" w:rsidP="00856285">
            <w:pPr>
              <w:spacing w:line="360" w:lineRule="auto"/>
              <w:jc w:val="both"/>
              <w:rPr>
                <w:rFonts w:ascii="Arial" w:hAnsi="Arial" w:cs="Arial"/>
                <w:bCs/>
                <w:color w:val="1B174A" w:themeColor="text1" w:themeTint="E6"/>
                <w:sz w:val="20"/>
                <w:szCs w:val="20"/>
              </w:rPr>
            </w:pPr>
          </w:p>
          <w:p w14:paraId="2E0EC104" w14:textId="5BE6A241" w:rsidR="00646116" w:rsidRPr="005078C0" w:rsidRDefault="00597A91" w:rsidP="00646116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597A91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Návrh vyhlášky o stanovení výše paušální částky náhrady nákladů při práci na dálku pro rok 2024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6B65738C">
                <v:rect id="_x0000_i1031" style="width:0;height:1.5pt" o:hralign="center" o:hrstd="t" o:hr="t" fillcolor="#a0a0a0" stroked="f"/>
              </w:pict>
            </w:r>
          </w:p>
          <w:p w14:paraId="4DB11453" w14:textId="5593E5A2" w:rsidR="00646116" w:rsidRDefault="00757FDF" w:rsidP="00646116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="00597A91">
              <w:t xml:space="preserve"> </w:t>
            </w:r>
            <w:r w:rsidR="00597A91" w:rsidRPr="00597A9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KORNCXLH8F5Y</w:t>
            </w:r>
            <w:r w:rsidR="00646116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 </w:t>
            </w:r>
            <w:r w:rsidR="006D2EC1">
              <w:t xml:space="preserve"> </w:t>
            </w:r>
          </w:p>
          <w:p w14:paraId="375D8CF7" w14:textId="00A8FBD9" w:rsidR="00646116" w:rsidRPr="004405C5" w:rsidRDefault="00597A91" w:rsidP="00646116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597A9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Připomínkové řízení ukončeno</w:t>
            </w:r>
          </w:p>
          <w:p w14:paraId="1AF5B6E0" w14:textId="77777777" w:rsidR="00646116" w:rsidRPr="004405C5" w:rsidRDefault="00646116" w:rsidP="00646116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5A531994" w14:textId="13872FDD" w:rsidR="00757FDF" w:rsidRDefault="00FC4541" w:rsidP="00646116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FC454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V souladu § 190a odst. 4 písm. a) zákona č. 262/2006 Sb., zákoník práce, ve znění pozdějších předpisů, stanovuje Ministerstvo práce a sociálních věcí výši paušální částky náhrady nákladů při práci na dálku pro kalendářní rok, </w:t>
            </w:r>
            <w:r w:rsidRPr="00FC454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lastRenderedPageBreak/>
              <w:t>a to podle údaje zveřejněného Českým statistickým úřadem o spotřebě domácností upraveného pro model práce na dálku, a to za jednu dospělou osobu v průměrné domácnosti v České republice za 1 hodinu.</w:t>
            </w:r>
          </w:p>
          <w:p w14:paraId="4443E61C" w14:textId="77777777" w:rsidR="00FC4541" w:rsidRDefault="00FC4541" w:rsidP="00646116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6687C1F1" w14:textId="71603968" w:rsidR="00646116" w:rsidRPr="005078C0" w:rsidRDefault="00646116" w:rsidP="00757FDF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="00757FDF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Na vědomí </w:t>
            </w:r>
            <w:r w:rsidR="00FC4541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OŘLZ.</w:t>
            </w:r>
          </w:p>
          <w:p w14:paraId="4C5E2A83" w14:textId="7D77669A" w:rsidR="006402B1" w:rsidRDefault="006402B1" w:rsidP="00932F08">
            <w:pPr>
              <w:pStyle w:val="Bezmezer"/>
              <w:tabs>
                <w:tab w:val="left" w:pos="6360"/>
              </w:tabs>
              <w:spacing w:line="360" w:lineRule="auto"/>
            </w:pPr>
          </w:p>
          <w:p w14:paraId="20EE2422" w14:textId="2542F09B" w:rsidR="005C6E3C" w:rsidRPr="005078C0" w:rsidRDefault="00FC4541" w:rsidP="005C6E3C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FC4541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Návrh vyhlášky o změně sazby základní náhrady za používání silničních motorových vozidel a stravného a o stanovení průměrné ceny pohonných hmot pro účely poskytování cestovních náhrad pro rok 2024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5FA39092">
                <v:rect id="_x0000_i1032" style="width:0;height:1.5pt" o:hralign="center" o:hrstd="t" o:hr="t" fillcolor="#a0a0a0" stroked="f"/>
              </w:pict>
            </w:r>
          </w:p>
          <w:p w14:paraId="6AECDFD3" w14:textId="0F108A25" w:rsidR="005C6E3C" w:rsidRDefault="005C6E3C" w:rsidP="005C6E3C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="001A5AA1">
              <w:t xml:space="preserve"> </w:t>
            </w:r>
            <w:r w:rsidR="00757FDF">
              <w:t xml:space="preserve"> </w:t>
            </w:r>
            <w:r w:rsidR="00FC4541">
              <w:t xml:space="preserve"> </w:t>
            </w:r>
            <w:r w:rsidR="00FC4541" w:rsidRPr="00FC4541">
              <w:t>KORNCXLH3YJE</w:t>
            </w:r>
          </w:p>
          <w:p w14:paraId="3028F949" w14:textId="77777777" w:rsidR="00FC4541" w:rsidRPr="004405C5" w:rsidRDefault="00FC4541" w:rsidP="00FC4541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597A9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Připomínkové řízení ukončeno</w:t>
            </w:r>
          </w:p>
          <w:p w14:paraId="2EF02F53" w14:textId="77777777" w:rsidR="00FC4541" w:rsidRPr="004405C5" w:rsidRDefault="00FC4541" w:rsidP="00FC454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100F7CAD" w14:textId="77777777" w:rsidR="00FC4541" w:rsidRPr="00FC4541" w:rsidRDefault="00FC4541" w:rsidP="00FC454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55202B0A" w14:textId="3D2EB491" w:rsidR="00757FDF" w:rsidRDefault="00FC4541" w:rsidP="00FC454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FC454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Účelem návrhu vyhlášky je stanovení sazby základní náhrady za používání silničních motorových vozidel, sazeb stravného a průměrné ceny pohonných hmot pro účely poskytování cestovních náhrad zaměstnancům od 1. ledna 2024.</w:t>
            </w:r>
          </w:p>
          <w:p w14:paraId="6B54194F" w14:textId="77777777" w:rsidR="00FC4541" w:rsidRPr="005078C0" w:rsidRDefault="00FC4541" w:rsidP="00FC4541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Na vědomí OŘLZ.</w:t>
            </w:r>
          </w:p>
          <w:p w14:paraId="68A824FE" w14:textId="145BE3F6" w:rsidR="00646116" w:rsidRDefault="00646116" w:rsidP="00932F08">
            <w:pPr>
              <w:pStyle w:val="Bezmezer"/>
              <w:tabs>
                <w:tab w:val="left" w:pos="6360"/>
              </w:tabs>
              <w:spacing w:line="360" w:lineRule="auto"/>
            </w:pPr>
          </w:p>
          <w:p w14:paraId="124227BA" w14:textId="6CB2F9DF" w:rsidR="005C6E3C" w:rsidRPr="005078C0" w:rsidRDefault="00FC4541" w:rsidP="005C6E3C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FC4541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Návrh vyhlášky, vyhláška č. 404/2016 Sb., o náležitostech a členění výkazů nezbytných pro zpracování zpráv o provozu soustav v energetických odvětvích, včetně termínů, rozsahu a pravidel pro sestavování výkazů (statistická vyhláška), ve znění vyhlášky č. 154/2018 Sb.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67967638">
                <v:rect id="_x0000_i1033" style="width:0;height:1.5pt" o:hralign="center" o:hrstd="t" o:hr="t" fillcolor="#a0a0a0" stroked="f"/>
              </w:pict>
            </w:r>
          </w:p>
          <w:p w14:paraId="0EFAB4D5" w14:textId="011953C5" w:rsidR="005C6E3C" w:rsidRDefault="005C6E3C" w:rsidP="005C6E3C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="001A5AA1">
              <w:t xml:space="preserve"> </w:t>
            </w:r>
            <w:r w:rsidR="00757FDF">
              <w:t xml:space="preserve"> </w:t>
            </w:r>
            <w:r w:rsidR="00FC4541">
              <w:t xml:space="preserve"> </w:t>
            </w:r>
            <w:r w:rsidR="00FC4541" w:rsidRPr="00FC454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ALBSCXEJC24O</w:t>
            </w:r>
          </w:p>
          <w:p w14:paraId="42F813F0" w14:textId="44E4E99A" w:rsidR="005C6E3C" w:rsidRPr="004405C5" w:rsidRDefault="00757FDF" w:rsidP="005C6E3C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Připomínkové řízení ukončeno</w:t>
            </w:r>
          </w:p>
          <w:p w14:paraId="4221BFBF" w14:textId="77777777" w:rsidR="005C6E3C" w:rsidRPr="004405C5" w:rsidRDefault="005C6E3C" w:rsidP="005C6E3C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23C5C8E5" w14:textId="77777777" w:rsidR="005C6E3C" w:rsidRPr="004405C5" w:rsidRDefault="005C6E3C" w:rsidP="005C6E3C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4AE5660D" w14:textId="77777777" w:rsidR="00FC4541" w:rsidRPr="00FC4541" w:rsidRDefault="00FC4541" w:rsidP="00FC454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FC454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Navrhovaná právní úprava vychází ze současné situace, kdy se na trhu navýšilo množství výroben biometanu a rovněž se zvýšila frekvence výkyvů spotřeby plynu pro paroplynové elektrárny. Tím se značně ztížily možnosti reálného odečtu spotřeby plynu (očištění spotřeby o vliv počasí), tudíž je nutno sledovat k tomu i patřičná statistická data. Dále se změnily podmínky pro udělení licence na podnikání v energetických odvětvích s ohledem na změnu § 3 odst. 3 energetického zákona provedenou zákonem č. 19/2023 Sb., kdy do instalovaného výkonu 50 kW při výrobě elektřiny není nutné povolení k podnikání. To má za následek nemožnost sledování dat o těchto výrobnách, a přitom se jedná vcelku o výraznou hodnotu veličin, jež nadále poroste.</w:t>
            </w:r>
          </w:p>
          <w:p w14:paraId="7FFACB9A" w14:textId="67F323F0" w:rsidR="00757FDF" w:rsidRDefault="00FC4541" w:rsidP="00FC454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FC4541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Změnou proti současnému stavu je zahrnutí údajů o výrobě plynu (biometanu), o dodávkách plynu do paroplynových elektráren a o výrobnách elektřiny s instalovaným výkonem do 50 kW včetně do rozsahu vykazovaných údajů pro účely vydávání zpráv o provozu soustav v energetických odvětvích.</w:t>
            </w:r>
          </w:p>
          <w:p w14:paraId="75B694FC" w14:textId="77777777" w:rsidR="00FC4541" w:rsidRPr="005C6E3C" w:rsidRDefault="00FC4541" w:rsidP="00FC4541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05FD047F" w14:textId="7EE28E6E" w:rsidR="005C6E3C" w:rsidRPr="005078C0" w:rsidRDefault="005C6E3C" w:rsidP="005C6E3C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="00757FDF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PÚ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provede věcnou analýzu dopadů a zpracuje případný návrh implementačních opatření do procesů společnosti. Informaci o zhodnocení dopadů a o stavu implementace zašle na emailovou adresu legislativa@ceproas.cz.</w:t>
            </w:r>
          </w:p>
          <w:p w14:paraId="56A242B8" w14:textId="77777777" w:rsidR="005C6E3C" w:rsidRPr="005078C0" w:rsidRDefault="005C6E3C" w:rsidP="005C6E3C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29E66ABB" w14:textId="084A9418" w:rsidR="005C6E3C" w:rsidRPr="005078C0" w:rsidRDefault="005C6E3C" w:rsidP="005C6E3C">
            <w:pPr>
              <w:pStyle w:val="Bezmezer"/>
              <w:shd w:val="clear" w:color="auto" w:fill="D9D9D9" w:themeFill="background1" w:themeFillShade="D9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Odpovědný útvar: </w:t>
            </w:r>
            <w:r w:rsidR="00757FDF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PÚ – Ing. František Todt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ab/>
            </w: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Termín: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="001A5AA1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31.</w:t>
            </w:r>
            <w:r w:rsidR="00757FDF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1</w:t>
            </w:r>
            <w:r w:rsidR="00FC4541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.2024</w:t>
            </w:r>
          </w:p>
          <w:p w14:paraId="07995244" w14:textId="77411A93" w:rsidR="005C6E3C" w:rsidRDefault="005C6E3C" w:rsidP="005C6E3C">
            <w:pPr>
              <w:pStyle w:val="Bezmezer"/>
              <w:tabs>
                <w:tab w:val="left" w:pos="6360"/>
              </w:tabs>
              <w:spacing w:line="360" w:lineRule="auto"/>
            </w:pPr>
          </w:p>
          <w:p w14:paraId="7E6E5DDA" w14:textId="1796E380" w:rsidR="00360A8C" w:rsidRPr="005078C0" w:rsidRDefault="006E5699" w:rsidP="00360A8C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6E5699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lastRenderedPageBreak/>
              <w:t>Návrh vyhlášky, kterou se mění vyhláška č. 470/2012 Sb., o užívání pozemních komunikací zpoplatněných mýtným, ve znění pozdějších předpisů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11E0F6F2">
                <v:rect id="_x0000_i1034" style="width:0;height:1.5pt" o:hralign="center" o:hrstd="t" o:hr="t" fillcolor="#a0a0a0" stroked="f"/>
              </w:pict>
            </w:r>
          </w:p>
          <w:p w14:paraId="2DC41E3F" w14:textId="7C18DB04" w:rsidR="006E5699" w:rsidRDefault="006E5699" w:rsidP="00360A8C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Pr="006E5699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ALBSCY2C2AHB</w:t>
            </w:r>
          </w:p>
          <w:p w14:paraId="66312A1B" w14:textId="7AD3106C" w:rsidR="00360A8C" w:rsidRPr="004405C5" w:rsidRDefault="006E5699" w:rsidP="00360A8C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V mezirezortním připomínkovém řízení</w:t>
            </w:r>
          </w:p>
          <w:p w14:paraId="07294D6A" w14:textId="77777777" w:rsidR="00360A8C" w:rsidRPr="004405C5" w:rsidRDefault="00360A8C" w:rsidP="00360A8C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568B9BCC" w14:textId="77777777" w:rsidR="00360A8C" w:rsidRPr="004405C5" w:rsidRDefault="00360A8C" w:rsidP="00360A8C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75ABA57E" w14:textId="1AB062DC" w:rsidR="00D47B3C" w:rsidRDefault="006E5699" w:rsidP="00D47B3C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Předmětem novely vyhlášky je ú</w:t>
            </w:r>
            <w:r w:rsidRPr="006E5699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prava ustanovení vyhlášky vyplývající z transpozice směrnice Evropského parlamentu a Rady (EU) 2022/362 ze dne 24. února 2022, kterou se mění směrnice 1999/62/ES, 1999/37/ES a (EU) 2019/520, pokud jde o výběr poplatků pro vozidla za užívání určitých pozemních komunikací, do zákona č. 13/1997 Sb., o pozemních komunikacích, ve znění pozdějších předpisů. Provedení § 22c odst. 7 zákona č. 13/1997 Sb., o pozemních komunikacích, v budoucím znění, uvedení způsobu určení emisní třídy CO2 vozidla v systému elektronického mýtného. Změna rozsahu pozemních komunikací zpoplatněných mýtným v roce 2024 a dílčí parametrické úpravy obsahu vyhlášky reagující na konsolidační balíček (ST 488).</w:t>
            </w:r>
          </w:p>
          <w:p w14:paraId="7BCD4BFD" w14:textId="77777777" w:rsidR="006E5699" w:rsidRPr="005C6E3C" w:rsidRDefault="006E5699" w:rsidP="00D47B3C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06686756" w14:textId="571724A1" w:rsidR="00360A8C" w:rsidRPr="005078C0" w:rsidRDefault="00360A8C" w:rsidP="00360A8C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="006E5699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PÚ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provede věcnou analýzu dopadů a zpracuje případný návrh implementačních opatření do procesů společnosti. Informaci o zhodnocení dopadů a o stavu implementace zašle na emailovou adresu legislativa@ceproas.cz.</w:t>
            </w:r>
          </w:p>
          <w:p w14:paraId="6E50F25B" w14:textId="77777777" w:rsidR="00360A8C" w:rsidRPr="005078C0" w:rsidRDefault="00360A8C" w:rsidP="00360A8C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26E7C07" w14:textId="796B0BCB" w:rsidR="00360A8C" w:rsidRPr="005078C0" w:rsidRDefault="00360A8C" w:rsidP="00360A8C">
            <w:pPr>
              <w:pStyle w:val="Bezmezer"/>
              <w:shd w:val="clear" w:color="auto" w:fill="D9D9D9" w:themeFill="background1" w:themeFillShade="D9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Odpovědný útvar: </w:t>
            </w:r>
            <w:r w:rsidR="006E5699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PÚ </w:t>
            </w:r>
            <w:r w:rsidR="00D47B3C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="00D76853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– Ing. </w:t>
            </w:r>
            <w:r w:rsidR="006E5699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František Todt </w:t>
            </w:r>
            <w:r w:rsidR="00D76853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Termín: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="00F66C07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31.</w:t>
            </w:r>
            <w:r w:rsidR="006E5699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1.2024</w:t>
            </w:r>
          </w:p>
          <w:p w14:paraId="759938A1" w14:textId="34EB2394" w:rsidR="0001717D" w:rsidRDefault="0001717D" w:rsidP="00BE050B">
            <w:pPr>
              <w:pStyle w:val="Bezmezer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BC0BE01" w14:textId="77777777" w:rsidR="00A979E2" w:rsidRPr="005078C0" w:rsidRDefault="00A979E2" w:rsidP="00BE050B">
            <w:pPr>
              <w:pStyle w:val="Bezmezer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0D5176D7" w14:textId="3E3686D7" w:rsidR="006E5699" w:rsidRPr="005078C0" w:rsidRDefault="006E5699" w:rsidP="006E5699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6E5699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Návrh nařízení vlády, kterým se mění nařízení vlády č. 240/2014 Sb., o výši časových poplatků, sazeb mýtného, slevy na mýtném a o postupu při uplatnění slevy na mýtném, ve znění nařízení vlády č. 479/2020 Sb.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3EF6636F">
                <v:rect id="_x0000_i1044" style="width:0;height:1.5pt" o:hralign="center" o:hrstd="t" o:hr="t" fillcolor="#a0a0a0" stroked="f"/>
              </w:pict>
            </w:r>
          </w:p>
          <w:p w14:paraId="0948BD99" w14:textId="413CA329" w:rsidR="006E5699" w:rsidRDefault="006E5699" w:rsidP="006E5699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Pr="006E5699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KORNCXZBS24H</w:t>
            </w:r>
          </w:p>
          <w:p w14:paraId="469E3F7E" w14:textId="77777777" w:rsidR="006E5699" w:rsidRPr="004405C5" w:rsidRDefault="006E5699" w:rsidP="006E5699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V mezirezortním připomínkovém řízení</w:t>
            </w:r>
          </w:p>
          <w:p w14:paraId="3FF6A55B" w14:textId="77777777" w:rsidR="006E5699" w:rsidRPr="004405C5" w:rsidRDefault="006E5699" w:rsidP="006E5699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74327311" w14:textId="77777777" w:rsidR="006E5699" w:rsidRPr="004405C5" w:rsidRDefault="006E5699" w:rsidP="006E5699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35865676" w14:textId="77777777" w:rsidR="006E5699" w:rsidRDefault="006E5699" w:rsidP="006E5699">
            <w:pPr>
              <w:pStyle w:val="Bezmezer"/>
              <w:spacing w:line="276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6E5699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Návrhem dochází zejména k rušení právní úpravy výše časového poplatku, ke změnám kritérií pro rozlišení sazeb mýtného a ke změnám těchto sazeb.</w:t>
            </w:r>
          </w:p>
          <w:p w14:paraId="5BF698F5" w14:textId="77777777" w:rsidR="006E5699" w:rsidRDefault="006E5699" w:rsidP="006E569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412B8EF4" w14:textId="7DAFCA73" w:rsidR="006E5699" w:rsidRPr="005078C0" w:rsidRDefault="006E5699" w:rsidP="006E569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PÚ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provede věcnou analýzu dopadů a zpracuje případný návrh implementačních opatření do procesů společnosti. Informaci o zhodnocení dopadů a o stavu implementace zašle na emailovou adresu legislativa@ceproas.cz.</w:t>
            </w:r>
          </w:p>
          <w:p w14:paraId="3F1807D3" w14:textId="77777777" w:rsidR="006E5699" w:rsidRPr="005078C0" w:rsidRDefault="006E5699" w:rsidP="006E569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17F10AB0" w14:textId="77777777" w:rsidR="006E5699" w:rsidRPr="005078C0" w:rsidRDefault="006E5699" w:rsidP="006E5699">
            <w:pPr>
              <w:pStyle w:val="Bezmezer"/>
              <w:shd w:val="clear" w:color="auto" w:fill="D9D9D9" w:themeFill="background1" w:themeFillShade="D9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Odpovědný útvar: </w:t>
            </w:r>
            <w:r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PÚ  – Ing. František Todt  </w:t>
            </w: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Termín: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31.1.2024</w:t>
            </w:r>
          </w:p>
          <w:p w14:paraId="2FCF5422" w14:textId="5D2BD28C" w:rsidR="002607A4" w:rsidRDefault="002607A4" w:rsidP="00932F08">
            <w:pPr>
              <w:pStyle w:val="Bezmezer"/>
              <w:tabs>
                <w:tab w:val="left" w:pos="6360"/>
              </w:tabs>
              <w:spacing w:line="360" w:lineRule="auto"/>
            </w:pPr>
          </w:p>
          <w:p w14:paraId="2B1D932A" w14:textId="4F7965F4" w:rsidR="006E5699" w:rsidRPr="005078C0" w:rsidRDefault="006E5699" w:rsidP="006E5699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</w:pPr>
            <w:r w:rsidRPr="006E5699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Návrh zákona, kterým se mění zákon č. 477/2001 Sb., o obalech a o změně některých zákonů (zákon o obalech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)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2AAC3297">
                <v:rect id="_x0000_i1045" style="width:0;height:1.5pt" o:hralign="center" o:hrstd="t" o:hr="t" fillcolor="#a0a0a0" stroked="f"/>
              </w:pict>
            </w:r>
          </w:p>
          <w:p w14:paraId="28A3709A" w14:textId="605B9CE7" w:rsidR="006E5699" w:rsidRDefault="006E5699" w:rsidP="006E5699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 xml:space="preserve">EKLEP </w:t>
            </w:r>
            <w:r w:rsidRPr="006E5699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ALBSCY4K6RXH</w:t>
            </w:r>
          </w:p>
          <w:p w14:paraId="21237C38" w14:textId="77777777" w:rsidR="006E5699" w:rsidRPr="004405C5" w:rsidRDefault="006E5699" w:rsidP="006E5699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V mezirezortním připomínkovém řízení</w:t>
            </w:r>
          </w:p>
          <w:p w14:paraId="696133A1" w14:textId="77777777" w:rsidR="006E5699" w:rsidRPr="004405C5" w:rsidRDefault="006E5699" w:rsidP="006E5699">
            <w:pPr>
              <w:pStyle w:val="Bezmezer"/>
              <w:jc w:val="right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510685AC" w14:textId="77777777" w:rsidR="006E5699" w:rsidRPr="004405C5" w:rsidRDefault="006E5699" w:rsidP="006E5699">
            <w:pPr>
              <w:pStyle w:val="Bezmezer"/>
              <w:spacing w:line="360" w:lineRule="auto"/>
              <w:jc w:val="both"/>
              <w:rPr>
                <w:rStyle w:val="Hypertextovodkaz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5F0B197C" w14:textId="149F4751" w:rsidR="006E5699" w:rsidRDefault="0014695E" w:rsidP="006E5699">
            <w:pPr>
              <w:pStyle w:val="Bezmezer"/>
              <w:spacing w:line="276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  <w:r w:rsidRPr="0014695E"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  <w:t>Navrhovaný zákon zavádí zálohový systém pro vybrané jednorázové nápojové obaly.</w:t>
            </w:r>
          </w:p>
          <w:p w14:paraId="3D7FB4EF" w14:textId="77777777" w:rsidR="0014695E" w:rsidRDefault="0014695E" w:rsidP="006E5699">
            <w:pPr>
              <w:pStyle w:val="Bezmezer"/>
              <w:spacing w:line="276" w:lineRule="auto"/>
              <w:jc w:val="both"/>
              <w:rPr>
                <w:rStyle w:val="Hypertextovodkaz"/>
                <w:rFonts w:ascii="Arial" w:hAnsi="Arial" w:cs="Arial"/>
                <w:color w:val="auto"/>
                <w:sz w:val="20"/>
                <w:szCs w:val="20"/>
                <w:u w:val="none"/>
                <w:lang w:eastAsia="cs-CZ"/>
              </w:rPr>
            </w:pPr>
          </w:p>
          <w:p w14:paraId="47DD8E01" w14:textId="3A657F5A" w:rsidR="006E5699" w:rsidRPr="005078C0" w:rsidRDefault="006E5699" w:rsidP="006E569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lastRenderedPageBreak/>
              <w:t xml:space="preserve">Úkol: </w:t>
            </w:r>
            <w:r w:rsidR="0014695E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OHSE</w:t>
            </w:r>
            <w:r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provede věcnou analýzu dopadů a zpracuje případný návrh implementačních opatření do procesů společnosti. Informaci o zhodnocení dopadů a o stavu implementace zašle na emailovou adresu legislativa@ceproas.cz.</w:t>
            </w:r>
          </w:p>
          <w:p w14:paraId="199D92AF" w14:textId="77777777" w:rsidR="006E5699" w:rsidRPr="005078C0" w:rsidRDefault="006E5699" w:rsidP="006E569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4D1100A4" w14:textId="4BF1DDF0" w:rsidR="006E5699" w:rsidRPr="005078C0" w:rsidRDefault="006E5699" w:rsidP="006E5699">
            <w:pPr>
              <w:pStyle w:val="Bezmezer"/>
              <w:shd w:val="clear" w:color="auto" w:fill="D9D9D9" w:themeFill="background1" w:themeFillShade="D9"/>
              <w:spacing w:line="276" w:lineRule="auto"/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Odpovědný útvar: </w:t>
            </w:r>
            <w:r w:rsidR="0014695E">
              <w:rPr>
                <w:rStyle w:val="Hypertextovodkaz"/>
                <w:rFonts w:ascii="Arial" w:eastAsia="Times New Roman" w:hAnsi="Arial" w:cs="Arial"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OHSE – Ing. Zdeněk Stejskal </w:t>
            </w:r>
            <w:r w:rsidR="0014695E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Termín</w:t>
            </w: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: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="0014695E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28.2.2024</w:t>
            </w:r>
          </w:p>
          <w:p w14:paraId="75391A20" w14:textId="77777777" w:rsidR="006E5699" w:rsidRDefault="006E5699" w:rsidP="00932F08">
            <w:pPr>
              <w:pStyle w:val="Bezmezer"/>
              <w:tabs>
                <w:tab w:val="left" w:pos="6360"/>
              </w:tabs>
              <w:spacing w:line="360" w:lineRule="auto"/>
            </w:pPr>
          </w:p>
          <w:p w14:paraId="05F02F47" w14:textId="5E6D51EC" w:rsidR="006E5699" w:rsidRDefault="006E5699" w:rsidP="00932F08">
            <w:pPr>
              <w:pStyle w:val="Bezmezer"/>
              <w:tabs>
                <w:tab w:val="left" w:pos="6360"/>
              </w:tabs>
              <w:spacing w:line="360" w:lineRule="auto"/>
            </w:pPr>
          </w:p>
          <w:p w14:paraId="73B32830" w14:textId="77777777" w:rsidR="00EE29F8" w:rsidRPr="00DA4CC0" w:rsidRDefault="00EE29F8" w:rsidP="00932F08">
            <w:pPr>
              <w:pStyle w:val="Bezmezer"/>
              <w:tabs>
                <w:tab w:val="left" w:pos="6360"/>
              </w:tabs>
              <w:spacing w:line="360" w:lineRule="auto"/>
            </w:pPr>
          </w:p>
          <w:p w14:paraId="148728CE" w14:textId="4E2D0EE5" w:rsidR="006F0138" w:rsidRPr="005078C0" w:rsidRDefault="006F0138" w:rsidP="006F0138">
            <w:pPr>
              <w:pStyle w:val="Bezmezer"/>
              <w:numPr>
                <w:ilvl w:val="0"/>
                <w:numId w:val="5"/>
              </w:numPr>
              <w:shd w:val="clear" w:color="auto" w:fill="007A53"/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Stanoviska a judikatura</w:t>
            </w:r>
          </w:p>
          <w:p w14:paraId="69B8C916" w14:textId="77777777" w:rsidR="00205C10" w:rsidRDefault="00205C10" w:rsidP="00205C10">
            <w:pPr>
              <w:pStyle w:val="Bezmezer"/>
              <w:spacing w:line="360" w:lineRule="auto"/>
              <w:jc w:val="both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3963ED72" w14:textId="56FB43FB" w:rsidR="00325E58" w:rsidRPr="002F5594" w:rsidRDefault="00D120F9" w:rsidP="00325E58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</w:pPr>
            <w:r w:rsidRPr="00D120F9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>K platnému započtení promlčené aktivně započítávané pohledávky</w:t>
            </w:r>
            <w:r w:rsidRPr="00D120F9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 xml:space="preserve"> </w:t>
            </w:r>
            <w:r w:rsidR="0030302F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2602181E">
                <v:rect id="_x0000_i1035" style="width:0;height:1.5pt" o:hralign="center" o:hrstd="t" o:hr="t" fillcolor="#a0a0a0" stroked="f"/>
              </w:pict>
            </w:r>
          </w:p>
          <w:p w14:paraId="72DB56AD" w14:textId="08EFB0A0" w:rsidR="00A828F5" w:rsidRDefault="00EB18AF" w:rsidP="00EB18AF">
            <w:pPr>
              <w:pStyle w:val="Bezmezer"/>
              <w:spacing w:line="360" w:lineRule="auto"/>
              <w:jc w:val="right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Nejvyšší</w:t>
            </w:r>
            <w:r w:rsidR="00D148C6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s</w:t>
            </w: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oud</w:t>
            </w:r>
            <w:r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,</w:t>
            </w: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sp. zn. </w:t>
            </w:r>
            <w:r w:rsidR="00D148C6">
              <w:t xml:space="preserve"> </w:t>
            </w:r>
            <w:r w:rsidR="00D120F9"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23 Cdo 101/2023</w:t>
            </w:r>
          </w:p>
          <w:p w14:paraId="31DF7D2A" w14:textId="15FF2FC8" w:rsidR="00A828F5" w:rsidRDefault="00A828F5" w:rsidP="00A828F5">
            <w:pPr>
              <w:pStyle w:val="Bezmezer"/>
              <w:spacing w:line="360" w:lineRule="auto"/>
              <w:jc w:val="both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7E79F8BA" w14:textId="3AF684CF" w:rsidR="00D148C6" w:rsidRDefault="00D120F9" w:rsidP="00A828F5">
            <w:pPr>
              <w:pStyle w:val="Bezmezer"/>
              <w:spacing w:line="360" w:lineRule="auto"/>
              <w:jc w:val="both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Právní úprava předpokládá platné započtení i promlčené aktivně započítávané pohledávky tehdy, pokud věřitel z této pohledávky mohl k započtení přistoupit již před tímto promlčením, za podmínky, že jsou obě pohledávky jinak způsobilé k započtení. Jinými slovy, je-li aktivně započítávána pohledávka jinak </w:t>
            </w:r>
            <w:proofErr w:type="spellStart"/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kompenzatibilní</w:t>
            </w:r>
            <w:proofErr w:type="spellEnd"/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(započitatelná), pouze následným promlčením již svoji </w:t>
            </w:r>
            <w:proofErr w:type="spellStart"/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kompenzatibilitu</w:t>
            </w:r>
            <w:proofErr w:type="spellEnd"/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neztrácí. Jde-li o pasivně započítávanou pohledávku, předpokladem započtení proti jiné pohledávce je splnitelnost daného dluhu, nikoli jeho splatnost. Splnitelnost představuje právo plnit svůj dluh; je proto třeba dluh dlužníka-spotřebitele spočívající v povinnosti vrátit poskytnutou jistinu spotřebitelského úvěru v době přiměřené jeho možnostem podle § 87 zákona o spotřebitelském úvěru považovat pro účely započtení za splnitelný od doby jeho vzniku, bez ohledu na splatnost takového dluhu. </w:t>
            </w:r>
          </w:p>
          <w:p w14:paraId="02AF94E1" w14:textId="77777777" w:rsidR="00D120F9" w:rsidRDefault="00325E58" w:rsidP="00D148C6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Na vědomí </w:t>
            </w:r>
            <w:r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POŘ</w:t>
            </w:r>
            <w:r w:rsidR="00D120F9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.</w:t>
            </w:r>
          </w:p>
          <w:p w14:paraId="39E6363A" w14:textId="77777777" w:rsidR="00D120F9" w:rsidRDefault="00D120F9" w:rsidP="00D120F9">
            <w:pPr>
              <w:pStyle w:val="Bezmezer"/>
              <w:spacing w:line="276" w:lineRule="auto"/>
              <w:jc w:val="both"/>
              <w:rPr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lang w:eastAsia="cs-CZ"/>
              </w:rPr>
            </w:pPr>
          </w:p>
          <w:p w14:paraId="5AE67B43" w14:textId="77777777" w:rsidR="00D120F9" w:rsidRDefault="00D120F9" w:rsidP="00D120F9">
            <w:pPr>
              <w:pStyle w:val="Bezmezer"/>
              <w:spacing w:line="276" w:lineRule="auto"/>
              <w:jc w:val="both"/>
              <w:rPr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lang w:eastAsia="cs-CZ"/>
              </w:rPr>
            </w:pPr>
          </w:p>
          <w:p w14:paraId="27B3FE59" w14:textId="51E09E20" w:rsidR="00D120F9" w:rsidRDefault="00D120F9" w:rsidP="00D120F9">
            <w:pPr>
              <w:pStyle w:val="Bezmezer"/>
              <w:spacing w:line="276" w:lineRule="auto"/>
              <w:jc w:val="both"/>
              <w:rPr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lang w:eastAsia="cs-CZ"/>
              </w:rPr>
            </w:pPr>
          </w:p>
          <w:p w14:paraId="762FA14B" w14:textId="4930CA45" w:rsidR="00D120F9" w:rsidRPr="002F5594" w:rsidRDefault="00D120F9" w:rsidP="00D120F9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</w:pPr>
            <w:r w:rsidRPr="00D120F9"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t xml:space="preserve">Uznání dluhu plněním podle § 87 zákona o spotřebitelském úvěru 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105DB684">
                <v:rect id="_x0000_i1058" style="width:0;height:1.5pt" o:hralign="center" o:hrstd="t" o:hr="t" fillcolor="#a0a0a0" stroked="f"/>
              </w:pict>
            </w:r>
          </w:p>
          <w:p w14:paraId="1C4BB50E" w14:textId="01273A7A" w:rsidR="00D120F9" w:rsidRDefault="00D120F9" w:rsidP="00D120F9">
            <w:pPr>
              <w:pStyle w:val="Bezmezer"/>
              <w:spacing w:line="360" w:lineRule="auto"/>
              <w:jc w:val="right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Nejvyšší</w:t>
            </w:r>
            <w:r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s</w:t>
            </w: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oud</w:t>
            </w:r>
            <w:r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,</w:t>
            </w: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sp. zn. </w:t>
            </w:r>
            <w:r>
              <w:t xml:space="preserve"> </w:t>
            </w:r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23 Cdo 101/2023</w:t>
            </w:r>
          </w:p>
          <w:p w14:paraId="1F6DA8D6" w14:textId="77777777" w:rsidR="00D120F9" w:rsidRDefault="00D120F9" w:rsidP="00D120F9">
            <w:pPr>
              <w:pStyle w:val="Bezmezer"/>
              <w:spacing w:line="360" w:lineRule="auto"/>
              <w:jc w:val="both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4CF2EFE9" w14:textId="7097FACE" w:rsidR="00D120F9" w:rsidRDefault="00D120F9" w:rsidP="00D120F9">
            <w:pPr>
              <w:pStyle w:val="Bezmezer"/>
              <w:spacing w:line="360" w:lineRule="auto"/>
              <w:jc w:val="both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Z je</w:t>
            </w:r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dnání dlužníka, jenž má být kvalifikováno jako uznání dluhu ve smyslu § 639 o. z., musí plynout, že si je existence dluhu vědom a současně, že od něj lze v budoucnu očekávat plnění. Zda lze v daném jednání dlužníka seznat obojí, je třeba posuzovat z pohledu věřitele a za podmínek § 556 a § 6 odst. 1 o. z. se tázat, zda za daných okolností by osoba v postavení toho, jemuž je projev vůle určen (tj. věřitele), chování dlužníka rozuměla tak, že si je dluhu vědom a lze od něj v budoucnu očekávat plnění. II. Plnění dlužníka v postavení spotřebitele na poskytnutou jistinu v době přiměřené jeho možnostem dle zvláštní úpravy § 87 zákona o spotřebitelském úvěru nenaplňuje důvody uznání dluhu, se kterými § 639 o. z. spojuje přerušení a běh nové desetileté promlčecí lhůty, neboť takové plnění dlužníka-spotřebitele směřuje primárně k plnění dluhu v době jeho splatnosti, nikoliv k tomu, že dluh bude uhrazen v dodatečné lhůtě.</w:t>
            </w:r>
          </w:p>
          <w:p w14:paraId="1EEA9324" w14:textId="77777777" w:rsidR="00D120F9" w:rsidRDefault="00D120F9" w:rsidP="00D120F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Na vědomí </w:t>
            </w:r>
            <w:r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POŘ.</w:t>
            </w:r>
          </w:p>
          <w:p w14:paraId="311F1462" w14:textId="117DA56D" w:rsidR="00D120F9" w:rsidRDefault="00D120F9" w:rsidP="00D120F9">
            <w:pPr>
              <w:pStyle w:val="Bezmezer"/>
              <w:spacing w:line="276" w:lineRule="auto"/>
              <w:jc w:val="both"/>
              <w:rPr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lang w:eastAsia="cs-CZ"/>
              </w:rPr>
            </w:pPr>
          </w:p>
          <w:p w14:paraId="1C40125A" w14:textId="610CD2AC" w:rsidR="00D120F9" w:rsidRDefault="00D120F9" w:rsidP="00D120F9">
            <w:pPr>
              <w:pStyle w:val="Bezmezer"/>
              <w:spacing w:line="276" w:lineRule="auto"/>
              <w:jc w:val="both"/>
              <w:rPr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lang w:eastAsia="cs-CZ"/>
              </w:rPr>
            </w:pPr>
          </w:p>
          <w:p w14:paraId="57A3C653" w14:textId="6ECD7EC9" w:rsidR="00D120F9" w:rsidRPr="002F5594" w:rsidRDefault="00D120F9" w:rsidP="00D120F9">
            <w:pPr>
              <w:pStyle w:val="Bezmezer"/>
              <w:spacing w:line="276" w:lineRule="auto"/>
              <w:jc w:val="center"/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</w:pP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0"/>
                <w:u w:val="none"/>
                <w:lang w:eastAsia="cs-CZ"/>
              </w:rPr>
              <w:lastRenderedPageBreak/>
              <w:t>Konkurence výpovědních důvodů</w:t>
            </w:r>
            <w:r>
              <w:rPr>
                <w:rStyle w:val="Hypertextovodkaz"/>
                <w:rFonts w:ascii="Arial" w:eastAsia="Times New Roman" w:hAnsi="Arial" w:cs="Arial"/>
                <w:b/>
                <w:bCs/>
                <w:color w:val="0F0D29" w:themeColor="text1"/>
                <w:kern w:val="36"/>
                <w:sz w:val="24"/>
                <w:szCs w:val="24"/>
                <w:u w:val="none"/>
                <w:lang w:eastAsia="cs-CZ"/>
              </w:rPr>
              <w:pict w14:anchorId="0E83215E">
                <v:rect id="_x0000_i1059" style="width:0;height:1.5pt" o:hralign="center" o:hrstd="t" o:hr="t" fillcolor="#a0a0a0" stroked="f"/>
              </w:pict>
            </w:r>
          </w:p>
          <w:p w14:paraId="40FC3A50" w14:textId="3AA8E1D4" w:rsidR="00D120F9" w:rsidRDefault="00D120F9" w:rsidP="00D120F9">
            <w:pPr>
              <w:pStyle w:val="Bezmezer"/>
              <w:spacing w:line="360" w:lineRule="auto"/>
              <w:jc w:val="right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Nejvyšší</w:t>
            </w:r>
            <w:r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s</w:t>
            </w: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oud</w:t>
            </w:r>
            <w:r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,</w:t>
            </w: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sp. zn.</w:t>
            </w:r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21 Cdo 2355/2022 </w:t>
            </w:r>
            <w:r w:rsidRPr="00EB18AF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 </w:t>
            </w:r>
            <w:r>
              <w:t xml:space="preserve"> </w:t>
            </w:r>
          </w:p>
          <w:p w14:paraId="2755F8F0" w14:textId="77777777" w:rsidR="00D120F9" w:rsidRDefault="00D120F9" w:rsidP="00D120F9">
            <w:pPr>
              <w:pStyle w:val="Bezmezer"/>
              <w:spacing w:line="360" w:lineRule="auto"/>
              <w:jc w:val="both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</w:p>
          <w:p w14:paraId="283BDBEA" w14:textId="739BE1FB" w:rsidR="00D120F9" w:rsidRDefault="00D120F9" w:rsidP="00D120F9">
            <w:pPr>
              <w:pStyle w:val="Bezmezer"/>
              <w:spacing w:line="360" w:lineRule="auto"/>
              <w:jc w:val="both"/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</w:pPr>
            <w:r w:rsidRPr="00D120F9">
              <w:rPr>
                <w:rStyle w:val="Hypertextovodkaz"/>
                <w:rFonts w:ascii="Arial" w:eastAsia="Times New Roman" w:hAnsi="Arial" w:cs="Arial"/>
                <w:bCs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Při současném naplnění důvodů výpovědi z pracovního poměru podle ustanovení § 52 písm. a) zákoníku práce a ustanovení § 52 písm. d) téhož právního předpisu není zaměstnavatel v jejich uplatnění nijak omezen (limitován). S dotčeným zaměstnancem může zaměstnavatel pracovní poměr výpovědí rozvázat z kteréhokoliv z uvedených důvodů, popř. může důvod výpovědi skutkově vymezit tak, že bude odpovídat skutkové podstatě obou těchto důvodů. </w:t>
            </w:r>
          </w:p>
          <w:p w14:paraId="3E627932" w14:textId="03C58561" w:rsidR="00D120F9" w:rsidRDefault="00D120F9" w:rsidP="00D120F9">
            <w:pPr>
              <w:pStyle w:val="Bezmezer"/>
              <w:shd w:val="clear" w:color="auto" w:fill="D9D9D9" w:themeFill="background1" w:themeFillShade="D9"/>
              <w:spacing w:line="276" w:lineRule="auto"/>
              <w:jc w:val="both"/>
              <w:rPr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lang w:eastAsia="cs-CZ"/>
              </w:rPr>
            </w:pPr>
            <w:r w:rsidRPr="005078C0">
              <w:rPr>
                <w:rStyle w:val="Hypertextovodkaz"/>
                <w:rFonts w:ascii="Arial" w:eastAsia="Times New Roman" w:hAnsi="Arial" w:cs="Arial"/>
                <w:b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Úkol: </w:t>
            </w:r>
            <w:r w:rsidRPr="005078C0"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 xml:space="preserve">Na vědomí </w:t>
            </w:r>
            <w:r>
              <w:rPr>
                <w:rStyle w:val="Hypertextovodkaz"/>
                <w:rFonts w:ascii="Arial" w:eastAsia="Times New Roman" w:hAnsi="Arial" w:cs="Arial"/>
                <w:bCs/>
                <w:i/>
                <w:color w:val="0F0D29" w:themeColor="text1"/>
                <w:kern w:val="36"/>
                <w:sz w:val="20"/>
                <w:szCs w:val="20"/>
                <w:u w:val="none"/>
                <w:lang w:eastAsia="cs-CZ"/>
              </w:rPr>
              <w:t>POŘ.</w:t>
            </w:r>
          </w:p>
          <w:p w14:paraId="710E2DBD" w14:textId="62D03B8B" w:rsidR="00D120F9" w:rsidRPr="00D120F9" w:rsidRDefault="00D120F9" w:rsidP="00D120F9">
            <w:pPr>
              <w:tabs>
                <w:tab w:val="left" w:pos="993"/>
              </w:tabs>
              <w:rPr>
                <w:lang w:eastAsia="cs-CZ"/>
              </w:rPr>
            </w:pPr>
            <w:r>
              <w:rPr>
                <w:lang w:eastAsia="cs-CZ"/>
              </w:rPr>
              <w:tab/>
            </w:r>
          </w:p>
        </w:tc>
      </w:tr>
      <w:tr w:rsidR="00ED31F9" w:rsidRPr="005078C0" w14:paraId="3584ACBC" w14:textId="77777777" w:rsidTr="00F2217C">
        <w:trPr>
          <w:trHeight w:val="5931"/>
        </w:trPr>
        <w:tc>
          <w:tcPr>
            <w:tcW w:w="9923" w:type="dxa"/>
            <w:shd w:val="clear" w:color="auto" w:fill="auto"/>
          </w:tcPr>
          <w:p w14:paraId="2EA61BC9" w14:textId="5C44625C" w:rsidR="00EE29F8" w:rsidRPr="005078C0" w:rsidRDefault="00EE29F8" w:rsidP="00023D0A">
            <w:pPr>
              <w:pStyle w:val="Odstavecseseznamem"/>
              <w:spacing w:line="360" w:lineRule="auto"/>
              <w:ind w:left="786"/>
              <w:jc w:val="both"/>
              <w:rPr>
                <w:rFonts w:ascii="Arial" w:hAnsi="Arial" w:cs="Arial"/>
                <w:b/>
                <w:color w:val="0F0D29" w:themeColor="text1"/>
              </w:rPr>
            </w:pPr>
          </w:p>
        </w:tc>
      </w:tr>
      <w:tr w:rsidR="00F75ED7" w:rsidRPr="005078C0" w14:paraId="68237412" w14:textId="77777777" w:rsidTr="00DA4CC0">
        <w:trPr>
          <w:trHeight w:val="5931"/>
        </w:trPr>
        <w:tc>
          <w:tcPr>
            <w:tcW w:w="9923" w:type="dxa"/>
            <w:shd w:val="clear" w:color="auto" w:fill="auto"/>
          </w:tcPr>
          <w:p w14:paraId="7B892641" w14:textId="0F14B7DA" w:rsidR="003252CA" w:rsidRDefault="003252CA" w:rsidP="006402B1">
            <w:pPr>
              <w:spacing w:line="360" w:lineRule="auto"/>
              <w:jc w:val="both"/>
            </w:pPr>
          </w:p>
          <w:p w14:paraId="6D929327" w14:textId="77777777" w:rsidR="003252CA" w:rsidRDefault="003252CA" w:rsidP="006402B1">
            <w:pPr>
              <w:spacing w:line="360" w:lineRule="auto"/>
              <w:jc w:val="both"/>
            </w:pPr>
          </w:p>
          <w:p w14:paraId="30AC96D7" w14:textId="578D94CE" w:rsidR="003252CA" w:rsidRPr="006402B1" w:rsidRDefault="003252CA" w:rsidP="006402B1">
            <w:pPr>
              <w:spacing w:line="360" w:lineRule="auto"/>
              <w:jc w:val="both"/>
              <w:rPr>
                <w:rFonts w:ascii="Arial" w:hAnsi="Arial" w:cs="Arial"/>
                <w:color w:val="0F0D29" w:themeColor="text1"/>
              </w:rPr>
            </w:pPr>
          </w:p>
        </w:tc>
      </w:tr>
    </w:tbl>
    <w:p w14:paraId="36AC9AAC" w14:textId="5478FA9A" w:rsidR="00457844" w:rsidRPr="00E4461E" w:rsidRDefault="00457844" w:rsidP="006402B1">
      <w:pPr>
        <w:pStyle w:val="Bezmezer"/>
        <w:spacing w:line="360" w:lineRule="auto"/>
        <w:jc w:val="both"/>
        <w:rPr>
          <w:rStyle w:val="Hypertextovodkaz"/>
          <w:rFonts w:ascii="Arial" w:eastAsia="Times New Roman" w:hAnsi="Arial" w:cs="Arial"/>
          <w:b/>
          <w:color w:val="0F0D29" w:themeColor="text1"/>
          <w:kern w:val="36"/>
          <w:sz w:val="20"/>
          <w:szCs w:val="20"/>
          <w:u w:val="none"/>
          <w:lang w:eastAsia="cs-CZ"/>
        </w:rPr>
      </w:pPr>
    </w:p>
    <w:sectPr w:rsidR="00457844" w:rsidRPr="00E4461E" w:rsidSect="00AB02A7">
      <w:headerReference w:type="default" r:id="rId10"/>
      <w:footerReference w:type="default" r:id="rId11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A264" w14:textId="77777777" w:rsidR="00A6323B" w:rsidRDefault="00A6323B">
      <w:r>
        <w:separator/>
      </w:r>
    </w:p>
    <w:p w14:paraId="1343CFB7" w14:textId="77777777" w:rsidR="00A6323B" w:rsidRDefault="00A6323B"/>
  </w:endnote>
  <w:endnote w:type="continuationSeparator" w:id="0">
    <w:p w14:paraId="0FEAC19C" w14:textId="77777777" w:rsidR="00A6323B" w:rsidRDefault="00A6323B">
      <w:r>
        <w:continuationSeparator/>
      </w:r>
    </w:p>
    <w:p w14:paraId="3C1229CE" w14:textId="77777777" w:rsidR="00A6323B" w:rsidRDefault="00A63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  <w:bCs/>
        <w:noProof/>
        <w:color w:val="0F0D29" w:themeColor="text1"/>
        <w:sz w:val="20"/>
        <w:szCs w:val="20"/>
      </w:rPr>
      <w:id w:val="-890194395"/>
      <w:docPartObj>
        <w:docPartGallery w:val="Page Numbers (Bottom of Page)"/>
        <w:docPartUnique/>
      </w:docPartObj>
    </w:sdtPr>
    <w:sdtEndPr/>
    <w:sdtContent>
      <w:p w14:paraId="316DA8A2" w14:textId="37EC1B35" w:rsidR="00DF027C" w:rsidRPr="00824CAE" w:rsidRDefault="00DF027C">
        <w:pPr>
          <w:pStyle w:val="Zpat"/>
          <w:jc w:val="center"/>
          <w:rPr>
            <w:rFonts w:ascii="Arial" w:hAnsi="Arial" w:cs="Arial"/>
            <w:b w:val="0"/>
            <w:bCs/>
            <w:noProof/>
            <w:color w:val="0F0D29" w:themeColor="text1"/>
            <w:sz w:val="20"/>
            <w:szCs w:val="20"/>
          </w:rPr>
        </w:pPr>
        <w:r w:rsidRPr="00824CAE">
          <w:rPr>
            <w:rFonts w:ascii="Arial" w:hAnsi="Arial" w:cs="Arial"/>
            <w:b w:val="0"/>
            <w:bCs/>
            <w:noProof/>
            <w:color w:val="0F0D29" w:themeColor="text1"/>
            <w:sz w:val="20"/>
            <w:szCs w:val="20"/>
            <w:lang w:bidi="cs-CZ"/>
          </w:rPr>
          <w:fldChar w:fldCharType="begin"/>
        </w:r>
        <w:r w:rsidRPr="00824CAE">
          <w:rPr>
            <w:rFonts w:ascii="Arial" w:hAnsi="Arial" w:cs="Arial"/>
            <w:b w:val="0"/>
            <w:bCs/>
            <w:noProof/>
            <w:color w:val="0F0D29" w:themeColor="text1"/>
            <w:sz w:val="20"/>
            <w:szCs w:val="20"/>
            <w:lang w:bidi="cs-CZ"/>
          </w:rPr>
          <w:instrText xml:space="preserve"> PAGE   \* MERGEFORMAT </w:instrText>
        </w:r>
        <w:r w:rsidRPr="00824CAE">
          <w:rPr>
            <w:rFonts w:ascii="Arial" w:hAnsi="Arial" w:cs="Arial"/>
            <w:b w:val="0"/>
            <w:bCs/>
            <w:noProof/>
            <w:color w:val="0F0D29" w:themeColor="text1"/>
            <w:sz w:val="20"/>
            <w:szCs w:val="20"/>
            <w:lang w:bidi="cs-CZ"/>
          </w:rPr>
          <w:fldChar w:fldCharType="separate"/>
        </w:r>
        <w:r w:rsidR="006F0138">
          <w:rPr>
            <w:rFonts w:ascii="Arial" w:hAnsi="Arial" w:cs="Arial"/>
            <w:b w:val="0"/>
            <w:bCs/>
            <w:noProof/>
            <w:color w:val="0F0D29" w:themeColor="text1"/>
            <w:sz w:val="20"/>
            <w:szCs w:val="20"/>
            <w:lang w:bidi="cs-CZ"/>
          </w:rPr>
          <w:t>7</w:t>
        </w:r>
        <w:r w:rsidRPr="00824CAE">
          <w:rPr>
            <w:rFonts w:ascii="Arial" w:hAnsi="Arial" w:cs="Arial"/>
            <w:b w:val="0"/>
            <w:bCs/>
            <w:noProof/>
            <w:color w:val="0F0D29" w:themeColor="text1"/>
            <w:sz w:val="20"/>
            <w:szCs w:val="20"/>
            <w:lang w:bidi="cs-CZ"/>
          </w:rPr>
          <w:fldChar w:fldCharType="end"/>
        </w:r>
      </w:p>
    </w:sdtContent>
  </w:sdt>
  <w:p w14:paraId="56EB180E" w14:textId="77777777" w:rsidR="00DF027C" w:rsidRDefault="00DF027C">
    <w:pPr>
      <w:pStyle w:val="Zpa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69BA" w14:textId="77777777" w:rsidR="00A6323B" w:rsidRDefault="00A6323B">
      <w:r>
        <w:separator/>
      </w:r>
    </w:p>
    <w:p w14:paraId="724FD62A" w14:textId="77777777" w:rsidR="00A6323B" w:rsidRDefault="00A6323B"/>
  </w:footnote>
  <w:footnote w:type="continuationSeparator" w:id="0">
    <w:p w14:paraId="28D33258" w14:textId="77777777" w:rsidR="00A6323B" w:rsidRDefault="00A6323B">
      <w:r>
        <w:continuationSeparator/>
      </w:r>
    </w:p>
    <w:p w14:paraId="493F256C" w14:textId="77777777" w:rsidR="00A6323B" w:rsidRDefault="00A63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3B791156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19891861" w14:textId="77777777" w:rsidR="00D077E9" w:rsidRDefault="00D077E9">
          <w:pPr>
            <w:pStyle w:val="Zhlav"/>
            <w:rPr>
              <w:noProof/>
            </w:rPr>
          </w:pPr>
        </w:p>
      </w:tc>
    </w:tr>
  </w:tbl>
  <w:p w14:paraId="2E9AF0C0" w14:textId="77777777" w:rsidR="00D077E9" w:rsidRDefault="00D077E9" w:rsidP="00D077E9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C76"/>
    <w:multiLevelType w:val="multilevel"/>
    <w:tmpl w:val="4A0E85BC"/>
    <w:lvl w:ilvl="0">
      <w:start w:val="2"/>
      <w:numFmt w:val="upperRoman"/>
      <w:lvlText w:val="%1."/>
      <w:lvlJc w:val="right"/>
      <w:pPr>
        <w:ind w:left="710" w:hanging="360"/>
      </w:pPr>
      <w:rPr>
        <w:rFonts w:ascii="Tahoma" w:hAnsi="Tahoma" w:cs="Tahoma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0" w:hanging="2160"/>
      </w:pPr>
      <w:rPr>
        <w:rFonts w:hint="default"/>
      </w:rPr>
    </w:lvl>
  </w:abstractNum>
  <w:abstractNum w:abstractNumId="1" w15:restartNumberingAfterBreak="0">
    <w:nsid w:val="0C0F4FF5"/>
    <w:multiLevelType w:val="hybridMultilevel"/>
    <w:tmpl w:val="71B46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AA5"/>
    <w:multiLevelType w:val="hybridMultilevel"/>
    <w:tmpl w:val="F07C7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06E"/>
    <w:multiLevelType w:val="hybridMultilevel"/>
    <w:tmpl w:val="C9B00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188D"/>
    <w:multiLevelType w:val="hybridMultilevel"/>
    <w:tmpl w:val="8F0E929C"/>
    <w:lvl w:ilvl="0" w:tplc="E8D2594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41F8C"/>
    <w:multiLevelType w:val="hybridMultilevel"/>
    <w:tmpl w:val="7460FC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ECB288">
      <w:start w:val="1"/>
      <w:numFmt w:val="bullet"/>
      <w:lvlText w:val="—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7E1B"/>
    <w:multiLevelType w:val="hybridMultilevel"/>
    <w:tmpl w:val="EA00923E"/>
    <w:lvl w:ilvl="0" w:tplc="5BCADA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35701"/>
    <w:multiLevelType w:val="hybridMultilevel"/>
    <w:tmpl w:val="74C05E3E"/>
    <w:lvl w:ilvl="0" w:tplc="6C5A2A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B2B57"/>
    <w:multiLevelType w:val="hybridMultilevel"/>
    <w:tmpl w:val="C1E2833A"/>
    <w:lvl w:ilvl="0" w:tplc="6E1817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D4B28"/>
    <w:multiLevelType w:val="hybridMultilevel"/>
    <w:tmpl w:val="8A16CD9E"/>
    <w:lvl w:ilvl="0" w:tplc="5CC2D25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01B0B"/>
    <w:multiLevelType w:val="hybridMultilevel"/>
    <w:tmpl w:val="F3C45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4290"/>
    <w:multiLevelType w:val="hybridMultilevel"/>
    <w:tmpl w:val="168A0ABE"/>
    <w:lvl w:ilvl="0" w:tplc="88A48A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D5932"/>
    <w:multiLevelType w:val="hybridMultilevel"/>
    <w:tmpl w:val="56F43D5C"/>
    <w:lvl w:ilvl="0" w:tplc="5BCADA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1A78"/>
    <w:multiLevelType w:val="hybridMultilevel"/>
    <w:tmpl w:val="D97AD238"/>
    <w:lvl w:ilvl="0" w:tplc="520E3F0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F0D29" w:themeColor="text1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47A1F8B"/>
    <w:multiLevelType w:val="hybridMultilevel"/>
    <w:tmpl w:val="839EE318"/>
    <w:lvl w:ilvl="0" w:tplc="EDBC0B3C">
      <w:numFmt w:val="bullet"/>
      <w:lvlText w:val="-"/>
      <w:lvlJc w:val="left"/>
      <w:pPr>
        <w:ind w:left="7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5C47C52"/>
    <w:multiLevelType w:val="hybridMultilevel"/>
    <w:tmpl w:val="3EB4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553D7"/>
    <w:multiLevelType w:val="hybridMultilevel"/>
    <w:tmpl w:val="DB5608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00128"/>
    <w:multiLevelType w:val="hybridMultilevel"/>
    <w:tmpl w:val="070A5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D7053"/>
    <w:multiLevelType w:val="multilevel"/>
    <w:tmpl w:val="42865ACC"/>
    <w:lvl w:ilvl="0">
      <w:start w:val="1"/>
      <w:numFmt w:val="upperRoman"/>
      <w:lvlText w:val="%1."/>
      <w:lvlJc w:val="right"/>
      <w:pPr>
        <w:ind w:left="360" w:hanging="360"/>
      </w:pPr>
      <w:rPr>
        <w:rFonts w:ascii="Tahoma" w:hAnsi="Tahoma" w:cs="Tahoma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758A0A21"/>
    <w:multiLevelType w:val="hybridMultilevel"/>
    <w:tmpl w:val="F3C45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6490E"/>
    <w:multiLevelType w:val="multilevel"/>
    <w:tmpl w:val="C3A4DD10"/>
    <w:lvl w:ilvl="0">
      <w:start w:val="1"/>
      <w:numFmt w:val="upperRoman"/>
      <w:lvlText w:val="%1."/>
      <w:lvlJc w:val="right"/>
      <w:pPr>
        <w:ind w:left="360" w:hanging="360"/>
      </w:pPr>
      <w:rPr>
        <w:rFonts w:ascii="Tahoma" w:hAnsi="Tahoma" w:cs="Tahoma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8E67432"/>
    <w:multiLevelType w:val="hybridMultilevel"/>
    <w:tmpl w:val="0130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07EBE"/>
    <w:multiLevelType w:val="hybridMultilevel"/>
    <w:tmpl w:val="21481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81493">
    <w:abstractNumId w:val="13"/>
  </w:num>
  <w:num w:numId="2" w16cid:durableId="1234467224">
    <w:abstractNumId w:val="11"/>
  </w:num>
  <w:num w:numId="3" w16cid:durableId="1316882545">
    <w:abstractNumId w:val="0"/>
  </w:num>
  <w:num w:numId="4" w16cid:durableId="1408501083">
    <w:abstractNumId w:val="20"/>
  </w:num>
  <w:num w:numId="5" w16cid:durableId="1987006562">
    <w:abstractNumId w:val="18"/>
  </w:num>
  <w:num w:numId="6" w16cid:durableId="1453748572">
    <w:abstractNumId w:val="6"/>
  </w:num>
  <w:num w:numId="7" w16cid:durableId="1505437701">
    <w:abstractNumId w:val="22"/>
  </w:num>
  <w:num w:numId="8" w16cid:durableId="1461268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8638075">
    <w:abstractNumId w:val="9"/>
  </w:num>
  <w:num w:numId="10" w16cid:durableId="316570583">
    <w:abstractNumId w:val="4"/>
  </w:num>
  <w:num w:numId="11" w16cid:durableId="1930389362">
    <w:abstractNumId w:val="12"/>
  </w:num>
  <w:num w:numId="12" w16cid:durableId="166604650">
    <w:abstractNumId w:val="8"/>
  </w:num>
  <w:num w:numId="13" w16cid:durableId="937713538">
    <w:abstractNumId w:val="15"/>
  </w:num>
  <w:num w:numId="14" w16cid:durableId="1959797054">
    <w:abstractNumId w:val="2"/>
  </w:num>
  <w:num w:numId="15" w16cid:durableId="1149980130">
    <w:abstractNumId w:val="3"/>
  </w:num>
  <w:num w:numId="16" w16cid:durableId="956833311">
    <w:abstractNumId w:val="14"/>
  </w:num>
  <w:num w:numId="17" w16cid:durableId="338509019">
    <w:abstractNumId w:val="16"/>
  </w:num>
  <w:num w:numId="18" w16cid:durableId="1568565219">
    <w:abstractNumId w:val="7"/>
  </w:num>
  <w:num w:numId="19" w16cid:durableId="691535874">
    <w:abstractNumId w:val="17"/>
  </w:num>
  <w:num w:numId="20" w16cid:durableId="1941717516">
    <w:abstractNumId w:val="19"/>
  </w:num>
  <w:num w:numId="21" w16cid:durableId="978610651">
    <w:abstractNumId w:val="10"/>
  </w:num>
  <w:num w:numId="22" w16cid:durableId="168108573">
    <w:abstractNumId w:val="21"/>
  </w:num>
  <w:num w:numId="23" w16cid:durableId="1665082721">
    <w:abstractNumId w:val="5"/>
  </w:num>
  <w:num w:numId="24" w16cid:durableId="110961999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52"/>
    <w:rsid w:val="000020DA"/>
    <w:rsid w:val="0000575E"/>
    <w:rsid w:val="00005E9F"/>
    <w:rsid w:val="00012060"/>
    <w:rsid w:val="0001717D"/>
    <w:rsid w:val="00021BDB"/>
    <w:rsid w:val="00023D0A"/>
    <w:rsid w:val="0002482E"/>
    <w:rsid w:val="00027A0F"/>
    <w:rsid w:val="000304BF"/>
    <w:rsid w:val="00033FF9"/>
    <w:rsid w:val="000340BB"/>
    <w:rsid w:val="00043884"/>
    <w:rsid w:val="00045244"/>
    <w:rsid w:val="00045505"/>
    <w:rsid w:val="00045D16"/>
    <w:rsid w:val="000472DA"/>
    <w:rsid w:val="00047C36"/>
    <w:rsid w:val="00050324"/>
    <w:rsid w:val="00057254"/>
    <w:rsid w:val="0007061F"/>
    <w:rsid w:val="0007093B"/>
    <w:rsid w:val="00071C38"/>
    <w:rsid w:val="00080627"/>
    <w:rsid w:val="00080BF6"/>
    <w:rsid w:val="00090ADC"/>
    <w:rsid w:val="00094F88"/>
    <w:rsid w:val="000954E9"/>
    <w:rsid w:val="000A0150"/>
    <w:rsid w:val="000A0BCC"/>
    <w:rsid w:val="000A19F5"/>
    <w:rsid w:val="000A4141"/>
    <w:rsid w:val="000B31AD"/>
    <w:rsid w:val="000B43A3"/>
    <w:rsid w:val="000C0C48"/>
    <w:rsid w:val="000C2615"/>
    <w:rsid w:val="000C427A"/>
    <w:rsid w:val="000C53CA"/>
    <w:rsid w:val="000C6B8E"/>
    <w:rsid w:val="000C6CC9"/>
    <w:rsid w:val="000E1ADD"/>
    <w:rsid w:val="000E2BBE"/>
    <w:rsid w:val="000E63C9"/>
    <w:rsid w:val="000E795D"/>
    <w:rsid w:val="000F5AD4"/>
    <w:rsid w:val="000F5BA6"/>
    <w:rsid w:val="00101083"/>
    <w:rsid w:val="001018E2"/>
    <w:rsid w:val="001023D4"/>
    <w:rsid w:val="00102FA4"/>
    <w:rsid w:val="00111A4A"/>
    <w:rsid w:val="001168AA"/>
    <w:rsid w:val="00124E51"/>
    <w:rsid w:val="001255F9"/>
    <w:rsid w:val="00127DCB"/>
    <w:rsid w:val="00130E9D"/>
    <w:rsid w:val="00140D0B"/>
    <w:rsid w:val="00142E9F"/>
    <w:rsid w:val="001449BB"/>
    <w:rsid w:val="00144F93"/>
    <w:rsid w:val="0014695E"/>
    <w:rsid w:val="0014703E"/>
    <w:rsid w:val="00150A6D"/>
    <w:rsid w:val="001559DF"/>
    <w:rsid w:val="00157531"/>
    <w:rsid w:val="00160DC8"/>
    <w:rsid w:val="001625EE"/>
    <w:rsid w:val="0016474D"/>
    <w:rsid w:val="00167935"/>
    <w:rsid w:val="00170060"/>
    <w:rsid w:val="00172E7E"/>
    <w:rsid w:val="00177623"/>
    <w:rsid w:val="0018012A"/>
    <w:rsid w:val="001822B6"/>
    <w:rsid w:val="00185B35"/>
    <w:rsid w:val="00187880"/>
    <w:rsid w:val="00196F8A"/>
    <w:rsid w:val="00197363"/>
    <w:rsid w:val="0019754A"/>
    <w:rsid w:val="001A0DC1"/>
    <w:rsid w:val="001A0EC5"/>
    <w:rsid w:val="001A5AA1"/>
    <w:rsid w:val="001A6DA8"/>
    <w:rsid w:val="001B1E14"/>
    <w:rsid w:val="001B5353"/>
    <w:rsid w:val="001B54B1"/>
    <w:rsid w:val="001D7152"/>
    <w:rsid w:val="001E048A"/>
    <w:rsid w:val="001E4C6C"/>
    <w:rsid w:val="001E6151"/>
    <w:rsid w:val="001E64EB"/>
    <w:rsid w:val="001F081B"/>
    <w:rsid w:val="001F2ABE"/>
    <w:rsid w:val="001F2BC8"/>
    <w:rsid w:val="001F5F6B"/>
    <w:rsid w:val="00201B03"/>
    <w:rsid w:val="002052FB"/>
    <w:rsid w:val="00205C10"/>
    <w:rsid w:val="00214F9E"/>
    <w:rsid w:val="00220164"/>
    <w:rsid w:val="00220C5B"/>
    <w:rsid w:val="0022100C"/>
    <w:rsid w:val="00221893"/>
    <w:rsid w:val="002234C9"/>
    <w:rsid w:val="00226DB6"/>
    <w:rsid w:val="00234F1D"/>
    <w:rsid w:val="0023620D"/>
    <w:rsid w:val="00236D48"/>
    <w:rsid w:val="00237420"/>
    <w:rsid w:val="00240052"/>
    <w:rsid w:val="002419B4"/>
    <w:rsid w:val="00243EBC"/>
    <w:rsid w:val="002452D2"/>
    <w:rsid w:val="00246A35"/>
    <w:rsid w:val="00252F73"/>
    <w:rsid w:val="002607A4"/>
    <w:rsid w:val="00261551"/>
    <w:rsid w:val="00261F3A"/>
    <w:rsid w:val="00262E16"/>
    <w:rsid w:val="002673EB"/>
    <w:rsid w:val="00270CA7"/>
    <w:rsid w:val="00276C4F"/>
    <w:rsid w:val="00283722"/>
    <w:rsid w:val="00284348"/>
    <w:rsid w:val="00285D32"/>
    <w:rsid w:val="002867AA"/>
    <w:rsid w:val="0029544A"/>
    <w:rsid w:val="002A1FF3"/>
    <w:rsid w:val="002A5582"/>
    <w:rsid w:val="002A7630"/>
    <w:rsid w:val="002A7B59"/>
    <w:rsid w:val="002A7D57"/>
    <w:rsid w:val="002B714E"/>
    <w:rsid w:val="002C25F7"/>
    <w:rsid w:val="002C4B10"/>
    <w:rsid w:val="002E068A"/>
    <w:rsid w:val="002E61AB"/>
    <w:rsid w:val="002F0D61"/>
    <w:rsid w:val="002F352C"/>
    <w:rsid w:val="002F51F5"/>
    <w:rsid w:val="002F5594"/>
    <w:rsid w:val="002F6DF2"/>
    <w:rsid w:val="0030165A"/>
    <w:rsid w:val="003026C0"/>
    <w:rsid w:val="00302FB3"/>
    <w:rsid w:val="0030302F"/>
    <w:rsid w:val="00310247"/>
    <w:rsid w:val="00312137"/>
    <w:rsid w:val="00313BA5"/>
    <w:rsid w:val="003252CA"/>
    <w:rsid w:val="00325E58"/>
    <w:rsid w:val="00330359"/>
    <w:rsid w:val="00333529"/>
    <w:rsid w:val="00334605"/>
    <w:rsid w:val="003369D3"/>
    <w:rsid w:val="0033762F"/>
    <w:rsid w:val="00337ABE"/>
    <w:rsid w:val="0034183A"/>
    <w:rsid w:val="00341F21"/>
    <w:rsid w:val="003446FF"/>
    <w:rsid w:val="00344A05"/>
    <w:rsid w:val="00355AF2"/>
    <w:rsid w:val="00360494"/>
    <w:rsid w:val="00360A8C"/>
    <w:rsid w:val="00361BA9"/>
    <w:rsid w:val="0036269B"/>
    <w:rsid w:val="00366C7E"/>
    <w:rsid w:val="00366FC0"/>
    <w:rsid w:val="00372A73"/>
    <w:rsid w:val="00377602"/>
    <w:rsid w:val="00380B67"/>
    <w:rsid w:val="00382E1F"/>
    <w:rsid w:val="00384EA3"/>
    <w:rsid w:val="00386EE0"/>
    <w:rsid w:val="003A1E17"/>
    <w:rsid w:val="003A39A1"/>
    <w:rsid w:val="003A3D7A"/>
    <w:rsid w:val="003A7F20"/>
    <w:rsid w:val="003B02AC"/>
    <w:rsid w:val="003B1131"/>
    <w:rsid w:val="003C1F55"/>
    <w:rsid w:val="003C2191"/>
    <w:rsid w:val="003C4763"/>
    <w:rsid w:val="003C6F49"/>
    <w:rsid w:val="003D3863"/>
    <w:rsid w:val="003D5145"/>
    <w:rsid w:val="003F5366"/>
    <w:rsid w:val="003F7659"/>
    <w:rsid w:val="00404C9B"/>
    <w:rsid w:val="004065E3"/>
    <w:rsid w:val="004110DE"/>
    <w:rsid w:val="00411A05"/>
    <w:rsid w:val="004325C8"/>
    <w:rsid w:val="00433509"/>
    <w:rsid w:val="004344BA"/>
    <w:rsid w:val="0043631E"/>
    <w:rsid w:val="004405C5"/>
    <w:rsid w:val="0044085A"/>
    <w:rsid w:val="00444FD9"/>
    <w:rsid w:val="00446F61"/>
    <w:rsid w:val="004539F3"/>
    <w:rsid w:val="00453C17"/>
    <w:rsid w:val="00454469"/>
    <w:rsid w:val="004571BE"/>
    <w:rsid w:val="00457844"/>
    <w:rsid w:val="004579C9"/>
    <w:rsid w:val="004646E1"/>
    <w:rsid w:val="004709CD"/>
    <w:rsid w:val="0047577B"/>
    <w:rsid w:val="00475E5C"/>
    <w:rsid w:val="0049783A"/>
    <w:rsid w:val="004B005C"/>
    <w:rsid w:val="004B21A5"/>
    <w:rsid w:val="004B2C1D"/>
    <w:rsid w:val="004C05F3"/>
    <w:rsid w:val="004C50C3"/>
    <w:rsid w:val="004D39AC"/>
    <w:rsid w:val="004E6A60"/>
    <w:rsid w:val="004F0B76"/>
    <w:rsid w:val="004F5618"/>
    <w:rsid w:val="005037F0"/>
    <w:rsid w:val="005054D5"/>
    <w:rsid w:val="005078C0"/>
    <w:rsid w:val="0051287F"/>
    <w:rsid w:val="00514577"/>
    <w:rsid w:val="0051554D"/>
    <w:rsid w:val="00516A86"/>
    <w:rsid w:val="00521069"/>
    <w:rsid w:val="0052653B"/>
    <w:rsid w:val="005275F6"/>
    <w:rsid w:val="00532EB6"/>
    <w:rsid w:val="005337A5"/>
    <w:rsid w:val="005345ED"/>
    <w:rsid w:val="00537168"/>
    <w:rsid w:val="005412CE"/>
    <w:rsid w:val="0054187B"/>
    <w:rsid w:val="00560334"/>
    <w:rsid w:val="005637F4"/>
    <w:rsid w:val="00565D89"/>
    <w:rsid w:val="005700DE"/>
    <w:rsid w:val="00572102"/>
    <w:rsid w:val="005721FE"/>
    <w:rsid w:val="0058396E"/>
    <w:rsid w:val="0058525A"/>
    <w:rsid w:val="00597A91"/>
    <w:rsid w:val="005A405A"/>
    <w:rsid w:val="005A623B"/>
    <w:rsid w:val="005B0434"/>
    <w:rsid w:val="005B3D0D"/>
    <w:rsid w:val="005B4170"/>
    <w:rsid w:val="005C0086"/>
    <w:rsid w:val="005C048D"/>
    <w:rsid w:val="005C3DFE"/>
    <w:rsid w:val="005C6E3C"/>
    <w:rsid w:val="005C72CD"/>
    <w:rsid w:val="005D2D68"/>
    <w:rsid w:val="005D3817"/>
    <w:rsid w:val="005E1BAB"/>
    <w:rsid w:val="005E3D97"/>
    <w:rsid w:val="005E41D1"/>
    <w:rsid w:val="005E4904"/>
    <w:rsid w:val="005F1BB0"/>
    <w:rsid w:val="005F1F37"/>
    <w:rsid w:val="005F4E93"/>
    <w:rsid w:val="00610BF6"/>
    <w:rsid w:val="006142F4"/>
    <w:rsid w:val="00616648"/>
    <w:rsid w:val="00617A67"/>
    <w:rsid w:val="0062116E"/>
    <w:rsid w:val="00623626"/>
    <w:rsid w:val="00625270"/>
    <w:rsid w:val="00630128"/>
    <w:rsid w:val="0063264A"/>
    <w:rsid w:val="006402B1"/>
    <w:rsid w:val="00642F78"/>
    <w:rsid w:val="00644DD2"/>
    <w:rsid w:val="00646116"/>
    <w:rsid w:val="00651663"/>
    <w:rsid w:val="00651780"/>
    <w:rsid w:val="00652171"/>
    <w:rsid w:val="0065503C"/>
    <w:rsid w:val="00656C4D"/>
    <w:rsid w:val="00657864"/>
    <w:rsid w:val="00660E12"/>
    <w:rsid w:val="00665BAB"/>
    <w:rsid w:val="00666EE9"/>
    <w:rsid w:val="0066776E"/>
    <w:rsid w:val="00680248"/>
    <w:rsid w:val="00685C81"/>
    <w:rsid w:val="0069077B"/>
    <w:rsid w:val="00691C67"/>
    <w:rsid w:val="00694EBE"/>
    <w:rsid w:val="006A077B"/>
    <w:rsid w:val="006A1524"/>
    <w:rsid w:val="006A21D5"/>
    <w:rsid w:val="006A2953"/>
    <w:rsid w:val="006A4215"/>
    <w:rsid w:val="006A4542"/>
    <w:rsid w:val="006A4E78"/>
    <w:rsid w:val="006A5A4D"/>
    <w:rsid w:val="006B0DE4"/>
    <w:rsid w:val="006B1771"/>
    <w:rsid w:val="006B1D1E"/>
    <w:rsid w:val="006B33F6"/>
    <w:rsid w:val="006C0197"/>
    <w:rsid w:val="006C147A"/>
    <w:rsid w:val="006C166A"/>
    <w:rsid w:val="006C458E"/>
    <w:rsid w:val="006C59D3"/>
    <w:rsid w:val="006C72A2"/>
    <w:rsid w:val="006D2230"/>
    <w:rsid w:val="006D2EC1"/>
    <w:rsid w:val="006D5B87"/>
    <w:rsid w:val="006D797C"/>
    <w:rsid w:val="006E225F"/>
    <w:rsid w:val="006E32D0"/>
    <w:rsid w:val="006E4475"/>
    <w:rsid w:val="006E530F"/>
    <w:rsid w:val="006E5699"/>
    <w:rsid w:val="006E5716"/>
    <w:rsid w:val="006E5B8D"/>
    <w:rsid w:val="006E713B"/>
    <w:rsid w:val="006F0138"/>
    <w:rsid w:val="006F1F17"/>
    <w:rsid w:val="006F3D1A"/>
    <w:rsid w:val="006F41EA"/>
    <w:rsid w:val="006F6A3C"/>
    <w:rsid w:val="006F790F"/>
    <w:rsid w:val="006F7A2A"/>
    <w:rsid w:val="006F7ADA"/>
    <w:rsid w:val="006F7E18"/>
    <w:rsid w:val="0070028C"/>
    <w:rsid w:val="00701CC1"/>
    <w:rsid w:val="007055E5"/>
    <w:rsid w:val="00706AC0"/>
    <w:rsid w:val="00710C2D"/>
    <w:rsid w:val="00711F12"/>
    <w:rsid w:val="00714C98"/>
    <w:rsid w:val="00716A8B"/>
    <w:rsid w:val="0071777B"/>
    <w:rsid w:val="007237A1"/>
    <w:rsid w:val="00723E3F"/>
    <w:rsid w:val="007257DE"/>
    <w:rsid w:val="007274B3"/>
    <w:rsid w:val="007302B3"/>
    <w:rsid w:val="00730733"/>
    <w:rsid w:val="00730C65"/>
    <w:rsid w:val="00730E3A"/>
    <w:rsid w:val="00733E9B"/>
    <w:rsid w:val="00735876"/>
    <w:rsid w:val="00735EAB"/>
    <w:rsid w:val="00736AAF"/>
    <w:rsid w:val="00742128"/>
    <w:rsid w:val="00756BA5"/>
    <w:rsid w:val="00757FDF"/>
    <w:rsid w:val="0076111C"/>
    <w:rsid w:val="00762D39"/>
    <w:rsid w:val="007643FC"/>
    <w:rsid w:val="00765B2A"/>
    <w:rsid w:val="00770314"/>
    <w:rsid w:val="00771AD0"/>
    <w:rsid w:val="00772DF8"/>
    <w:rsid w:val="00780112"/>
    <w:rsid w:val="00780593"/>
    <w:rsid w:val="00782B2D"/>
    <w:rsid w:val="00783A34"/>
    <w:rsid w:val="00787D8A"/>
    <w:rsid w:val="00791ED0"/>
    <w:rsid w:val="0079780B"/>
    <w:rsid w:val="007A2B64"/>
    <w:rsid w:val="007A38DC"/>
    <w:rsid w:val="007A5D12"/>
    <w:rsid w:val="007A65BE"/>
    <w:rsid w:val="007B360B"/>
    <w:rsid w:val="007C19BC"/>
    <w:rsid w:val="007C4877"/>
    <w:rsid w:val="007C506D"/>
    <w:rsid w:val="007C6B52"/>
    <w:rsid w:val="007C7E90"/>
    <w:rsid w:val="007D083D"/>
    <w:rsid w:val="007D16C5"/>
    <w:rsid w:val="007E06C5"/>
    <w:rsid w:val="007E1A59"/>
    <w:rsid w:val="007E4EC7"/>
    <w:rsid w:val="008070BF"/>
    <w:rsid w:val="00810E13"/>
    <w:rsid w:val="00815900"/>
    <w:rsid w:val="00820160"/>
    <w:rsid w:val="00824CAE"/>
    <w:rsid w:val="00825113"/>
    <w:rsid w:val="008264C3"/>
    <w:rsid w:val="00826F0D"/>
    <w:rsid w:val="00834078"/>
    <w:rsid w:val="00834F4E"/>
    <w:rsid w:val="00847AEC"/>
    <w:rsid w:val="008508DD"/>
    <w:rsid w:val="00856285"/>
    <w:rsid w:val="008602AE"/>
    <w:rsid w:val="008623F0"/>
    <w:rsid w:val="00862FE4"/>
    <w:rsid w:val="0086389A"/>
    <w:rsid w:val="00874D16"/>
    <w:rsid w:val="0087605E"/>
    <w:rsid w:val="00876F2A"/>
    <w:rsid w:val="00886540"/>
    <w:rsid w:val="00887789"/>
    <w:rsid w:val="008B1FEE"/>
    <w:rsid w:val="008B28D1"/>
    <w:rsid w:val="008B3184"/>
    <w:rsid w:val="008B5919"/>
    <w:rsid w:val="008B68A9"/>
    <w:rsid w:val="008C718E"/>
    <w:rsid w:val="008E3CAD"/>
    <w:rsid w:val="008E5AEF"/>
    <w:rsid w:val="008F5FFF"/>
    <w:rsid w:val="00901622"/>
    <w:rsid w:val="00902DCC"/>
    <w:rsid w:val="00903C32"/>
    <w:rsid w:val="00905AEE"/>
    <w:rsid w:val="00907BCC"/>
    <w:rsid w:val="00910407"/>
    <w:rsid w:val="00911671"/>
    <w:rsid w:val="00916B16"/>
    <w:rsid w:val="00916FC4"/>
    <w:rsid w:val="009173B9"/>
    <w:rsid w:val="009217FA"/>
    <w:rsid w:val="0092437E"/>
    <w:rsid w:val="00932282"/>
    <w:rsid w:val="00932F08"/>
    <w:rsid w:val="0093335D"/>
    <w:rsid w:val="0093613E"/>
    <w:rsid w:val="00937179"/>
    <w:rsid w:val="00937E92"/>
    <w:rsid w:val="00943026"/>
    <w:rsid w:val="00945560"/>
    <w:rsid w:val="00947FBA"/>
    <w:rsid w:val="00952F58"/>
    <w:rsid w:val="00953AD4"/>
    <w:rsid w:val="0096171C"/>
    <w:rsid w:val="0096395A"/>
    <w:rsid w:val="009639B4"/>
    <w:rsid w:val="0096686C"/>
    <w:rsid w:val="00966B81"/>
    <w:rsid w:val="00966F7F"/>
    <w:rsid w:val="009720AA"/>
    <w:rsid w:val="00977406"/>
    <w:rsid w:val="0098645D"/>
    <w:rsid w:val="009869D0"/>
    <w:rsid w:val="009915F2"/>
    <w:rsid w:val="00995144"/>
    <w:rsid w:val="009974C0"/>
    <w:rsid w:val="009A17AB"/>
    <w:rsid w:val="009A2896"/>
    <w:rsid w:val="009B1666"/>
    <w:rsid w:val="009B25AE"/>
    <w:rsid w:val="009C34EB"/>
    <w:rsid w:val="009C4D72"/>
    <w:rsid w:val="009C5F59"/>
    <w:rsid w:val="009C7720"/>
    <w:rsid w:val="009D3610"/>
    <w:rsid w:val="009D44EB"/>
    <w:rsid w:val="009E5267"/>
    <w:rsid w:val="009E5DD7"/>
    <w:rsid w:val="009F2434"/>
    <w:rsid w:val="009F3BD4"/>
    <w:rsid w:val="009F755C"/>
    <w:rsid w:val="00A00B09"/>
    <w:rsid w:val="00A02DB7"/>
    <w:rsid w:val="00A04739"/>
    <w:rsid w:val="00A0491A"/>
    <w:rsid w:val="00A06F4B"/>
    <w:rsid w:val="00A1140D"/>
    <w:rsid w:val="00A2168E"/>
    <w:rsid w:val="00A21F5C"/>
    <w:rsid w:val="00A22382"/>
    <w:rsid w:val="00A23111"/>
    <w:rsid w:val="00A23AFA"/>
    <w:rsid w:val="00A31B3E"/>
    <w:rsid w:val="00A339D6"/>
    <w:rsid w:val="00A404F7"/>
    <w:rsid w:val="00A414A7"/>
    <w:rsid w:val="00A52014"/>
    <w:rsid w:val="00A532F3"/>
    <w:rsid w:val="00A617BF"/>
    <w:rsid w:val="00A6323B"/>
    <w:rsid w:val="00A75C33"/>
    <w:rsid w:val="00A76167"/>
    <w:rsid w:val="00A7757B"/>
    <w:rsid w:val="00A81EDF"/>
    <w:rsid w:val="00A828F5"/>
    <w:rsid w:val="00A83FFF"/>
    <w:rsid w:val="00A8489E"/>
    <w:rsid w:val="00A85F53"/>
    <w:rsid w:val="00A86F93"/>
    <w:rsid w:val="00A90466"/>
    <w:rsid w:val="00A91B29"/>
    <w:rsid w:val="00A92FB5"/>
    <w:rsid w:val="00A9528D"/>
    <w:rsid w:val="00A979E2"/>
    <w:rsid w:val="00A97F50"/>
    <w:rsid w:val="00AA1760"/>
    <w:rsid w:val="00AA594E"/>
    <w:rsid w:val="00AB02A7"/>
    <w:rsid w:val="00AB143E"/>
    <w:rsid w:val="00AB1990"/>
    <w:rsid w:val="00AB3077"/>
    <w:rsid w:val="00AB3435"/>
    <w:rsid w:val="00AB791D"/>
    <w:rsid w:val="00AC0F35"/>
    <w:rsid w:val="00AC29F3"/>
    <w:rsid w:val="00AC50F4"/>
    <w:rsid w:val="00AC5B6A"/>
    <w:rsid w:val="00AE31E2"/>
    <w:rsid w:val="00AF4465"/>
    <w:rsid w:val="00AF4FA4"/>
    <w:rsid w:val="00B00060"/>
    <w:rsid w:val="00B004EE"/>
    <w:rsid w:val="00B005FA"/>
    <w:rsid w:val="00B00747"/>
    <w:rsid w:val="00B10A54"/>
    <w:rsid w:val="00B11A44"/>
    <w:rsid w:val="00B14F5E"/>
    <w:rsid w:val="00B208B9"/>
    <w:rsid w:val="00B2224C"/>
    <w:rsid w:val="00B231E5"/>
    <w:rsid w:val="00B261E4"/>
    <w:rsid w:val="00B26661"/>
    <w:rsid w:val="00B27B48"/>
    <w:rsid w:val="00B3039B"/>
    <w:rsid w:val="00B37492"/>
    <w:rsid w:val="00B466F0"/>
    <w:rsid w:val="00B47818"/>
    <w:rsid w:val="00B5009A"/>
    <w:rsid w:val="00B50466"/>
    <w:rsid w:val="00B50739"/>
    <w:rsid w:val="00B60730"/>
    <w:rsid w:val="00B70AB7"/>
    <w:rsid w:val="00B835B4"/>
    <w:rsid w:val="00B83A09"/>
    <w:rsid w:val="00B83A81"/>
    <w:rsid w:val="00B83E90"/>
    <w:rsid w:val="00B85CCA"/>
    <w:rsid w:val="00B861BF"/>
    <w:rsid w:val="00B8664F"/>
    <w:rsid w:val="00B8759D"/>
    <w:rsid w:val="00B90AB3"/>
    <w:rsid w:val="00B94457"/>
    <w:rsid w:val="00B96FB3"/>
    <w:rsid w:val="00BA07FC"/>
    <w:rsid w:val="00BA21D1"/>
    <w:rsid w:val="00BA34E1"/>
    <w:rsid w:val="00BA4503"/>
    <w:rsid w:val="00BA6DE3"/>
    <w:rsid w:val="00BA7725"/>
    <w:rsid w:val="00BB4079"/>
    <w:rsid w:val="00BB56EB"/>
    <w:rsid w:val="00BC09D9"/>
    <w:rsid w:val="00BC14C6"/>
    <w:rsid w:val="00BC1FE6"/>
    <w:rsid w:val="00BC347C"/>
    <w:rsid w:val="00BC6C2A"/>
    <w:rsid w:val="00BD3C9C"/>
    <w:rsid w:val="00BD3D60"/>
    <w:rsid w:val="00BD7F0F"/>
    <w:rsid w:val="00BE00DE"/>
    <w:rsid w:val="00BE050B"/>
    <w:rsid w:val="00BE60C4"/>
    <w:rsid w:val="00BE7477"/>
    <w:rsid w:val="00BF2049"/>
    <w:rsid w:val="00BF3627"/>
    <w:rsid w:val="00BF66CB"/>
    <w:rsid w:val="00BF794B"/>
    <w:rsid w:val="00C02A22"/>
    <w:rsid w:val="00C02B87"/>
    <w:rsid w:val="00C13293"/>
    <w:rsid w:val="00C13AF9"/>
    <w:rsid w:val="00C203E7"/>
    <w:rsid w:val="00C2146C"/>
    <w:rsid w:val="00C21B45"/>
    <w:rsid w:val="00C22D74"/>
    <w:rsid w:val="00C26E3C"/>
    <w:rsid w:val="00C26ECF"/>
    <w:rsid w:val="00C27906"/>
    <w:rsid w:val="00C30113"/>
    <w:rsid w:val="00C32B46"/>
    <w:rsid w:val="00C355D1"/>
    <w:rsid w:val="00C4086D"/>
    <w:rsid w:val="00C4335C"/>
    <w:rsid w:val="00C4715F"/>
    <w:rsid w:val="00C4729D"/>
    <w:rsid w:val="00C506C6"/>
    <w:rsid w:val="00C50C1A"/>
    <w:rsid w:val="00C54724"/>
    <w:rsid w:val="00C554CD"/>
    <w:rsid w:val="00C6452A"/>
    <w:rsid w:val="00C64AAF"/>
    <w:rsid w:val="00C655D1"/>
    <w:rsid w:val="00C6736C"/>
    <w:rsid w:val="00C8218D"/>
    <w:rsid w:val="00C841F9"/>
    <w:rsid w:val="00C8555E"/>
    <w:rsid w:val="00C86B4C"/>
    <w:rsid w:val="00C90A3E"/>
    <w:rsid w:val="00CA1896"/>
    <w:rsid w:val="00CB1423"/>
    <w:rsid w:val="00CB5B28"/>
    <w:rsid w:val="00CC07C6"/>
    <w:rsid w:val="00CC5DA6"/>
    <w:rsid w:val="00CD0AA6"/>
    <w:rsid w:val="00CD40D6"/>
    <w:rsid w:val="00CE07B8"/>
    <w:rsid w:val="00CF29B3"/>
    <w:rsid w:val="00CF36E9"/>
    <w:rsid w:val="00CF5371"/>
    <w:rsid w:val="00D01389"/>
    <w:rsid w:val="00D0323A"/>
    <w:rsid w:val="00D0559F"/>
    <w:rsid w:val="00D06200"/>
    <w:rsid w:val="00D06538"/>
    <w:rsid w:val="00D077E9"/>
    <w:rsid w:val="00D120F9"/>
    <w:rsid w:val="00D148C6"/>
    <w:rsid w:val="00D14B3E"/>
    <w:rsid w:val="00D300B4"/>
    <w:rsid w:val="00D36AB7"/>
    <w:rsid w:val="00D42CB7"/>
    <w:rsid w:val="00D47B3C"/>
    <w:rsid w:val="00D5033D"/>
    <w:rsid w:val="00D5413D"/>
    <w:rsid w:val="00D547E9"/>
    <w:rsid w:val="00D55A3F"/>
    <w:rsid w:val="00D5608D"/>
    <w:rsid w:val="00D56C4F"/>
    <w:rsid w:val="00D56D03"/>
    <w:rsid w:val="00D570A9"/>
    <w:rsid w:val="00D67219"/>
    <w:rsid w:val="00D67DE6"/>
    <w:rsid w:val="00D70D02"/>
    <w:rsid w:val="00D72BBD"/>
    <w:rsid w:val="00D73626"/>
    <w:rsid w:val="00D76853"/>
    <w:rsid w:val="00D770C7"/>
    <w:rsid w:val="00D80850"/>
    <w:rsid w:val="00D81550"/>
    <w:rsid w:val="00D81AA2"/>
    <w:rsid w:val="00D825F8"/>
    <w:rsid w:val="00D856E2"/>
    <w:rsid w:val="00D86945"/>
    <w:rsid w:val="00D90290"/>
    <w:rsid w:val="00D9076D"/>
    <w:rsid w:val="00D92996"/>
    <w:rsid w:val="00D95647"/>
    <w:rsid w:val="00D97B4A"/>
    <w:rsid w:val="00DA111A"/>
    <w:rsid w:val="00DA1D04"/>
    <w:rsid w:val="00DA4CC0"/>
    <w:rsid w:val="00DB1347"/>
    <w:rsid w:val="00DB5CE9"/>
    <w:rsid w:val="00DB7416"/>
    <w:rsid w:val="00DC282C"/>
    <w:rsid w:val="00DC4089"/>
    <w:rsid w:val="00DC5BEE"/>
    <w:rsid w:val="00DC7847"/>
    <w:rsid w:val="00DD139D"/>
    <w:rsid w:val="00DD152F"/>
    <w:rsid w:val="00DD262D"/>
    <w:rsid w:val="00DE0025"/>
    <w:rsid w:val="00DE213F"/>
    <w:rsid w:val="00DE3C37"/>
    <w:rsid w:val="00DE43F0"/>
    <w:rsid w:val="00DF027C"/>
    <w:rsid w:val="00DF09B8"/>
    <w:rsid w:val="00E00A32"/>
    <w:rsid w:val="00E03770"/>
    <w:rsid w:val="00E04295"/>
    <w:rsid w:val="00E0665F"/>
    <w:rsid w:val="00E07C30"/>
    <w:rsid w:val="00E10414"/>
    <w:rsid w:val="00E104DD"/>
    <w:rsid w:val="00E11EAC"/>
    <w:rsid w:val="00E12896"/>
    <w:rsid w:val="00E14283"/>
    <w:rsid w:val="00E14631"/>
    <w:rsid w:val="00E148BB"/>
    <w:rsid w:val="00E2016A"/>
    <w:rsid w:val="00E22ACD"/>
    <w:rsid w:val="00E2705F"/>
    <w:rsid w:val="00E33632"/>
    <w:rsid w:val="00E36A71"/>
    <w:rsid w:val="00E373F2"/>
    <w:rsid w:val="00E4461E"/>
    <w:rsid w:val="00E46109"/>
    <w:rsid w:val="00E47C41"/>
    <w:rsid w:val="00E553B9"/>
    <w:rsid w:val="00E61997"/>
    <w:rsid w:val="00E620B0"/>
    <w:rsid w:val="00E655B6"/>
    <w:rsid w:val="00E678E1"/>
    <w:rsid w:val="00E67A9D"/>
    <w:rsid w:val="00E702E0"/>
    <w:rsid w:val="00E73E2A"/>
    <w:rsid w:val="00E81B40"/>
    <w:rsid w:val="00E86C99"/>
    <w:rsid w:val="00E87F0B"/>
    <w:rsid w:val="00EA47DA"/>
    <w:rsid w:val="00EA4921"/>
    <w:rsid w:val="00EB0E41"/>
    <w:rsid w:val="00EB18AF"/>
    <w:rsid w:val="00EB1AD7"/>
    <w:rsid w:val="00ED04AD"/>
    <w:rsid w:val="00ED31F9"/>
    <w:rsid w:val="00ED7CDB"/>
    <w:rsid w:val="00EE04B7"/>
    <w:rsid w:val="00EE29F8"/>
    <w:rsid w:val="00EE2C49"/>
    <w:rsid w:val="00EE35D0"/>
    <w:rsid w:val="00EE4C0A"/>
    <w:rsid w:val="00EF2109"/>
    <w:rsid w:val="00EF2EA3"/>
    <w:rsid w:val="00EF555B"/>
    <w:rsid w:val="00EF6723"/>
    <w:rsid w:val="00F027BB"/>
    <w:rsid w:val="00F02F07"/>
    <w:rsid w:val="00F0446C"/>
    <w:rsid w:val="00F04848"/>
    <w:rsid w:val="00F11DCF"/>
    <w:rsid w:val="00F1485A"/>
    <w:rsid w:val="00F162EA"/>
    <w:rsid w:val="00F1718A"/>
    <w:rsid w:val="00F2217C"/>
    <w:rsid w:val="00F2462F"/>
    <w:rsid w:val="00F27CEB"/>
    <w:rsid w:val="00F33158"/>
    <w:rsid w:val="00F3526A"/>
    <w:rsid w:val="00F407A5"/>
    <w:rsid w:val="00F41F1C"/>
    <w:rsid w:val="00F426FA"/>
    <w:rsid w:val="00F4523C"/>
    <w:rsid w:val="00F4796C"/>
    <w:rsid w:val="00F52D27"/>
    <w:rsid w:val="00F54BC8"/>
    <w:rsid w:val="00F55857"/>
    <w:rsid w:val="00F5617F"/>
    <w:rsid w:val="00F57428"/>
    <w:rsid w:val="00F66C07"/>
    <w:rsid w:val="00F72153"/>
    <w:rsid w:val="00F738FF"/>
    <w:rsid w:val="00F75C32"/>
    <w:rsid w:val="00F75ED7"/>
    <w:rsid w:val="00F80FE3"/>
    <w:rsid w:val="00F81C67"/>
    <w:rsid w:val="00F83527"/>
    <w:rsid w:val="00F878CF"/>
    <w:rsid w:val="00F95CE3"/>
    <w:rsid w:val="00FB42E1"/>
    <w:rsid w:val="00FC3688"/>
    <w:rsid w:val="00FC4541"/>
    <w:rsid w:val="00FD0649"/>
    <w:rsid w:val="00FD2F06"/>
    <w:rsid w:val="00FD37A4"/>
    <w:rsid w:val="00FD3A18"/>
    <w:rsid w:val="00FD3B14"/>
    <w:rsid w:val="00FD4C5B"/>
    <w:rsid w:val="00FD583F"/>
    <w:rsid w:val="00FD7488"/>
    <w:rsid w:val="00FE299D"/>
    <w:rsid w:val="00FE4C3F"/>
    <w:rsid w:val="00FE549A"/>
    <w:rsid w:val="00FE7113"/>
    <w:rsid w:val="00FF02DB"/>
    <w:rsid w:val="00FF16B4"/>
    <w:rsid w:val="00FF7DF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C47CF12"/>
  <w15:docId w15:val="{1E0A1806-99B7-4F74-AF2E-20711035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5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Nadpis1">
    <w:name w:val="heading 1"/>
    <w:basedOn w:val="Normln"/>
    <w:link w:val="Nadpis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5"/>
    <w:semiHidden/>
    <w:unhideWhenUsed/>
    <w:qFormat/>
    <w:rsid w:val="00E446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E446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NzevChar">
    <w:name w:val="Název Char"/>
    <w:basedOn w:val="Standardnpsmoodstavce"/>
    <w:link w:val="Nzev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Podnadpis">
    <w:name w:val="Subtitle"/>
    <w:basedOn w:val="Normln"/>
    <w:link w:val="Podnadpis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PodnadpisChar">
    <w:name w:val="Podnadpis Char"/>
    <w:basedOn w:val="Standardnpsmoodstavce"/>
    <w:link w:val="Podnadpis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Nadpis1Char">
    <w:name w:val="Nadpis 1 Char"/>
    <w:basedOn w:val="Standardnpsmoodstavce"/>
    <w:link w:val="Nadpis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Zhlav">
    <w:name w:val="header"/>
    <w:basedOn w:val="Normln"/>
    <w:link w:val="ZhlavChar"/>
    <w:uiPriority w:val="8"/>
    <w:unhideWhenUsed/>
    <w:rsid w:val="005037F0"/>
  </w:style>
  <w:style w:type="character" w:customStyle="1" w:styleId="ZhlavChar">
    <w:name w:val="Záhlaví Char"/>
    <w:basedOn w:val="Standardnpsmoodstavce"/>
    <w:link w:val="Zhlav"/>
    <w:uiPriority w:val="8"/>
    <w:rsid w:val="0093335D"/>
  </w:style>
  <w:style w:type="paragraph" w:styleId="Zpat">
    <w:name w:val="footer"/>
    <w:basedOn w:val="Normln"/>
    <w:link w:val="ZpatChar"/>
    <w:uiPriority w:val="99"/>
    <w:unhideWhenUsed/>
    <w:rsid w:val="005037F0"/>
  </w:style>
  <w:style w:type="character" w:customStyle="1" w:styleId="ZpatChar">
    <w:name w:val="Zápatí Char"/>
    <w:basedOn w:val="Standardnpsmoodstavce"/>
    <w:link w:val="Zpat"/>
    <w:uiPriority w:val="99"/>
    <w:rsid w:val="005037F0"/>
    <w:rPr>
      <w:sz w:val="24"/>
      <w:szCs w:val="24"/>
    </w:rPr>
  </w:style>
  <w:style w:type="paragraph" w:customStyle="1" w:styleId="Jmno">
    <w:name w:val="Jméno"/>
    <w:basedOn w:val="Normln"/>
    <w:uiPriority w:val="3"/>
    <w:qFormat/>
    <w:rsid w:val="00B231E5"/>
    <w:pPr>
      <w:spacing w:line="240" w:lineRule="auto"/>
      <w:jc w:val="right"/>
    </w:pPr>
  </w:style>
  <w:style w:type="character" w:customStyle="1" w:styleId="Nadpis2Char">
    <w:name w:val="Nadpis 2 Char"/>
    <w:basedOn w:val="Standardnpsmoodstavce"/>
    <w:link w:val="Nadpis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Mkatabulky">
    <w:name w:val="Table Grid"/>
    <w:basedOn w:val="Normlntabulka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unhideWhenUsed/>
    <w:rsid w:val="00D86945"/>
    <w:rPr>
      <w:color w:val="808080"/>
    </w:rPr>
  </w:style>
  <w:style w:type="paragraph" w:customStyle="1" w:styleId="Obsah">
    <w:name w:val="Obsah"/>
    <w:basedOn w:val="Normln"/>
    <w:link w:val="Znakobsahu"/>
    <w:qFormat/>
    <w:rsid w:val="00DF027C"/>
    <w:rPr>
      <w:b w:val="0"/>
    </w:rPr>
  </w:style>
  <w:style w:type="paragraph" w:customStyle="1" w:styleId="Zvraznntext">
    <w:name w:val="Zvýrazněný text"/>
    <w:basedOn w:val="Normln"/>
    <w:link w:val="Znakzvraznnhotextu"/>
    <w:qFormat/>
    <w:rsid w:val="00DF027C"/>
  </w:style>
  <w:style w:type="character" w:customStyle="1" w:styleId="Znakobsahu">
    <w:name w:val="Znak obsahu"/>
    <w:basedOn w:val="Standardnpsmoodstavce"/>
    <w:link w:val="Obsah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Znakzvraznnhotextu">
    <w:name w:val="Znak zvýrazněného textu"/>
    <w:basedOn w:val="Standardnpsmoodstavce"/>
    <w:link w:val="Zvraznn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Bezmezer">
    <w:name w:val="No Spacing"/>
    <w:uiPriority w:val="1"/>
    <w:qFormat/>
    <w:rsid w:val="0014703E"/>
    <w:pPr>
      <w:spacing w:after="0" w:line="240" w:lineRule="auto"/>
    </w:pPr>
    <w:rPr>
      <w:sz w:val="22"/>
      <w:szCs w:val="22"/>
    </w:rPr>
  </w:style>
  <w:style w:type="paragraph" w:styleId="Odstavecseseznamem">
    <w:name w:val="List Paragraph"/>
    <w:aliases w:val="List Paragraph (Czech Tourism),Dot pt,No Spacing1,List Paragraph Char Char Char,Indicator Text,Numbered Para 1,List Paragraph à moi,LISTA,List Paragraph1,Listaszerű bekezdés2,Listaszerű bekezdés1,Listaszerű bekezdés3,tabulky"/>
    <w:basedOn w:val="Normln"/>
    <w:link w:val="OdstavecseseznamemChar"/>
    <w:uiPriority w:val="35"/>
    <w:qFormat/>
    <w:rsid w:val="0014703E"/>
    <w:pPr>
      <w:spacing w:after="200"/>
      <w:ind w:left="720"/>
      <w:contextualSpacing/>
    </w:pPr>
    <w:rPr>
      <w:rFonts w:eastAsiaTheme="minorHAnsi"/>
      <w:b w:val="0"/>
      <w:color w:val="auto"/>
      <w:sz w:val="22"/>
    </w:rPr>
  </w:style>
  <w:style w:type="character" w:styleId="Hypertextovodkaz">
    <w:name w:val="Hyperlink"/>
    <w:basedOn w:val="Standardnpsmoodstavce"/>
    <w:uiPriority w:val="99"/>
    <w:unhideWhenUsed/>
    <w:rsid w:val="0014703E"/>
    <w:rPr>
      <w:color w:val="0000FF"/>
      <w:u w:val="single"/>
    </w:rPr>
  </w:style>
  <w:style w:type="character" w:customStyle="1" w:styleId="OdstavecseseznamemChar">
    <w:name w:val="Odstavec se seznamem Char"/>
    <w:aliases w:val="List Paragraph (Czech Tourism) Char,Dot pt Char,No Spacing1 Char,List Paragraph Char Char Char Char,Indicator Text Char,Numbered Para 1 Char,List Paragraph à moi Char,LISTA Char,List Paragraph1 Char,Listaszerű bekezdés2 Char"/>
    <w:link w:val="Odstavecseseznamem"/>
    <w:uiPriority w:val="34"/>
    <w:qFormat/>
    <w:locked/>
    <w:rsid w:val="0014703E"/>
    <w:rPr>
      <w:sz w:val="22"/>
      <w:szCs w:val="22"/>
    </w:rPr>
  </w:style>
  <w:style w:type="paragraph" w:styleId="Textpoznpodarou">
    <w:name w:val="footnote text"/>
    <w:aliases w:val=" Char, Char Char Char,Char,Char Char Char"/>
    <w:basedOn w:val="Normln"/>
    <w:link w:val="TextpoznpodarouChar"/>
    <w:uiPriority w:val="99"/>
    <w:semiHidden/>
    <w:rsid w:val="00DC4089"/>
    <w:pPr>
      <w:spacing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aliases w:val=" Char Char, Char Char Char Char,Char Char,Char Char Char Char"/>
    <w:basedOn w:val="Standardnpsmoodstavce"/>
    <w:link w:val="Textpoznpodarou"/>
    <w:uiPriority w:val="99"/>
    <w:semiHidden/>
    <w:rsid w:val="00DC4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C4089"/>
    <w:rPr>
      <w:vertAlign w:val="superscript"/>
    </w:rPr>
  </w:style>
  <w:style w:type="paragraph" w:customStyle="1" w:styleId="text-large">
    <w:name w:val="text-large"/>
    <w:basedOn w:val="Normln"/>
    <w:rsid w:val="006E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530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5"/>
    <w:semiHidden/>
    <w:rsid w:val="00E4461E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1"/>
    <w:semiHidden/>
    <w:rsid w:val="00E4461E"/>
    <w:rPr>
      <w:rFonts w:asciiTheme="majorHAnsi" w:eastAsiaTheme="majorEastAsia" w:hAnsiTheme="majorHAnsi" w:cstheme="majorBidi"/>
      <w:b/>
      <w:i/>
      <w:iCs/>
      <w:color w:val="013A57" w:themeColor="accent1" w:themeShade="BF"/>
      <w:sz w:val="28"/>
      <w:szCs w:val="22"/>
    </w:rPr>
  </w:style>
  <w:style w:type="paragraph" w:customStyle="1" w:styleId="Default">
    <w:name w:val="Default"/>
    <w:rsid w:val="000706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6F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344BA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407A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70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0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09CD"/>
    <w:rPr>
      <w:rFonts w:eastAsiaTheme="minorEastAsia"/>
      <w:b/>
      <w:color w:val="082A75" w:themeColor="text2"/>
      <w:sz w:val="20"/>
      <w:szCs w:val="20"/>
    </w:rPr>
  </w:style>
  <w:style w:type="paragraph" w:customStyle="1" w:styleId="documentannotation">
    <w:name w:val="documentannotation"/>
    <w:basedOn w:val="Normln"/>
    <w:rsid w:val="0082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078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078"/>
    <w:rPr>
      <w:rFonts w:eastAsiaTheme="minorEastAsia"/>
      <w:b/>
      <w:bCs/>
      <w:color w:val="082A75" w:themeColor="text2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26F0D"/>
    <w:rPr>
      <w:color w:val="3592C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helovam\AppData\Local\Microsoft\Office\16.0\DTS\cs-CZ%7b5CCECA2C-F4C1-4A96-AC3B-0875B8B2C897%7d\%7b77E95D1A-AE89-49FE-99EE-E567DC74DC51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032037B8CC4739BA2DA327D25FE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19FCA-B2AA-4BE6-9976-47E0D90337D7}"/>
      </w:docPartPr>
      <w:docPartBody>
        <w:p w:rsidR="0089316A" w:rsidRDefault="00AD338E">
          <w:pPr>
            <w:pStyle w:val="C5032037B8CC4739BA2DA327D25FEF75"/>
          </w:pPr>
          <w:r w:rsidRPr="00D86945">
            <w:rPr>
              <w:rStyle w:val="PodnadpisChar"/>
              <w:b/>
              <w:lang w:bidi="cs-CZ"/>
            </w:rPr>
            <w:fldChar w:fldCharType="begin"/>
          </w:r>
          <w:r w:rsidRPr="00D86945">
            <w:rPr>
              <w:rStyle w:val="PodnadpisChar"/>
              <w:lang w:bidi="cs-CZ"/>
            </w:rPr>
            <w:instrText xml:space="preserve"> DATE  \@ "MMMM d"  \* MERGEFORMAT </w:instrText>
          </w:r>
          <w:r w:rsidRPr="00D86945">
            <w:rPr>
              <w:rStyle w:val="PodnadpisChar"/>
              <w:b/>
              <w:lang w:bidi="cs-CZ"/>
            </w:rPr>
            <w:fldChar w:fldCharType="separate"/>
          </w:r>
          <w:r>
            <w:rPr>
              <w:rStyle w:val="PodnadpisChar"/>
              <w:lang w:bidi="cs-CZ"/>
            </w:rPr>
            <w:t>únor 3</w:t>
          </w:r>
          <w:r w:rsidRPr="00D86945">
            <w:rPr>
              <w:rStyle w:val="PodnadpisChar"/>
              <w:b/>
              <w:lang w:bidi="cs-CZ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6DB"/>
    <w:rsid w:val="00150B01"/>
    <w:rsid w:val="003C274D"/>
    <w:rsid w:val="0081649A"/>
    <w:rsid w:val="0089316A"/>
    <w:rsid w:val="008C16DB"/>
    <w:rsid w:val="008D5E86"/>
    <w:rsid w:val="0096761F"/>
    <w:rsid w:val="009A171D"/>
    <w:rsid w:val="00AB7DCF"/>
    <w:rsid w:val="00AD338E"/>
    <w:rsid w:val="00CA3A9D"/>
    <w:rsid w:val="00CB4008"/>
    <w:rsid w:val="00F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C5032037B8CC4739BA2DA327D25FEF75">
    <w:name w:val="C5032037B8CC4739BA2DA327D25FE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A49B-3052-477D-B7A9-8EB917CF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{77E95D1A-AE89-49FE-99EE-E567DC74DC51}tf16392850_win32.dotx</Template>
  <TotalTime>2492</TotalTime>
  <Pages>15</Pages>
  <Words>4089</Words>
  <Characters>24128</Characters>
  <Application>Microsoft Office Word</Application>
  <DocSecurity>0</DocSecurity>
  <Lines>201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Matochová Michala</dc:creator>
  <cp:keywords/>
  <cp:lastModifiedBy>Matochová Michala</cp:lastModifiedBy>
  <cp:revision>360</cp:revision>
  <cp:lastPrinted>2006-08-01T17:47:00Z</cp:lastPrinted>
  <dcterms:created xsi:type="dcterms:W3CDTF">2022-06-02T17:54:00Z</dcterms:created>
  <dcterms:modified xsi:type="dcterms:W3CDTF">2023-12-10T20:34:00Z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