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6E623A92" w:rsidR="00D077E9" w:rsidRPr="008E3CAD" w:rsidRDefault="006A4215" w:rsidP="00D70D02">
      <w:pPr>
        <w:rPr>
          <w:noProof/>
          <w:color w:val="0F0D29" w:themeColor="text1"/>
        </w:rPr>
      </w:pPr>
      <w:r w:rsidRPr="008E3CAD">
        <w:rPr>
          <w:noProof/>
          <w:color w:val="0F0D29" w:themeColor="text1"/>
          <w:lang w:eastAsia="cs-CZ"/>
        </w:rPr>
        <mc:AlternateContent>
          <mc:Choice Requires="wps">
            <w:drawing>
              <wp:anchor distT="0" distB="0" distL="114300" distR="114300" simplePos="0" relativeHeight="251663360" behindDoc="1" locked="0" layoutInCell="1" allowOverlap="1" wp14:anchorId="46487825" wp14:editId="6538A143">
                <wp:simplePos x="0" y="0"/>
                <wp:positionH relativeFrom="column">
                  <wp:posOffset>-203835</wp:posOffset>
                </wp:positionH>
                <wp:positionV relativeFrom="page">
                  <wp:posOffset>1184910</wp:posOffset>
                </wp:positionV>
                <wp:extent cx="3938905" cy="8656955"/>
                <wp:effectExtent l="0" t="0" r="444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38905" cy="86569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893A3" id="Obdélník 3" o:spid="_x0000_s1026" alt="bílý obdélník pro text na titulní straně" style="position:absolute;margin-left:-16.05pt;margin-top:93.3pt;width:310.15pt;height:68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JhHfQIAAF8FAAAOAAAAZHJzL2Uyb0RvYy54bWysVFFv2yAQfp+0/4B4X+2kTddEdaqoVadJ&#10;VVutnfpMMMRImGNA4mS/fgfYTtdVe5iWBwLcd9/dfb7j8mrfarITziswFZ2clJQIw6FWZlPR78+3&#10;ny4o8YGZmmkwoqIH4enV8uOHy84uxBQa0LVwBEmMX3S2ok0IdlEUnjeiZf4ErDBolOBaFvDoNkXt&#10;WIfsrS6mZXledOBq64AL7/H2JhvpMvFLKXh4kNKLQHRFMbeQVpfWdVyL5SVbbByzjeJ9GuwfsmiZ&#10;Mhh0pLphgZGtU39QtYo78CDDCYe2ACkVF6kGrGZSvqnmqWFWpFpQHG9Hmfz/o+X3uyf76FCGzvqF&#10;x22sYi9dG/8xP7JPYh1GscQ+EI6Xp/PTi3k5o4Sj7eJ8dj6fzaKcxdHdOh++CGhJ3FTU4ddIIrHd&#10;nQ8ZOkBiNA9a1bdK63SIHSCutSM7ht9uvZn05L+htIlYA9ErE8ab4lhL2oWDFhGnzTchiaox+2lK&#10;JLXZMQjjXJgwyaaG1SLHnpX4G6IPaaVCE2Fklhh/5O4JBmQmGbhzlj0+uorUpaNz+bfEsvPokSKD&#10;CaNzqwy49wg0VtVHzvhBpCxNVGkN9eHREQd5Rrzltwo/2x3z4ZE5HAocHxz08ICL1NBVFPodJQ24&#10;n+/dRzz2Klop6XDIKup/bJkTlOivBrt4Pjk7i1OZDmezz1M8uNeW9WuL2bbXgL0wwSfF8rSN+KCH&#10;rXTQvuB7sIpR0cQMx9gV5cENh+uQhx9fFC5WqwTDSbQs3JknyyN5VDW25fP+hTnb927Atr+HYSDZ&#10;4k0LZ2z0NLDaBpAq9fdR115vnOLUOP2LE5+J1+eEOr6Ly18AAAD//wMAUEsDBBQABgAIAAAAIQDf&#10;DgJf4QAAAAwBAAAPAAAAZHJzL2Rvd25yZXYueG1sTI/BTsMwDIbvSLxDZCRuW7qOdl1pOiEEE+PG&#10;tnLOmtBWJE5p0q28PeYER/v/9PtzsZmsYWc9+M6hgMU8AqaxdqrDRsDx8DzLgPkgUUnjUAv41h42&#10;5fVVIXPlLvimz/vQMCpBn0sBbQh9zrmvW22ln7teI2UfbrAy0Dg0XA3yQuXW8DiKUm5lh3Shlb1+&#10;bHX9uR+tgDFZ7Z6m96/tsoqq1Wtlkpew7YW4vZke7oEFPYU/GH71SR1Kcjq5EZVnRsBsGS8IpSBL&#10;U2BEJFkWAzvRJrlbr4GXBf//RPkDAAD//wMAUEsBAi0AFAAGAAgAAAAhALaDOJL+AAAA4QEAABMA&#10;AAAAAAAAAAAAAAAAAAAAAFtDb250ZW50X1R5cGVzXS54bWxQSwECLQAUAAYACAAAACEAOP0h/9YA&#10;AACUAQAACwAAAAAAAAAAAAAAAAAvAQAAX3JlbHMvLnJlbHNQSwECLQAUAAYACAAAACEApNSYR30C&#10;AABfBQAADgAAAAAAAAAAAAAAAAAuAgAAZHJzL2Uyb0RvYy54bWxQSwECLQAUAAYACAAAACEA3w4C&#10;X+EAAAAMAQAADwAAAAAAAAAAAAAAAADXBAAAZHJzL2Rvd25yZXYueG1sUEsFBgAAAAAEAAQA8wAA&#10;AOUFAAAAAA==&#10;" fillcolor="white [3212]" stroked="f" strokeweight="2pt">
                <w10:wrap anchory="page"/>
              </v:rect>
            </w:pict>
          </mc:Fallback>
        </mc:AlternateContent>
      </w:r>
      <w:r w:rsidR="00240052" w:rsidRPr="008E3CAD">
        <w:rPr>
          <w:noProof/>
          <w:color w:val="0F0D29" w:themeColor="text1"/>
          <w:lang w:eastAsia="cs-CZ"/>
        </w:rPr>
        <w:drawing>
          <wp:anchor distT="0" distB="0" distL="114300" distR="114300" simplePos="0" relativeHeight="251662336" behindDoc="1" locked="0" layoutInCell="1" allowOverlap="1" wp14:anchorId="5D3EB1F1" wp14:editId="1FC949FB">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79AB1C24" wp14:editId="528C0C23">
                      <wp:extent cx="3528695" cy="2433099"/>
                      <wp:effectExtent l="0" t="0" r="0" b="5715"/>
                      <wp:docPr id="8" name="Textové pole 8"/>
                      <wp:cNvGraphicFramePr/>
                      <a:graphic xmlns:a="http://schemas.openxmlformats.org/drawingml/2006/main">
                        <a:graphicData uri="http://schemas.microsoft.com/office/word/2010/wordprocessingShape">
                          <wps:wsp>
                            <wps:cNvSpPr txBox="1"/>
                            <wps:spPr>
                              <a:xfrm>
                                <a:off x="0" y="0"/>
                                <a:ext cx="3528695" cy="2433099"/>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0B30C78B" w:rsidR="00240052" w:rsidRPr="00815900" w:rsidRDefault="00F738FF" w:rsidP="00D077E9">
                                  <w:pPr>
                                    <w:pStyle w:val="Nzev"/>
                                    <w:spacing w:after="0"/>
                                    <w:rPr>
                                      <w:color w:val="0F0D29" w:themeColor="text1"/>
                                      <w:sz w:val="56"/>
                                      <w:szCs w:val="48"/>
                                    </w:rPr>
                                  </w:pPr>
                                  <w:proofErr w:type="gramStart"/>
                                  <w:r>
                                    <w:rPr>
                                      <w:color w:val="0F0D29" w:themeColor="text1"/>
                                      <w:sz w:val="56"/>
                                      <w:szCs w:val="48"/>
                                      <w:lang w:bidi="cs-CZ"/>
                                    </w:rPr>
                                    <w:t>Červen - červenec</w:t>
                                  </w:r>
                                  <w:proofErr w:type="gramEnd"/>
                                  <w:r w:rsidR="00947FBA">
                                    <w:rPr>
                                      <w:color w:val="0F0D29" w:themeColor="text1"/>
                                      <w:sz w:val="56"/>
                                      <w:szCs w:val="48"/>
                                      <w:lang w:bidi="cs-CZ"/>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LF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Pp6G42n1LCMTaajMfpfB7qJNffjXX+u4CaBCOnFnmJ&#10;cLHjxvku9ZwSumlYV0pFbpQmTU5n42kaf7hEsLjS2OM6bLB8u2v7DXZQnHAxCx3nzvB1hc03zPkX&#10;ZpFk3AWF65/xkAqwCfQWJSXYX3+7D/mIPUYpaVA0OXU/D8wKStQPjazMh5NJUFl0JtOvI3TsbWR3&#10;G9GH+gFQl0N8IoZHM+R7dTalhfod9b0KXTHENMfeOfVn88F3Usb3wcVqFZNQV4b5jd4aHkoHOAO0&#10;r+07s6bH3yN1T3CWF8s+0NDldkSsDh5kFTkKAHeo9rijJiPL/fsJor/1Y9b1lS9/AwAA//8DAFBL&#10;AwQUAAYACAAAACEALhTzz90AAAAFAQAADwAAAGRycy9kb3ducmV2LnhtbEyPQUvDQBCF74L/YRnB&#10;m92YEg0xm1ICRRA9tPbibZKdJsHd2ZjdttFf7+pFLwOP93jvm3I1WyNONPnBsYLbRQKCuHV64E7B&#10;/nVzk4PwAVmjcUwKPsnDqrq8KLHQ7sxbOu1CJ2IJ+wIV9CGMhZS+7cmiX7iROHoHN1kMUU6d1BOe&#10;Y7k1Mk2SO2lx4LjQ40h1T+377mgVPNWbF9w2qc2/TP34fFiPH/u3TKnrq3n9ACLQHP7C8IMf0aGK&#10;TI07svbCKIiPhN8bvSzL7kE0Cpb5MgVZlfI/ffUNAAD//wMAUEsBAi0AFAAGAAgAAAAhALaDOJL+&#10;AAAA4QEAABMAAAAAAAAAAAAAAAAAAAAAAFtDb250ZW50X1R5cGVzXS54bWxQSwECLQAUAAYACAAA&#10;ACEAOP0h/9YAAACUAQAACwAAAAAAAAAAAAAAAAAvAQAAX3JlbHMvLnJlbHNQSwECLQAUAAYACAAA&#10;ACEAH8pixRgCAAAtBAAADgAAAAAAAAAAAAAAAAAuAgAAZHJzL2Uyb0RvYy54bWxQSwECLQAUAAYA&#10;CAAAACEALhTzz90AAAAFAQAADwAAAAAAAAAAAAAAAAByBAAAZHJzL2Rvd25yZXYueG1sUEsFBgAA&#10;AAAEAAQA8wAAAHw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0B30C78B" w:rsidR="00240052" w:rsidRPr="00815900" w:rsidRDefault="00F738FF" w:rsidP="00D077E9">
                            <w:pPr>
                              <w:pStyle w:val="Nzev"/>
                              <w:spacing w:after="0"/>
                              <w:rPr>
                                <w:color w:val="0F0D29" w:themeColor="text1"/>
                                <w:sz w:val="56"/>
                                <w:szCs w:val="48"/>
                              </w:rPr>
                            </w:pPr>
                            <w:proofErr w:type="gramStart"/>
                            <w:r>
                              <w:rPr>
                                <w:color w:val="0F0D29" w:themeColor="text1"/>
                                <w:sz w:val="56"/>
                                <w:szCs w:val="48"/>
                                <w:lang w:bidi="cs-CZ"/>
                              </w:rPr>
                              <w:t>Červen - červenec</w:t>
                            </w:r>
                            <w:proofErr w:type="gramEnd"/>
                            <w:r w:rsidR="00947FBA">
                              <w:rPr>
                                <w:color w:val="0F0D29" w:themeColor="text1"/>
                                <w:sz w:val="56"/>
                                <w:szCs w:val="48"/>
                                <w:lang w:bidi="cs-CZ"/>
                              </w:rPr>
                              <w:t xml:space="preserve"> 2023</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eastAsia="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4057BC8A" w:rsidR="00F33158" w:rsidRPr="00F33158" w:rsidRDefault="00F33158" w:rsidP="00F33158">
            <w:pPr>
              <w:jc w:val="right"/>
              <w:rPr>
                <w:b w:val="0"/>
                <w:bCs/>
                <w:noProof/>
                <w:color w:val="0F0D29" w:themeColor="text1"/>
              </w:rPr>
            </w:pPr>
            <w:r w:rsidRPr="00F33158">
              <w:rPr>
                <w:b w:val="0"/>
                <w:bCs/>
                <w:noProof/>
                <w:color w:val="0F0D29" w:themeColor="text1"/>
              </w:rPr>
              <w:t>Vypracováno k</w:t>
            </w:r>
            <w:r w:rsidR="00F738FF">
              <w:rPr>
                <w:b w:val="0"/>
                <w:bCs/>
                <w:noProof/>
                <w:color w:val="0F0D29" w:themeColor="text1"/>
              </w:rPr>
              <w:t> 15.7.2023</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eastAsia="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lang w:eastAsia="cs-CZ"/>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923" w:type="dxa"/>
        <w:tblCellMar>
          <w:left w:w="0" w:type="dxa"/>
          <w:right w:w="0" w:type="dxa"/>
        </w:tblCellMar>
        <w:tblLook w:val="0000" w:firstRow="0" w:lastRow="0" w:firstColumn="0" w:lastColumn="0" w:noHBand="0" w:noVBand="0"/>
      </w:tblPr>
      <w:tblGrid>
        <w:gridCol w:w="9923"/>
      </w:tblGrid>
      <w:tr w:rsidR="008E3CAD" w:rsidRPr="005078C0" w14:paraId="47FD99E1" w14:textId="77777777" w:rsidTr="00F2217C">
        <w:trPr>
          <w:trHeight w:val="5931"/>
        </w:trPr>
        <w:tc>
          <w:tcPr>
            <w:tcW w:w="9923" w:type="dxa"/>
            <w:shd w:val="clear" w:color="auto" w:fill="auto"/>
          </w:tcPr>
          <w:p w14:paraId="147DAE18" w14:textId="30261548" w:rsidR="0014703E" w:rsidRPr="005078C0" w:rsidRDefault="0014703E" w:rsidP="008E3CAD">
            <w:pPr>
              <w:pStyle w:val="Bezmezer"/>
              <w:spacing w:line="360" w:lineRule="auto"/>
              <w:jc w:val="center"/>
              <w:rPr>
                <w:rFonts w:ascii="Arial" w:hAnsi="Arial" w:cs="Arial"/>
                <w:b/>
                <w:color w:val="0F0D29" w:themeColor="text1"/>
              </w:rPr>
            </w:pPr>
          </w:p>
          <w:p w14:paraId="0E89924B" w14:textId="7C046D49" w:rsidR="00977406" w:rsidRPr="00977406" w:rsidRDefault="0014703E" w:rsidP="00977406">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předpisy vyhlášené ve Sbírce zákonů </w:t>
            </w:r>
          </w:p>
          <w:p w14:paraId="3634CEDC" w14:textId="5759E6D3" w:rsidR="00910407" w:rsidRDefault="00716A8B" w:rsidP="00AA594E">
            <w:pPr>
              <w:pStyle w:val="Odstavecseseznamem"/>
              <w:numPr>
                <w:ilvl w:val="0"/>
                <w:numId w:val="1"/>
              </w:numPr>
              <w:spacing w:line="360" w:lineRule="auto"/>
              <w:jc w:val="both"/>
              <w:rPr>
                <w:rFonts w:ascii="Arial" w:hAnsi="Arial" w:cs="Arial"/>
                <w:bCs/>
                <w:color w:val="0F0D29" w:themeColor="text1"/>
                <w:sz w:val="20"/>
                <w:szCs w:val="20"/>
              </w:rPr>
            </w:pPr>
            <w:r w:rsidRPr="00716A8B">
              <w:rPr>
                <w:rFonts w:ascii="Arial" w:hAnsi="Arial" w:cs="Arial"/>
                <w:bCs/>
                <w:color w:val="0F0D29" w:themeColor="text1"/>
                <w:sz w:val="20"/>
                <w:szCs w:val="20"/>
              </w:rPr>
              <w:t>Zákon</w:t>
            </w:r>
            <w:r>
              <w:rPr>
                <w:rFonts w:ascii="Arial" w:hAnsi="Arial" w:cs="Arial"/>
                <w:bCs/>
                <w:color w:val="0F0D29" w:themeColor="text1"/>
                <w:sz w:val="20"/>
                <w:szCs w:val="20"/>
              </w:rPr>
              <w:t xml:space="preserve"> č. 226/2023 Sb.</w:t>
            </w:r>
            <w:r w:rsidRPr="00716A8B">
              <w:rPr>
                <w:rFonts w:ascii="Arial" w:hAnsi="Arial" w:cs="Arial"/>
                <w:bCs/>
                <w:color w:val="0F0D29" w:themeColor="text1"/>
                <w:sz w:val="20"/>
                <w:szCs w:val="20"/>
              </w:rPr>
              <w:t xml:space="preserve">, kterým se mění zákon č. 143/2001 Sb., o ochraně hospodářské soutěže a o změně některých zákonů (zákon o ochraně hospodářské soutěže), ve znění pozdějších předpisů, a zákon č. 273/1996 Sb., o působnosti Úřadu pro ochranu hospodářské soutěže, ve znění pozdějších předpisů  </w:t>
            </w:r>
          </w:p>
          <w:p w14:paraId="2EF90C56" w14:textId="0E61015F" w:rsidR="00716A8B" w:rsidRDefault="00716A8B" w:rsidP="00AA594E">
            <w:pPr>
              <w:pStyle w:val="Odstavecseseznamem"/>
              <w:numPr>
                <w:ilvl w:val="0"/>
                <w:numId w:val="1"/>
              </w:numPr>
              <w:spacing w:line="360" w:lineRule="auto"/>
              <w:jc w:val="both"/>
              <w:rPr>
                <w:rFonts w:ascii="Arial" w:hAnsi="Arial" w:cs="Arial"/>
                <w:bCs/>
                <w:color w:val="0F0D29" w:themeColor="text1"/>
                <w:sz w:val="20"/>
                <w:szCs w:val="20"/>
              </w:rPr>
            </w:pPr>
            <w:r w:rsidRPr="00716A8B">
              <w:rPr>
                <w:rFonts w:ascii="Arial" w:hAnsi="Arial" w:cs="Arial"/>
                <w:bCs/>
                <w:color w:val="0F0D29" w:themeColor="text1"/>
                <w:sz w:val="20"/>
                <w:szCs w:val="20"/>
              </w:rPr>
              <w:t>Zákon</w:t>
            </w:r>
            <w:r>
              <w:rPr>
                <w:rFonts w:ascii="Arial" w:hAnsi="Arial" w:cs="Arial"/>
                <w:bCs/>
                <w:color w:val="0F0D29" w:themeColor="text1"/>
                <w:sz w:val="20"/>
                <w:szCs w:val="20"/>
              </w:rPr>
              <w:t xml:space="preserve"> č. 224/2023 Sb.</w:t>
            </w:r>
            <w:r w:rsidRPr="00716A8B">
              <w:rPr>
                <w:rFonts w:ascii="Arial" w:hAnsi="Arial" w:cs="Arial"/>
                <w:bCs/>
                <w:color w:val="0F0D29" w:themeColor="text1"/>
                <w:sz w:val="20"/>
                <w:szCs w:val="20"/>
              </w:rPr>
              <w:t xml:space="preserve">, kterým se mění zákon č. 123/1998 Sb., o právu na informace o životním prostředí, ve znění pozdějších předpisů  </w:t>
            </w:r>
          </w:p>
          <w:p w14:paraId="554B69CC" w14:textId="1D9BC0DD" w:rsidR="00716A8B" w:rsidRDefault="00716A8B" w:rsidP="004E457F">
            <w:pPr>
              <w:pStyle w:val="Odstavecseseznamem"/>
              <w:numPr>
                <w:ilvl w:val="0"/>
                <w:numId w:val="1"/>
              </w:numPr>
              <w:spacing w:line="360" w:lineRule="auto"/>
              <w:jc w:val="both"/>
              <w:rPr>
                <w:rFonts w:ascii="Arial" w:hAnsi="Arial" w:cs="Arial"/>
                <w:bCs/>
                <w:color w:val="0F0D29" w:themeColor="text1"/>
                <w:sz w:val="20"/>
                <w:szCs w:val="20"/>
              </w:rPr>
            </w:pPr>
            <w:r w:rsidRPr="00716A8B">
              <w:rPr>
                <w:rFonts w:ascii="Arial" w:hAnsi="Arial" w:cs="Arial"/>
                <w:bCs/>
                <w:color w:val="0F0D29" w:themeColor="text1"/>
                <w:sz w:val="20"/>
                <w:szCs w:val="20"/>
              </w:rPr>
              <w:t>Nařízení vlády</w:t>
            </w:r>
            <w:r>
              <w:rPr>
                <w:rFonts w:ascii="Arial" w:hAnsi="Arial" w:cs="Arial"/>
                <w:bCs/>
                <w:color w:val="0F0D29" w:themeColor="text1"/>
                <w:sz w:val="20"/>
                <w:szCs w:val="20"/>
              </w:rPr>
              <w:t xml:space="preserve"> č. 215/2023 Sb.</w:t>
            </w:r>
            <w:r w:rsidRPr="00716A8B">
              <w:rPr>
                <w:rFonts w:ascii="Arial" w:hAnsi="Arial" w:cs="Arial"/>
                <w:bCs/>
                <w:color w:val="0F0D29" w:themeColor="text1"/>
                <w:sz w:val="20"/>
                <w:szCs w:val="20"/>
              </w:rPr>
              <w:t xml:space="preserve">, kterým se mění nařízení vlády č. 298/2022 Sb., o stanovení cen elektřiny a plynu v mimořádné tržní situaci a o stanovení s tím souvisejícího nejvyššího přípustného rozsahu majetkového prospěchu zákazníka, ve znění pozdějších předpisů  </w:t>
            </w:r>
          </w:p>
          <w:p w14:paraId="7B428E89" w14:textId="60CFFAD1" w:rsidR="00380B67" w:rsidRDefault="00380B67" w:rsidP="004E457F">
            <w:pPr>
              <w:pStyle w:val="Odstavecseseznamem"/>
              <w:numPr>
                <w:ilvl w:val="0"/>
                <w:numId w:val="1"/>
              </w:numPr>
              <w:spacing w:line="360" w:lineRule="auto"/>
              <w:jc w:val="both"/>
              <w:rPr>
                <w:rFonts w:ascii="Arial" w:hAnsi="Arial" w:cs="Arial"/>
                <w:bCs/>
                <w:color w:val="0F0D29" w:themeColor="text1"/>
                <w:sz w:val="20"/>
                <w:szCs w:val="20"/>
              </w:rPr>
            </w:pPr>
            <w:r w:rsidRPr="00380B67">
              <w:rPr>
                <w:rFonts w:ascii="Arial" w:hAnsi="Arial" w:cs="Arial"/>
                <w:bCs/>
                <w:color w:val="0F0D29" w:themeColor="text1"/>
                <w:sz w:val="20"/>
                <w:szCs w:val="20"/>
              </w:rPr>
              <w:t>Vyhláška</w:t>
            </w:r>
            <w:r>
              <w:rPr>
                <w:rFonts w:ascii="Arial" w:hAnsi="Arial" w:cs="Arial"/>
                <w:bCs/>
                <w:color w:val="0F0D29" w:themeColor="text1"/>
                <w:sz w:val="20"/>
                <w:szCs w:val="20"/>
              </w:rPr>
              <w:t xml:space="preserve"> č. 191/2023 Sb.</w:t>
            </w:r>
            <w:r w:rsidRPr="00380B67">
              <w:rPr>
                <w:rFonts w:ascii="Arial" w:hAnsi="Arial" w:cs="Arial"/>
                <w:bCs/>
                <w:color w:val="0F0D29" w:themeColor="text1"/>
                <w:sz w:val="20"/>
                <w:szCs w:val="20"/>
              </w:rPr>
              <w:t xml:space="preserve">, kterou se mění vyhláška č. 467/2022 Sb., o změně sazby základní náhrady za používání silničních motorových vozidel a stravného a o stanovení průměrné ceny pohonných hmot pro účely poskytování cestovních náhrad pro rok 2023, ve znění vyhlášky č. 85/2023 Sb.  </w:t>
            </w:r>
          </w:p>
          <w:p w14:paraId="25D600C4" w14:textId="2C458433" w:rsidR="00380B67" w:rsidRDefault="00380B67" w:rsidP="004E457F">
            <w:pPr>
              <w:pStyle w:val="Odstavecseseznamem"/>
              <w:numPr>
                <w:ilvl w:val="0"/>
                <w:numId w:val="1"/>
              </w:numPr>
              <w:spacing w:line="360" w:lineRule="auto"/>
              <w:jc w:val="both"/>
              <w:rPr>
                <w:rFonts w:ascii="Arial" w:hAnsi="Arial" w:cs="Arial"/>
                <w:bCs/>
                <w:color w:val="0F0D29" w:themeColor="text1"/>
                <w:sz w:val="20"/>
                <w:szCs w:val="20"/>
              </w:rPr>
            </w:pPr>
            <w:r w:rsidRPr="00380B67">
              <w:rPr>
                <w:rFonts w:ascii="Arial" w:hAnsi="Arial" w:cs="Arial"/>
                <w:bCs/>
                <w:color w:val="0F0D29" w:themeColor="text1"/>
                <w:sz w:val="20"/>
                <w:szCs w:val="20"/>
              </w:rPr>
              <w:t>Vyhláška</w:t>
            </w:r>
            <w:r>
              <w:rPr>
                <w:rFonts w:ascii="Arial" w:hAnsi="Arial" w:cs="Arial"/>
                <w:bCs/>
                <w:color w:val="0F0D29" w:themeColor="text1"/>
                <w:sz w:val="20"/>
                <w:szCs w:val="20"/>
              </w:rPr>
              <w:t xml:space="preserve"> č. 186/2023 Sb.</w:t>
            </w:r>
            <w:r w:rsidRPr="00380B67">
              <w:rPr>
                <w:rFonts w:ascii="Arial" w:hAnsi="Arial" w:cs="Arial"/>
                <w:bCs/>
                <w:color w:val="0F0D29" w:themeColor="text1"/>
                <w:sz w:val="20"/>
                <w:szCs w:val="20"/>
              </w:rPr>
              <w:t xml:space="preserve">, kterou se mění vyhláška č. 393/2020 Sb., o digitální technické mapě kraje  </w:t>
            </w:r>
          </w:p>
          <w:p w14:paraId="01ED712C" w14:textId="0261FCB9" w:rsidR="00380B67" w:rsidRDefault="00380B67" w:rsidP="004E457F">
            <w:pPr>
              <w:pStyle w:val="Odstavecseseznamem"/>
              <w:numPr>
                <w:ilvl w:val="0"/>
                <w:numId w:val="1"/>
              </w:numPr>
              <w:spacing w:line="360" w:lineRule="auto"/>
              <w:jc w:val="both"/>
              <w:rPr>
                <w:rFonts w:ascii="Arial" w:hAnsi="Arial" w:cs="Arial"/>
                <w:bCs/>
                <w:color w:val="0F0D29" w:themeColor="text1"/>
                <w:sz w:val="20"/>
                <w:szCs w:val="20"/>
              </w:rPr>
            </w:pPr>
            <w:r w:rsidRPr="00380B67">
              <w:rPr>
                <w:rFonts w:ascii="Arial" w:hAnsi="Arial" w:cs="Arial"/>
                <w:bCs/>
                <w:color w:val="0F0D29" w:themeColor="text1"/>
                <w:sz w:val="20"/>
                <w:szCs w:val="20"/>
              </w:rPr>
              <w:t>Zákon</w:t>
            </w:r>
            <w:r>
              <w:rPr>
                <w:rFonts w:ascii="Arial" w:hAnsi="Arial" w:cs="Arial"/>
                <w:bCs/>
                <w:color w:val="0F0D29" w:themeColor="text1"/>
                <w:sz w:val="20"/>
                <w:szCs w:val="20"/>
              </w:rPr>
              <w:t xml:space="preserve"> č. 171/2023 Sb.,</w:t>
            </w:r>
            <w:r w:rsidRPr="00380B67">
              <w:rPr>
                <w:rFonts w:ascii="Arial" w:hAnsi="Arial" w:cs="Arial"/>
                <w:bCs/>
                <w:color w:val="0F0D29" w:themeColor="text1"/>
                <w:sz w:val="20"/>
                <w:szCs w:val="20"/>
              </w:rPr>
              <w:t xml:space="preserve"> o ochraně oznamovatelů  </w:t>
            </w:r>
          </w:p>
          <w:p w14:paraId="0428FCE2" w14:textId="5DF3A656" w:rsidR="00380B67" w:rsidRDefault="00380B67" w:rsidP="004E457F">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 xml:space="preserve">Zákon č. 172/2023 Sb., </w:t>
            </w:r>
            <w:r w:rsidRPr="00380B67">
              <w:rPr>
                <w:rFonts w:ascii="Arial" w:hAnsi="Arial" w:cs="Arial"/>
                <w:bCs/>
                <w:color w:val="0F0D29" w:themeColor="text1"/>
                <w:sz w:val="20"/>
                <w:szCs w:val="20"/>
              </w:rPr>
              <w:t xml:space="preserve">kterým se mění některé zákony v souvislosti s přijetím zákona o ochraně oznamovatelů  </w:t>
            </w:r>
          </w:p>
          <w:p w14:paraId="674127C7" w14:textId="4734B841" w:rsidR="00380B67" w:rsidRDefault="00380B67" w:rsidP="004E457F">
            <w:pPr>
              <w:pStyle w:val="Odstavecseseznamem"/>
              <w:numPr>
                <w:ilvl w:val="0"/>
                <w:numId w:val="1"/>
              </w:numPr>
              <w:spacing w:line="360" w:lineRule="auto"/>
              <w:jc w:val="both"/>
              <w:rPr>
                <w:rFonts w:ascii="Arial" w:hAnsi="Arial" w:cs="Arial"/>
                <w:bCs/>
                <w:color w:val="0F0D29" w:themeColor="text1"/>
                <w:sz w:val="20"/>
                <w:szCs w:val="20"/>
              </w:rPr>
            </w:pPr>
            <w:r w:rsidRPr="00380B67">
              <w:rPr>
                <w:rFonts w:ascii="Arial" w:hAnsi="Arial" w:cs="Arial"/>
                <w:bCs/>
                <w:color w:val="0F0D29" w:themeColor="text1"/>
                <w:sz w:val="20"/>
                <w:szCs w:val="20"/>
              </w:rPr>
              <w:t>Zákon</w:t>
            </w:r>
            <w:r>
              <w:rPr>
                <w:rFonts w:ascii="Arial" w:hAnsi="Arial" w:cs="Arial"/>
                <w:bCs/>
                <w:color w:val="0F0D29" w:themeColor="text1"/>
                <w:sz w:val="20"/>
                <w:szCs w:val="20"/>
              </w:rPr>
              <w:t xml:space="preserve"> č. 167/2023 Sb.</w:t>
            </w:r>
            <w:r w:rsidRPr="00380B67">
              <w:rPr>
                <w:rFonts w:ascii="Arial" w:hAnsi="Arial" w:cs="Arial"/>
                <w:bCs/>
                <w:color w:val="0F0D29" w:themeColor="text1"/>
                <w:sz w:val="20"/>
                <w:szCs w:val="20"/>
              </w:rPr>
              <w:t xml:space="preserve">, kterým se mění zákon č. 258/2000 Sb., o ochraně veřejného zdraví a o změně některých souvisejících zákonů, ve znění pozdějších předpisů, a další související zákony  </w:t>
            </w:r>
          </w:p>
          <w:p w14:paraId="4C8D76B8" w14:textId="49EB42AF" w:rsidR="00380B67" w:rsidRDefault="00380B67" w:rsidP="004E457F">
            <w:pPr>
              <w:pStyle w:val="Odstavecseseznamem"/>
              <w:numPr>
                <w:ilvl w:val="0"/>
                <w:numId w:val="1"/>
              </w:numPr>
              <w:spacing w:line="360" w:lineRule="auto"/>
              <w:jc w:val="both"/>
              <w:rPr>
                <w:rFonts w:ascii="Arial" w:hAnsi="Arial" w:cs="Arial"/>
                <w:bCs/>
                <w:color w:val="0F0D29" w:themeColor="text1"/>
                <w:sz w:val="20"/>
                <w:szCs w:val="20"/>
              </w:rPr>
            </w:pPr>
            <w:r w:rsidRPr="00380B67">
              <w:rPr>
                <w:rFonts w:ascii="Arial" w:hAnsi="Arial" w:cs="Arial"/>
                <w:bCs/>
                <w:color w:val="0F0D29" w:themeColor="text1"/>
                <w:sz w:val="20"/>
                <w:szCs w:val="20"/>
              </w:rPr>
              <w:t>Zákon</w:t>
            </w:r>
            <w:r>
              <w:rPr>
                <w:rFonts w:ascii="Arial" w:hAnsi="Arial" w:cs="Arial"/>
                <w:bCs/>
                <w:color w:val="0F0D29" w:themeColor="text1"/>
                <w:sz w:val="20"/>
                <w:szCs w:val="20"/>
              </w:rPr>
              <w:t xml:space="preserve"> č. 166/2023 Sb.</w:t>
            </w:r>
            <w:r w:rsidRPr="00380B67">
              <w:rPr>
                <w:rFonts w:ascii="Arial" w:hAnsi="Arial" w:cs="Arial"/>
                <w:bCs/>
                <w:color w:val="0F0D29" w:themeColor="text1"/>
                <w:sz w:val="20"/>
                <w:szCs w:val="20"/>
              </w:rPr>
              <w:t xml:space="preserve">, kterým se mění zákon č. 134/2016 Sb., o zadávání veřejných zakázek, ve znění pozdějších předpisů  </w:t>
            </w:r>
          </w:p>
          <w:p w14:paraId="6169FF40" w14:textId="5CC09BB4" w:rsidR="00380B67" w:rsidRDefault="00380B67" w:rsidP="004E457F">
            <w:pPr>
              <w:pStyle w:val="Odstavecseseznamem"/>
              <w:numPr>
                <w:ilvl w:val="0"/>
                <w:numId w:val="1"/>
              </w:numPr>
              <w:spacing w:line="360" w:lineRule="auto"/>
              <w:jc w:val="both"/>
              <w:rPr>
                <w:rFonts w:ascii="Arial" w:hAnsi="Arial" w:cs="Arial"/>
                <w:bCs/>
                <w:color w:val="0F0D29" w:themeColor="text1"/>
                <w:sz w:val="20"/>
                <w:szCs w:val="20"/>
              </w:rPr>
            </w:pPr>
            <w:r w:rsidRPr="00380B67">
              <w:rPr>
                <w:rFonts w:ascii="Arial" w:hAnsi="Arial" w:cs="Arial"/>
                <w:bCs/>
                <w:color w:val="0F0D29" w:themeColor="text1"/>
                <w:sz w:val="20"/>
                <w:szCs w:val="20"/>
              </w:rPr>
              <w:t>Vyhláška</w:t>
            </w:r>
            <w:r>
              <w:rPr>
                <w:rFonts w:ascii="Arial" w:hAnsi="Arial" w:cs="Arial"/>
                <w:bCs/>
                <w:color w:val="0F0D29" w:themeColor="text1"/>
                <w:sz w:val="20"/>
                <w:szCs w:val="20"/>
              </w:rPr>
              <w:t xml:space="preserve"> č. 156/2023 Sb.</w:t>
            </w:r>
            <w:r w:rsidRPr="00380B67">
              <w:rPr>
                <w:rFonts w:ascii="Arial" w:hAnsi="Arial" w:cs="Arial"/>
                <w:bCs/>
                <w:color w:val="0F0D29" w:themeColor="text1"/>
                <w:sz w:val="20"/>
                <w:szCs w:val="20"/>
              </w:rPr>
              <w:t xml:space="preserve">, kterou se mění vyhláška č. 31/1995 Sb., kterou se provádí zákon č. 200/1994 Sb., o zeměměřictví a o změně a doplnění některých zákonů souvisejících s jeho zavedením, ve znění pozdějších předpisů  </w:t>
            </w:r>
          </w:p>
          <w:p w14:paraId="0A097AA3" w14:textId="1DE4F562" w:rsidR="00380B67" w:rsidRDefault="00FC3688" w:rsidP="004E457F">
            <w:pPr>
              <w:pStyle w:val="Odstavecseseznamem"/>
              <w:numPr>
                <w:ilvl w:val="0"/>
                <w:numId w:val="1"/>
              </w:numPr>
              <w:spacing w:line="360" w:lineRule="auto"/>
              <w:jc w:val="both"/>
              <w:rPr>
                <w:rFonts w:ascii="Arial" w:hAnsi="Arial" w:cs="Arial"/>
                <w:bCs/>
                <w:color w:val="0F0D29" w:themeColor="text1"/>
                <w:sz w:val="20"/>
                <w:szCs w:val="20"/>
              </w:rPr>
            </w:pPr>
            <w:r w:rsidRPr="00FC3688">
              <w:rPr>
                <w:rFonts w:ascii="Arial" w:hAnsi="Arial" w:cs="Arial"/>
                <w:bCs/>
                <w:color w:val="0F0D29" w:themeColor="text1"/>
                <w:sz w:val="20"/>
                <w:szCs w:val="20"/>
              </w:rPr>
              <w:t>Zákon</w:t>
            </w:r>
            <w:r>
              <w:rPr>
                <w:rFonts w:ascii="Arial" w:hAnsi="Arial" w:cs="Arial"/>
                <w:bCs/>
                <w:color w:val="0F0D29" w:themeColor="text1"/>
                <w:sz w:val="20"/>
                <w:szCs w:val="20"/>
              </w:rPr>
              <w:t xml:space="preserve"> č. 152/2023 Sb.</w:t>
            </w:r>
            <w:r w:rsidRPr="00FC3688">
              <w:rPr>
                <w:rFonts w:ascii="Arial" w:hAnsi="Arial" w:cs="Arial"/>
                <w:bCs/>
                <w:color w:val="0F0D29" w:themeColor="text1"/>
                <w:sz w:val="20"/>
                <w:szCs w:val="20"/>
              </w:rPr>
              <w:t xml:space="preserve">, kterým se mění zákon č. 283/2021 Sb., stavební zákon, ve znění zákona č. 195/2022 Sb., a některé další související zákony  </w:t>
            </w:r>
          </w:p>
          <w:p w14:paraId="73A679E1" w14:textId="2CD07AF7" w:rsidR="00FC3688" w:rsidRDefault="00FC3688" w:rsidP="004E457F">
            <w:pPr>
              <w:pStyle w:val="Odstavecseseznamem"/>
              <w:numPr>
                <w:ilvl w:val="0"/>
                <w:numId w:val="1"/>
              </w:numPr>
              <w:spacing w:line="360" w:lineRule="auto"/>
              <w:jc w:val="both"/>
              <w:rPr>
                <w:rFonts w:ascii="Arial" w:hAnsi="Arial" w:cs="Arial"/>
                <w:bCs/>
                <w:color w:val="0F0D29" w:themeColor="text1"/>
                <w:sz w:val="20"/>
                <w:szCs w:val="20"/>
              </w:rPr>
            </w:pPr>
            <w:r w:rsidRPr="00FC3688">
              <w:rPr>
                <w:rFonts w:ascii="Arial" w:hAnsi="Arial" w:cs="Arial"/>
                <w:bCs/>
                <w:color w:val="0F0D29" w:themeColor="text1"/>
                <w:sz w:val="20"/>
                <w:szCs w:val="20"/>
              </w:rPr>
              <w:t>Zákon</w:t>
            </w:r>
            <w:r>
              <w:rPr>
                <w:rFonts w:ascii="Arial" w:hAnsi="Arial" w:cs="Arial"/>
                <w:bCs/>
                <w:color w:val="0F0D29" w:themeColor="text1"/>
                <w:sz w:val="20"/>
                <w:szCs w:val="20"/>
              </w:rPr>
              <w:t xml:space="preserve"> č. 148/2023 Sb.,</w:t>
            </w:r>
            <w:r w:rsidRPr="00FC3688">
              <w:rPr>
                <w:rFonts w:ascii="Arial" w:hAnsi="Arial" w:cs="Arial"/>
                <w:bCs/>
                <w:color w:val="0F0D29" w:themeColor="text1"/>
                <w:sz w:val="20"/>
                <w:szCs w:val="20"/>
              </w:rPr>
              <w:t xml:space="preserve"> o jednotném environmentálním stanovisku  </w:t>
            </w:r>
          </w:p>
          <w:p w14:paraId="550A11D2" w14:textId="278A5DF2" w:rsidR="00FC3688" w:rsidRPr="00716A8B" w:rsidRDefault="00FC3688" w:rsidP="004E457F">
            <w:pPr>
              <w:pStyle w:val="Odstavecseseznamem"/>
              <w:numPr>
                <w:ilvl w:val="0"/>
                <w:numId w:val="1"/>
              </w:numPr>
              <w:spacing w:line="360" w:lineRule="auto"/>
              <w:jc w:val="both"/>
              <w:rPr>
                <w:rFonts w:ascii="Arial" w:hAnsi="Arial" w:cs="Arial"/>
                <w:bCs/>
                <w:color w:val="0F0D29" w:themeColor="text1"/>
                <w:sz w:val="20"/>
                <w:szCs w:val="20"/>
              </w:rPr>
            </w:pPr>
            <w:r w:rsidRPr="00FC3688">
              <w:rPr>
                <w:rFonts w:ascii="Arial" w:hAnsi="Arial" w:cs="Arial"/>
                <w:bCs/>
                <w:color w:val="0F0D29" w:themeColor="text1"/>
                <w:sz w:val="20"/>
                <w:szCs w:val="20"/>
              </w:rPr>
              <w:t>Zákon</w:t>
            </w:r>
            <w:r>
              <w:rPr>
                <w:rFonts w:ascii="Arial" w:hAnsi="Arial" w:cs="Arial"/>
                <w:bCs/>
                <w:color w:val="0F0D29" w:themeColor="text1"/>
                <w:sz w:val="20"/>
                <w:szCs w:val="20"/>
              </w:rPr>
              <w:t xml:space="preserve"> č. 149/2023 Sb.</w:t>
            </w:r>
            <w:r w:rsidRPr="00FC3688">
              <w:rPr>
                <w:rFonts w:ascii="Arial" w:hAnsi="Arial" w:cs="Arial"/>
                <w:bCs/>
                <w:color w:val="0F0D29" w:themeColor="text1"/>
                <w:sz w:val="20"/>
                <w:szCs w:val="20"/>
              </w:rPr>
              <w:t xml:space="preserve">, kterým se mění některé zákony v souvislosti s přijetím zákona o jednotném environmentálním stanovisku  </w:t>
            </w:r>
          </w:p>
          <w:p w14:paraId="43A3D180" w14:textId="7141B997" w:rsidR="0014703E" w:rsidRPr="00CF29B3" w:rsidRDefault="0014703E" w:rsidP="00947FBA">
            <w:pPr>
              <w:pStyle w:val="Bezmezer"/>
              <w:spacing w:line="360" w:lineRule="auto"/>
              <w:jc w:val="both"/>
              <w:rPr>
                <w:rFonts w:ascii="Arial" w:hAnsi="Arial" w:cs="Arial"/>
                <w:b/>
                <w:color w:val="0F0D29" w:themeColor="text1"/>
              </w:rPr>
            </w:pPr>
            <w:r w:rsidRPr="00CF29B3">
              <w:rPr>
                <w:rFonts w:ascii="Arial" w:hAnsi="Arial" w:cs="Arial"/>
                <w:b/>
                <w:color w:val="0F0D29" w:themeColor="text1"/>
                <w:sz w:val="24"/>
              </w:rPr>
              <w:t>II</w:t>
            </w:r>
            <w:r w:rsidRPr="00CF29B3">
              <w:rPr>
                <w:rFonts w:ascii="Arial" w:hAnsi="Arial" w:cs="Arial"/>
                <w:b/>
                <w:color w:val="0F0D29" w:themeColor="text1"/>
                <w:sz w:val="28"/>
                <w:szCs w:val="24"/>
              </w:rPr>
              <w:t xml:space="preserve">. </w:t>
            </w:r>
            <w:r w:rsidRPr="00CF29B3">
              <w:rPr>
                <w:rFonts w:ascii="Arial" w:hAnsi="Arial" w:cs="Arial"/>
                <w:b/>
                <w:color w:val="0F0D29" w:themeColor="text1"/>
                <w:sz w:val="24"/>
                <w:szCs w:val="24"/>
              </w:rPr>
              <w:t>Připravovaná legislativa</w:t>
            </w:r>
          </w:p>
          <w:p w14:paraId="2F66DFAD" w14:textId="77777777" w:rsidR="00C26ECF" w:rsidRDefault="00C26ECF" w:rsidP="00815900">
            <w:pPr>
              <w:pStyle w:val="Bezmezer"/>
              <w:spacing w:line="360" w:lineRule="auto"/>
              <w:ind w:left="720"/>
              <w:jc w:val="both"/>
              <w:rPr>
                <w:rFonts w:ascii="Arial" w:hAnsi="Arial" w:cs="Arial"/>
                <w:b/>
                <w:color w:val="0F0D29" w:themeColor="text1"/>
                <w:sz w:val="20"/>
                <w:szCs w:val="20"/>
              </w:rPr>
            </w:pPr>
          </w:p>
          <w:p w14:paraId="453FD427" w14:textId="18885FE7" w:rsidR="00C26ECF" w:rsidRPr="00252F73" w:rsidRDefault="0014703E" w:rsidP="00C86B4C">
            <w:pPr>
              <w:pStyle w:val="Bezmezer"/>
              <w:numPr>
                <w:ilvl w:val="0"/>
                <w:numId w:val="2"/>
              </w:numPr>
              <w:spacing w:line="360" w:lineRule="auto"/>
              <w:jc w:val="both"/>
              <w:rPr>
                <w:rFonts w:ascii="Arial" w:hAnsi="Arial" w:cs="Arial"/>
                <w:b/>
                <w:color w:val="0F0D29" w:themeColor="text1"/>
                <w:sz w:val="20"/>
                <w:szCs w:val="20"/>
              </w:rPr>
            </w:pPr>
            <w:r w:rsidRPr="00252F73">
              <w:rPr>
                <w:rFonts w:ascii="Arial" w:hAnsi="Arial" w:cs="Arial"/>
                <w:b/>
                <w:color w:val="0F0D29" w:themeColor="text1"/>
                <w:sz w:val="20"/>
                <w:szCs w:val="20"/>
              </w:rPr>
              <w:t>Výstupy</w:t>
            </w:r>
          </w:p>
          <w:p w14:paraId="4E16F9B5" w14:textId="3DABAA04" w:rsidR="00F80FE3" w:rsidRPr="00937179" w:rsidRDefault="00937179" w:rsidP="00937179">
            <w:pPr>
              <w:pStyle w:val="Odstavecseseznamem"/>
              <w:numPr>
                <w:ilvl w:val="0"/>
                <w:numId w:val="1"/>
              </w:numPr>
              <w:spacing w:line="360" w:lineRule="auto"/>
              <w:jc w:val="both"/>
              <w:rPr>
                <w:rFonts w:ascii="Arial" w:hAnsi="Arial" w:cs="Arial"/>
                <w:bCs/>
                <w:color w:val="0F0D29" w:themeColor="text1"/>
                <w:sz w:val="20"/>
                <w:szCs w:val="20"/>
              </w:rPr>
            </w:pPr>
            <w:r w:rsidRPr="00937179">
              <w:rPr>
                <w:rFonts w:ascii="Arial" w:hAnsi="Arial" w:cs="Arial"/>
                <w:bCs/>
                <w:color w:val="0F0D29" w:themeColor="text1"/>
                <w:sz w:val="20"/>
                <w:szCs w:val="20"/>
              </w:rPr>
              <w:t>Návrh vyhlášky, kterou se mění vyhláška č. 428/2001 Sb., kterou se provádí zákon č. 274/2001 Sb., o vodovodech a kanalizacích pro veřejnou potřebu a o změně některých zákonů (zákon o vodovodech a kanalizacích), ve znění pozdějších předpisů</w:t>
            </w:r>
          </w:p>
          <w:p w14:paraId="132D1DD9" w14:textId="4D65250A" w:rsidR="0014703E" w:rsidRPr="00815900" w:rsidRDefault="0014703E" w:rsidP="00F80FE3">
            <w:pPr>
              <w:pStyle w:val="Bezmezer"/>
              <w:numPr>
                <w:ilvl w:val="0"/>
                <w:numId w:val="2"/>
              </w:numPr>
              <w:spacing w:line="360" w:lineRule="auto"/>
              <w:jc w:val="both"/>
              <w:rPr>
                <w:rFonts w:ascii="Arial" w:hAnsi="Arial" w:cs="Arial"/>
                <w:bCs/>
                <w:color w:val="0F0D29" w:themeColor="text1"/>
                <w:sz w:val="20"/>
                <w:szCs w:val="20"/>
              </w:rPr>
            </w:pPr>
            <w:r w:rsidRPr="00815900">
              <w:rPr>
                <w:rFonts w:ascii="Arial" w:hAnsi="Arial" w:cs="Arial"/>
                <w:b/>
                <w:color w:val="0F0D29" w:themeColor="text1"/>
                <w:sz w:val="20"/>
                <w:szCs w:val="20"/>
              </w:rPr>
              <w:t>Zadání</w:t>
            </w:r>
          </w:p>
          <w:p w14:paraId="30D8F384" w14:textId="6B205735" w:rsidR="00FC3688" w:rsidRPr="00FC3688" w:rsidRDefault="00FC3688" w:rsidP="00FC3688">
            <w:pPr>
              <w:pStyle w:val="Odstavecseseznamem"/>
              <w:numPr>
                <w:ilvl w:val="0"/>
                <w:numId w:val="1"/>
              </w:numPr>
              <w:spacing w:line="360" w:lineRule="auto"/>
              <w:jc w:val="both"/>
              <w:rPr>
                <w:rFonts w:ascii="Arial" w:hAnsi="Arial" w:cs="Arial"/>
                <w:bCs/>
                <w:color w:val="1B174A" w:themeColor="text1" w:themeTint="E6"/>
                <w:sz w:val="20"/>
                <w:szCs w:val="20"/>
              </w:rPr>
            </w:pPr>
            <w:r w:rsidRPr="00FC3688">
              <w:rPr>
                <w:rFonts w:ascii="Arial" w:hAnsi="Arial" w:cs="Arial"/>
                <w:bCs/>
                <w:color w:val="1B174A" w:themeColor="text1" w:themeTint="E6"/>
                <w:sz w:val="20"/>
                <w:szCs w:val="20"/>
              </w:rPr>
              <w:t>Novela z</w:t>
            </w:r>
            <w:r w:rsidR="00952F58">
              <w:rPr>
                <w:rFonts w:ascii="Arial" w:hAnsi="Arial" w:cs="Arial"/>
                <w:bCs/>
                <w:color w:val="1B174A" w:themeColor="text1" w:themeTint="E6"/>
                <w:sz w:val="20"/>
                <w:szCs w:val="20"/>
              </w:rPr>
              <w:t>ákona</w:t>
            </w:r>
            <w:r w:rsidRPr="00FC3688">
              <w:rPr>
                <w:rFonts w:ascii="Arial" w:hAnsi="Arial" w:cs="Arial"/>
                <w:bCs/>
                <w:color w:val="1B174A" w:themeColor="text1" w:themeTint="E6"/>
                <w:sz w:val="20"/>
                <w:szCs w:val="20"/>
              </w:rPr>
              <w:t xml:space="preserve"> o sdruž</w:t>
            </w:r>
            <w:r w:rsidR="00952F58">
              <w:rPr>
                <w:rFonts w:ascii="Arial" w:hAnsi="Arial" w:cs="Arial"/>
                <w:bCs/>
                <w:color w:val="1B174A" w:themeColor="text1" w:themeTint="E6"/>
                <w:sz w:val="20"/>
                <w:szCs w:val="20"/>
              </w:rPr>
              <w:t>ování</w:t>
            </w:r>
            <w:r w:rsidRPr="00FC3688">
              <w:rPr>
                <w:rFonts w:ascii="Arial" w:hAnsi="Arial" w:cs="Arial"/>
                <w:bCs/>
                <w:color w:val="1B174A" w:themeColor="text1" w:themeTint="E6"/>
                <w:sz w:val="20"/>
                <w:szCs w:val="20"/>
              </w:rPr>
              <w:t xml:space="preserve"> v pol</w:t>
            </w:r>
            <w:r w:rsidR="00952F58">
              <w:rPr>
                <w:rFonts w:ascii="Arial" w:hAnsi="Arial" w:cs="Arial"/>
                <w:bCs/>
                <w:color w:val="1B174A" w:themeColor="text1" w:themeTint="E6"/>
                <w:sz w:val="20"/>
                <w:szCs w:val="20"/>
              </w:rPr>
              <w:t>itických</w:t>
            </w:r>
            <w:r w:rsidRPr="00FC3688">
              <w:rPr>
                <w:rFonts w:ascii="Arial" w:hAnsi="Arial" w:cs="Arial"/>
                <w:bCs/>
                <w:color w:val="1B174A" w:themeColor="text1" w:themeTint="E6"/>
                <w:sz w:val="20"/>
                <w:szCs w:val="20"/>
              </w:rPr>
              <w:t xml:space="preserve"> stranách a v pol</w:t>
            </w:r>
            <w:r w:rsidR="00952F58">
              <w:rPr>
                <w:rFonts w:ascii="Arial" w:hAnsi="Arial" w:cs="Arial"/>
                <w:bCs/>
                <w:color w:val="1B174A" w:themeColor="text1" w:themeTint="E6"/>
                <w:sz w:val="20"/>
                <w:szCs w:val="20"/>
              </w:rPr>
              <w:t>itických</w:t>
            </w:r>
            <w:r w:rsidRPr="00FC3688">
              <w:rPr>
                <w:rFonts w:ascii="Arial" w:hAnsi="Arial" w:cs="Arial"/>
                <w:bCs/>
                <w:color w:val="1B174A" w:themeColor="text1" w:themeTint="E6"/>
                <w:sz w:val="20"/>
                <w:szCs w:val="20"/>
              </w:rPr>
              <w:t xml:space="preserve"> </w:t>
            </w:r>
            <w:r w:rsidR="00952F58">
              <w:rPr>
                <w:rFonts w:ascii="Arial" w:hAnsi="Arial" w:cs="Arial"/>
                <w:bCs/>
                <w:color w:val="1B174A" w:themeColor="text1" w:themeTint="E6"/>
                <w:sz w:val="20"/>
                <w:szCs w:val="20"/>
              </w:rPr>
              <w:t>h</w:t>
            </w:r>
            <w:r w:rsidRPr="00FC3688">
              <w:rPr>
                <w:rFonts w:ascii="Arial" w:hAnsi="Arial" w:cs="Arial"/>
                <w:bCs/>
                <w:color w:val="1B174A" w:themeColor="text1" w:themeTint="E6"/>
                <w:sz w:val="20"/>
                <w:szCs w:val="20"/>
              </w:rPr>
              <w:t>nutích</w:t>
            </w:r>
          </w:p>
          <w:p w14:paraId="0E02CD39" w14:textId="77777777" w:rsidR="00FC3688" w:rsidRPr="00FC3688" w:rsidRDefault="00FC3688" w:rsidP="00FC3688">
            <w:pPr>
              <w:pStyle w:val="Odstavecseseznamem"/>
              <w:numPr>
                <w:ilvl w:val="0"/>
                <w:numId w:val="1"/>
              </w:numPr>
              <w:spacing w:line="360" w:lineRule="auto"/>
              <w:jc w:val="both"/>
              <w:rPr>
                <w:rFonts w:ascii="Arial" w:hAnsi="Arial" w:cs="Arial"/>
                <w:bCs/>
                <w:color w:val="1B174A" w:themeColor="text1" w:themeTint="E6"/>
                <w:sz w:val="20"/>
                <w:szCs w:val="20"/>
              </w:rPr>
            </w:pPr>
            <w:r w:rsidRPr="00FC3688">
              <w:rPr>
                <w:rFonts w:ascii="Arial" w:hAnsi="Arial" w:cs="Arial"/>
                <w:bCs/>
                <w:color w:val="1B174A" w:themeColor="text1" w:themeTint="E6"/>
                <w:sz w:val="20"/>
                <w:szCs w:val="20"/>
              </w:rPr>
              <w:t>Návrh zákona o kybernetické bezpečnosti</w:t>
            </w:r>
          </w:p>
          <w:p w14:paraId="1C87B503" w14:textId="77777777" w:rsidR="00FC3688" w:rsidRPr="00FC3688" w:rsidRDefault="00FC3688" w:rsidP="00FC3688">
            <w:pPr>
              <w:pStyle w:val="Odstavecseseznamem"/>
              <w:numPr>
                <w:ilvl w:val="0"/>
                <w:numId w:val="1"/>
              </w:numPr>
              <w:spacing w:line="360" w:lineRule="auto"/>
              <w:jc w:val="both"/>
              <w:rPr>
                <w:rFonts w:ascii="Arial" w:hAnsi="Arial" w:cs="Arial"/>
                <w:bCs/>
                <w:color w:val="1B174A" w:themeColor="text1" w:themeTint="E6"/>
                <w:sz w:val="20"/>
                <w:szCs w:val="20"/>
              </w:rPr>
            </w:pPr>
            <w:r w:rsidRPr="00FC3688">
              <w:rPr>
                <w:rFonts w:ascii="Arial" w:hAnsi="Arial" w:cs="Arial"/>
                <w:bCs/>
                <w:color w:val="1B174A" w:themeColor="text1" w:themeTint="E6"/>
                <w:sz w:val="20"/>
                <w:szCs w:val="20"/>
              </w:rPr>
              <w:lastRenderedPageBreak/>
              <w:t>Návrh zákona, kterým se mění některé zákony v souvislosti s přijetím zákona o kybernetické bezpečnosti</w:t>
            </w:r>
          </w:p>
          <w:p w14:paraId="50C36D63" w14:textId="6FF7E171" w:rsidR="00680248" w:rsidRDefault="00FC3688" w:rsidP="00FC3688">
            <w:pPr>
              <w:pStyle w:val="Odstavecseseznamem"/>
              <w:numPr>
                <w:ilvl w:val="0"/>
                <w:numId w:val="1"/>
              </w:numPr>
              <w:spacing w:line="360" w:lineRule="auto"/>
              <w:jc w:val="both"/>
              <w:rPr>
                <w:rFonts w:ascii="Arial" w:hAnsi="Arial" w:cs="Arial"/>
                <w:bCs/>
                <w:color w:val="1B174A" w:themeColor="text1" w:themeTint="E6"/>
                <w:sz w:val="20"/>
                <w:szCs w:val="20"/>
              </w:rPr>
            </w:pPr>
            <w:r w:rsidRPr="00FC3688">
              <w:rPr>
                <w:rFonts w:ascii="Arial" w:hAnsi="Arial" w:cs="Arial"/>
                <w:bCs/>
                <w:color w:val="1B174A" w:themeColor="text1" w:themeTint="E6"/>
                <w:sz w:val="20"/>
                <w:szCs w:val="20"/>
              </w:rPr>
              <w:t xml:space="preserve">Směrnice </w:t>
            </w:r>
            <w:r w:rsidR="005E41D1">
              <w:rPr>
                <w:rFonts w:ascii="Arial" w:hAnsi="Arial" w:cs="Arial"/>
                <w:bCs/>
                <w:color w:val="1B174A" w:themeColor="text1" w:themeTint="E6"/>
                <w:sz w:val="20"/>
                <w:szCs w:val="20"/>
              </w:rPr>
              <w:t>ke</w:t>
            </w:r>
            <w:r w:rsidRPr="00FC3688">
              <w:rPr>
                <w:rFonts w:ascii="Arial" w:hAnsi="Arial" w:cs="Arial"/>
                <w:bCs/>
                <w:color w:val="1B174A" w:themeColor="text1" w:themeTint="E6"/>
                <w:sz w:val="20"/>
                <w:szCs w:val="20"/>
              </w:rPr>
              <w:t xml:space="preserve"> zdůvodňování tvrzení o environmentální výkonnosti výrobků a podniků</w:t>
            </w:r>
          </w:p>
          <w:p w14:paraId="3C0871A3" w14:textId="44719065" w:rsidR="00FC3688" w:rsidRDefault="00FC3688" w:rsidP="00FC3688">
            <w:pPr>
              <w:pStyle w:val="Odstavecseseznamem"/>
              <w:numPr>
                <w:ilvl w:val="0"/>
                <w:numId w:val="1"/>
              </w:numPr>
              <w:spacing w:line="360" w:lineRule="auto"/>
              <w:jc w:val="both"/>
              <w:rPr>
                <w:rFonts w:ascii="Arial" w:hAnsi="Arial" w:cs="Arial"/>
                <w:bCs/>
                <w:color w:val="1B174A" w:themeColor="text1" w:themeTint="E6"/>
                <w:sz w:val="20"/>
                <w:szCs w:val="20"/>
              </w:rPr>
            </w:pPr>
            <w:r w:rsidRPr="00FC3688">
              <w:rPr>
                <w:rFonts w:ascii="Arial" w:hAnsi="Arial" w:cs="Arial"/>
                <w:bCs/>
                <w:color w:val="1B174A" w:themeColor="text1" w:themeTint="E6"/>
                <w:sz w:val="20"/>
                <w:szCs w:val="20"/>
              </w:rPr>
              <w:t>Návrh vyhlášky, kterou se mění vyhláška č. 261/2016 Sb., o tabákových výrobcích</w:t>
            </w:r>
          </w:p>
          <w:p w14:paraId="0A567606" w14:textId="77777777" w:rsidR="00FC3688" w:rsidRPr="00FC3688" w:rsidRDefault="00FC3688" w:rsidP="00FC3688">
            <w:pPr>
              <w:pStyle w:val="Odstavecseseznamem"/>
              <w:numPr>
                <w:ilvl w:val="0"/>
                <w:numId w:val="1"/>
              </w:numPr>
              <w:spacing w:line="360" w:lineRule="auto"/>
              <w:jc w:val="both"/>
              <w:rPr>
                <w:rFonts w:ascii="Arial" w:hAnsi="Arial" w:cs="Arial"/>
                <w:bCs/>
                <w:color w:val="1B174A" w:themeColor="text1" w:themeTint="E6"/>
                <w:sz w:val="20"/>
                <w:szCs w:val="20"/>
              </w:rPr>
            </w:pPr>
            <w:r w:rsidRPr="00FC3688">
              <w:rPr>
                <w:rFonts w:ascii="Arial" w:hAnsi="Arial" w:cs="Arial"/>
                <w:bCs/>
                <w:color w:val="1B174A" w:themeColor="text1" w:themeTint="E6"/>
                <w:sz w:val="20"/>
                <w:szCs w:val="20"/>
              </w:rPr>
              <w:t>Návrh zákona, kterým se mění zákon č. 262/2006 Sb., zákoník práce</w:t>
            </w:r>
          </w:p>
          <w:p w14:paraId="53BD5D8A" w14:textId="6F0FADBF" w:rsidR="00FC3688" w:rsidRDefault="00FC3688" w:rsidP="00FC3688">
            <w:pPr>
              <w:pStyle w:val="Odstavecseseznamem"/>
              <w:numPr>
                <w:ilvl w:val="0"/>
                <w:numId w:val="1"/>
              </w:numPr>
              <w:spacing w:line="360" w:lineRule="auto"/>
              <w:jc w:val="both"/>
              <w:rPr>
                <w:rFonts w:ascii="Arial" w:hAnsi="Arial" w:cs="Arial"/>
                <w:bCs/>
                <w:color w:val="1B174A" w:themeColor="text1" w:themeTint="E6"/>
                <w:sz w:val="20"/>
                <w:szCs w:val="20"/>
              </w:rPr>
            </w:pPr>
            <w:r w:rsidRPr="00FC3688">
              <w:rPr>
                <w:rFonts w:ascii="Arial" w:hAnsi="Arial" w:cs="Arial"/>
                <w:bCs/>
                <w:color w:val="1B174A" w:themeColor="text1" w:themeTint="E6"/>
                <w:sz w:val="20"/>
                <w:szCs w:val="20"/>
              </w:rPr>
              <w:t>Návrh nařízení vlády, kterým se mění nařízení vlády č. 361/2007 Sb., kterým se stanoví podmínky ochrany zdraví při práci, ve znění pozdějších předpisů</w:t>
            </w:r>
          </w:p>
          <w:p w14:paraId="7B5F2173" w14:textId="77777777" w:rsidR="00876F2A" w:rsidRPr="00876F2A" w:rsidRDefault="00876F2A" w:rsidP="00876F2A">
            <w:pPr>
              <w:pStyle w:val="Odstavecseseznamem"/>
              <w:numPr>
                <w:ilvl w:val="0"/>
                <w:numId w:val="1"/>
              </w:numPr>
              <w:spacing w:line="360" w:lineRule="auto"/>
              <w:jc w:val="both"/>
              <w:rPr>
                <w:rFonts w:ascii="Arial" w:hAnsi="Arial" w:cs="Arial"/>
                <w:bCs/>
                <w:color w:val="1B174A" w:themeColor="text1" w:themeTint="E6"/>
                <w:sz w:val="20"/>
                <w:szCs w:val="20"/>
              </w:rPr>
            </w:pPr>
            <w:r w:rsidRPr="00876F2A">
              <w:rPr>
                <w:rFonts w:ascii="Arial" w:hAnsi="Arial" w:cs="Arial"/>
                <w:bCs/>
                <w:color w:val="1B174A" w:themeColor="text1" w:themeTint="E6"/>
                <w:sz w:val="20"/>
                <w:szCs w:val="20"/>
              </w:rPr>
              <w:t>Návrh vyhlášky o požadavcích na výstavbu</w:t>
            </w:r>
          </w:p>
          <w:p w14:paraId="47896ABA" w14:textId="29F24773" w:rsidR="00FC3688" w:rsidRDefault="00876F2A" w:rsidP="00876F2A">
            <w:pPr>
              <w:pStyle w:val="Odstavecseseznamem"/>
              <w:numPr>
                <w:ilvl w:val="0"/>
                <w:numId w:val="1"/>
              </w:numPr>
              <w:spacing w:line="360" w:lineRule="auto"/>
              <w:jc w:val="both"/>
              <w:rPr>
                <w:rFonts w:ascii="Arial" w:hAnsi="Arial" w:cs="Arial"/>
                <w:bCs/>
                <w:color w:val="1B174A" w:themeColor="text1" w:themeTint="E6"/>
                <w:sz w:val="20"/>
                <w:szCs w:val="20"/>
              </w:rPr>
            </w:pPr>
            <w:r w:rsidRPr="00876F2A">
              <w:rPr>
                <w:rFonts w:ascii="Arial" w:hAnsi="Arial" w:cs="Arial"/>
                <w:bCs/>
                <w:color w:val="1B174A" w:themeColor="text1" w:themeTint="E6"/>
                <w:sz w:val="20"/>
                <w:szCs w:val="20"/>
              </w:rPr>
              <w:t>Směrnice Evropského parlamentu a Rady 2023/959 ze dne 10. května 2023 (EU ETS)</w:t>
            </w:r>
          </w:p>
          <w:p w14:paraId="6E8B5D12" w14:textId="77777777" w:rsidR="00876F2A" w:rsidRPr="00876F2A" w:rsidRDefault="00876F2A" w:rsidP="00876F2A">
            <w:pPr>
              <w:pStyle w:val="Odstavecseseznamem"/>
              <w:numPr>
                <w:ilvl w:val="0"/>
                <w:numId w:val="1"/>
              </w:numPr>
              <w:spacing w:line="360" w:lineRule="auto"/>
              <w:jc w:val="both"/>
              <w:rPr>
                <w:rFonts w:ascii="Arial" w:hAnsi="Arial" w:cs="Arial"/>
                <w:bCs/>
                <w:color w:val="1B174A" w:themeColor="text1" w:themeTint="E6"/>
                <w:sz w:val="20"/>
                <w:szCs w:val="20"/>
              </w:rPr>
            </w:pPr>
            <w:r w:rsidRPr="00876F2A">
              <w:rPr>
                <w:rFonts w:ascii="Arial" w:hAnsi="Arial" w:cs="Arial"/>
                <w:bCs/>
                <w:color w:val="1B174A" w:themeColor="text1" w:themeTint="E6"/>
                <w:sz w:val="20"/>
                <w:szCs w:val="20"/>
              </w:rPr>
              <w:t>Návrh nařízení vlády, kterým se mění nařízení vlády č. 189/2022 Sb., o vymezení rozvoje podporovaných zdrojů energie</w:t>
            </w:r>
          </w:p>
          <w:p w14:paraId="55A6020C" w14:textId="77777777" w:rsidR="00876F2A" w:rsidRPr="00876F2A" w:rsidRDefault="00876F2A" w:rsidP="00876F2A">
            <w:pPr>
              <w:pStyle w:val="Odstavecseseznamem"/>
              <w:numPr>
                <w:ilvl w:val="0"/>
                <w:numId w:val="1"/>
              </w:numPr>
              <w:spacing w:line="360" w:lineRule="auto"/>
              <w:jc w:val="both"/>
              <w:rPr>
                <w:rFonts w:ascii="Arial" w:hAnsi="Arial" w:cs="Arial"/>
                <w:bCs/>
                <w:color w:val="1B174A" w:themeColor="text1" w:themeTint="E6"/>
                <w:sz w:val="20"/>
                <w:szCs w:val="20"/>
              </w:rPr>
            </w:pPr>
            <w:r w:rsidRPr="00876F2A">
              <w:rPr>
                <w:rFonts w:ascii="Arial" w:hAnsi="Arial" w:cs="Arial"/>
                <w:bCs/>
                <w:color w:val="1B174A" w:themeColor="text1" w:themeTint="E6"/>
                <w:sz w:val="20"/>
                <w:szCs w:val="20"/>
              </w:rPr>
              <w:t>Návrh nařízení vlády o stanovení prostředků státního rozpočtu podle § 28 odst. 3 zákona o podporovaných zdrojích energie pro rok 2024</w:t>
            </w:r>
          </w:p>
          <w:p w14:paraId="5CA961FF" w14:textId="77777777" w:rsidR="00876F2A" w:rsidRPr="00876F2A" w:rsidRDefault="00876F2A" w:rsidP="00876F2A">
            <w:pPr>
              <w:pStyle w:val="Odstavecseseznamem"/>
              <w:numPr>
                <w:ilvl w:val="0"/>
                <w:numId w:val="1"/>
              </w:numPr>
              <w:spacing w:line="360" w:lineRule="auto"/>
              <w:jc w:val="both"/>
              <w:rPr>
                <w:rFonts w:ascii="Arial" w:hAnsi="Arial" w:cs="Arial"/>
                <w:bCs/>
                <w:color w:val="1B174A" w:themeColor="text1" w:themeTint="E6"/>
                <w:sz w:val="20"/>
                <w:szCs w:val="20"/>
              </w:rPr>
            </w:pPr>
            <w:r w:rsidRPr="00876F2A">
              <w:rPr>
                <w:rFonts w:ascii="Arial" w:hAnsi="Arial" w:cs="Arial"/>
                <w:bCs/>
                <w:color w:val="1B174A" w:themeColor="text1" w:themeTint="E6"/>
                <w:sz w:val="20"/>
                <w:szCs w:val="20"/>
              </w:rPr>
              <w:t>Směrnice o zdanění energií</w:t>
            </w:r>
          </w:p>
          <w:p w14:paraId="4EABD141" w14:textId="69215318" w:rsidR="00876F2A" w:rsidRPr="0054187B" w:rsidRDefault="00876F2A" w:rsidP="00876F2A">
            <w:pPr>
              <w:pStyle w:val="Odstavecseseznamem"/>
              <w:numPr>
                <w:ilvl w:val="0"/>
                <w:numId w:val="1"/>
              </w:numPr>
              <w:spacing w:line="360" w:lineRule="auto"/>
              <w:jc w:val="both"/>
              <w:rPr>
                <w:rFonts w:ascii="Arial" w:hAnsi="Arial" w:cs="Arial"/>
                <w:bCs/>
                <w:color w:val="1B174A" w:themeColor="text1" w:themeTint="E6"/>
                <w:sz w:val="20"/>
                <w:szCs w:val="20"/>
              </w:rPr>
            </w:pPr>
            <w:r w:rsidRPr="00876F2A">
              <w:rPr>
                <w:rFonts w:ascii="Arial" w:hAnsi="Arial" w:cs="Arial"/>
                <w:bCs/>
                <w:color w:val="1B174A" w:themeColor="text1" w:themeTint="E6"/>
                <w:sz w:val="20"/>
                <w:szCs w:val="20"/>
              </w:rPr>
              <w:t>Směrnice o obnovitelných zdrojích (REDIII)</w:t>
            </w:r>
          </w:p>
          <w:p w14:paraId="33C29018" w14:textId="77777777" w:rsidR="00910407" w:rsidRPr="0054187B" w:rsidRDefault="00910407" w:rsidP="00910407">
            <w:pPr>
              <w:pStyle w:val="Odstavecseseznamem"/>
              <w:spacing w:line="360" w:lineRule="auto"/>
              <w:ind w:left="786"/>
              <w:jc w:val="both"/>
              <w:rPr>
                <w:rFonts w:ascii="Arial" w:hAnsi="Arial" w:cs="Arial"/>
                <w:bCs/>
                <w:color w:val="1B174A" w:themeColor="text1" w:themeTint="E6"/>
                <w:sz w:val="20"/>
                <w:szCs w:val="20"/>
              </w:rPr>
            </w:pPr>
          </w:p>
          <w:p w14:paraId="118937B2" w14:textId="0DA6C21D" w:rsidR="0014703E" w:rsidRPr="00825113" w:rsidRDefault="0014703E" w:rsidP="008E3CAD">
            <w:pPr>
              <w:pStyle w:val="Bezmezer"/>
              <w:spacing w:line="360" w:lineRule="auto"/>
              <w:jc w:val="both"/>
              <w:rPr>
                <w:rFonts w:ascii="Arial" w:hAnsi="Arial" w:cs="Arial"/>
                <w:b/>
                <w:color w:val="0F0D29" w:themeColor="text1"/>
                <w:sz w:val="24"/>
                <w:szCs w:val="24"/>
              </w:rPr>
            </w:pPr>
            <w:r w:rsidRPr="0054187B">
              <w:rPr>
                <w:rFonts w:ascii="Arial" w:hAnsi="Arial" w:cs="Arial"/>
                <w:b/>
                <w:color w:val="0F0D29" w:themeColor="text1"/>
                <w:sz w:val="24"/>
                <w:szCs w:val="24"/>
              </w:rPr>
              <w:t>III. Judikatura a stanoviska</w:t>
            </w:r>
          </w:p>
          <w:p w14:paraId="6702E586" w14:textId="2AF6FB28" w:rsidR="0066776E" w:rsidRDefault="00F95CE3" w:rsidP="00910407">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Náhrada škody a provoz zvlášť nebezpečný</w:t>
            </w:r>
          </w:p>
          <w:p w14:paraId="1E09761A" w14:textId="209364B6" w:rsidR="00F95CE3" w:rsidRDefault="00F95CE3" w:rsidP="00910407">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Právo ručitele odepřít plnění</w:t>
            </w:r>
          </w:p>
          <w:p w14:paraId="518B52FD" w14:textId="7C177275" w:rsidR="00A7757B" w:rsidRDefault="00A7757B" w:rsidP="00910407">
            <w:pPr>
              <w:pStyle w:val="Odstavecseseznamem"/>
              <w:numPr>
                <w:ilvl w:val="0"/>
                <w:numId w:val="1"/>
              </w:numPr>
              <w:spacing w:line="360" w:lineRule="auto"/>
              <w:jc w:val="both"/>
              <w:rPr>
                <w:rFonts w:ascii="Arial" w:hAnsi="Arial" w:cs="Arial"/>
                <w:bCs/>
                <w:color w:val="0F0D29" w:themeColor="text1"/>
                <w:sz w:val="20"/>
                <w:szCs w:val="20"/>
              </w:rPr>
            </w:pPr>
            <w:r w:rsidRPr="00A7757B">
              <w:rPr>
                <w:rFonts w:ascii="Arial" w:hAnsi="Arial" w:cs="Arial"/>
                <w:bCs/>
                <w:color w:val="0F0D29" w:themeColor="text1"/>
                <w:sz w:val="20"/>
                <w:szCs w:val="20"/>
              </w:rPr>
              <w:t>Nevymáhání smluvní pokuty jako potenciální podstatná změna závazku ze smlouvy na veřejnou zakázku</w:t>
            </w:r>
          </w:p>
          <w:p w14:paraId="638DE63D" w14:textId="55C69092" w:rsidR="004B005C" w:rsidRDefault="004B005C" w:rsidP="004B005C">
            <w:pPr>
              <w:spacing w:line="360" w:lineRule="auto"/>
              <w:jc w:val="both"/>
              <w:rPr>
                <w:rFonts w:ascii="Arial" w:hAnsi="Arial" w:cs="Arial"/>
                <w:bCs/>
                <w:color w:val="0F0D29" w:themeColor="text1"/>
                <w:sz w:val="20"/>
                <w:szCs w:val="20"/>
              </w:rPr>
            </w:pPr>
          </w:p>
          <w:p w14:paraId="3DA505C9" w14:textId="7EDBB433" w:rsidR="004B005C" w:rsidRDefault="004B005C" w:rsidP="004B005C">
            <w:pPr>
              <w:spacing w:line="360" w:lineRule="auto"/>
              <w:jc w:val="both"/>
              <w:rPr>
                <w:rFonts w:ascii="Arial" w:hAnsi="Arial" w:cs="Arial"/>
                <w:bCs/>
                <w:color w:val="0F0D29" w:themeColor="text1"/>
                <w:sz w:val="20"/>
                <w:szCs w:val="20"/>
              </w:rPr>
            </w:pPr>
          </w:p>
          <w:p w14:paraId="4D9D13F8" w14:textId="1E13EC49" w:rsidR="004B005C" w:rsidRDefault="004B005C" w:rsidP="004B005C">
            <w:pPr>
              <w:spacing w:line="360" w:lineRule="auto"/>
              <w:jc w:val="both"/>
              <w:rPr>
                <w:rFonts w:ascii="Arial" w:hAnsi="Arial" w:cs="Arial"/>
                <w:bCs/>
                <w:color w:val="0F0D29" w:themeColor="text1"/>
                <w:sz w:val="20"/>
                <w:szCs w:val="20"/>
              </w:rPr>
            </w:pPr>
          </w:p>
          <w:p w14:paraId="7D5C622A" w14:textId="5C2EE78F" w:rsidR="004B005C" w:rsidRDefault="004B005C" w:rsidP="004B005C">
            <w:pPr>
              <w:spacing w:line="360" w:lineRule="auto"/>
              <w:jc w:val="both"/>
              <w:rPr>
                <w:rFonts w:ascii="Arial" w:hAnsi="Arial" w:cs="Arial"/>
                <w:bCs/>
                <w:color w:val="0F0D29" w:themeColor="text1"/>
                <w:sz w:val="20"/>
                <w:szCs w:val="20"/>
              </w:rPr>
            </w:pPr>
          </w:p>
          <w:p w14:paraId="0E762DFF" w14:textId="66CF4954" w:rsidR="004B005C" w:rsidRDefault="004B005C" w:rsidP="004B005C">
            <w:pPr>
              <w:spacing w:line="360" w:lineRule="auto"/>
              <w:jc w:val="both"/>
              <w:rPr>
                <w:rFonts w:ascii="Arial" w:hAnsi="Arial" w:cs="Arial"/>
                <w:bCs/>
                <w:color w:val="0F0D29" w:themeColor="text1"/>
                <w:sz w:val="20"/>
                <w:szCs w:val="20"/>
              </w:rPr>
            </w:pPr>
          </w:p>
          <w:p w14:paraId="393D1679" w14:textId="40E2183D" w:rsidR="004B005C" w:rsidRDefault="004B005C" w:rsidP="004B005C">
            <w:pPr>
              <w:spacing w:line="360" w:lineRule="auto"/>
              <w:jc w:val="both"/>
              <w:rPr>
                <w:rFonts w:ascii="Arial" w:hAnsi="Arial" w:cs="Arial"/>
                <w:bCs/>
                <w:color w:val="0F0D29" w:themeColor="text1"/>
                <w:sz w:val="20"/>
                <w:szCs w:val="20"/>
              </w:rPr>
            </w:pPr>
          </w:p>
          <w:p w14:paraId="3CC8AA76" w14:textId="79404396" w:rsidR="00B50739" w:rsidRDefault="00B50739" w:rsidP="004B005C">
            <w:pPr>
              <w:spacing w:line="360" w:lineRule="auto"/>
              <w:jc w:val="both"/>
              <w:rPr>
                <w:rFonts w:ascii="Arial" w:hAnsi="Arial" w:cs="Arial"/>
                <w:bCs/>
                <w:color w:val="0F0D29" w:themeColor="text1"/>
                <w:sz w:val="20"/>
                <w:szCs w:val="20"/>
              </w:rPr>
            </w:pPr>
          </w:p>
          <w:p w14:paraId="316DBFB7" w14:textId="5A608A73" w:rsidR="00B50739" w:rsidRDefault="00B50739" w:rsidP="004B005C">
            <w:pPr>
              <w:spacing w:line="360" w:lineRule="auto"/>
              <w:jc w:val="both"/>
              <w:rPr>
                <w:rFonts w:ascii="Arial" w:hAnsi="Arial" w:cs="Arial"/>
                <w:bCs/>
                <w:color w:val="0F0D29" w:themeColor="text1"/>
                <w:sz w:val="20"/>
                <w:szCs w:val="20"/>
              </w:rPr>
            </w:pPr>
          </w:p>
          <w:p w14:paraId="44AC35BE" w14:textId="1D969D4E" w:rsidR="00B50739" w:rsidRDefault="00B50739" w:rsidP="004B005C">
            <w:pPr>
              <w:spacing w:line="360" w:lineRule="auto"/>
              <w:jc w:val="both"/>
              <w:rPr>
                <w:rFonts w:ascii="Arial" w:hAnsi="Arial" w:cs="Arial"/>
                <w:bCs/>
                <w:color w:val="0F0D29" w:themeColor="text1"/>
                <w:sz w:val="20"/>
                <w:szCs w:val="20"/>
              </w:rPr>
            </w:pPr>
          </w:p>
          <w:p w14:paraId="361D86AA" w14:textId="25C3EC9E" w:rsidR="00B50739" w:rsidRDefault="00B50739" w:rsidP="004B005C">
            <w:pPr>
              <w:spacing w:line="360" w:lineRule="auto"/>
              <w:jc w:val="both"/>
              <w:rPr>
                <w:rFonts w:ascii="Arial" w:hAnsi="Arial" w:cs="Arial"/>
                <w:bCs/>
                <w:color w:val="0F0D29" w:themeColor="text1"/>
                <w:sz w:val="20"/>
                <w:szCs w:val="20"/>
              </w:rPr>
            </w:pPr>
          </w:p>
          <w:p w14:paraId="68594077" w14:textId="430AF19E" w:rsidR="00B50739" w:rsidRDefault="00B50739" w:rsidP="004B005C">
            <w:pPr>
              <w:spacing w:line="360" w:lineRule="auto"/>
              <w:jc w:val="both"/>
              <w:rPr>
                <w:rFonts w:ascii="Arial" w:hAnsi="Arial" w:cs="Arial"/>
                <w:bCs/>
                <w:color w:val="0F0D29" w:themeColor="text1"/>
                <w:sz w:val="20"/>
                <w:szCs w:val="20"/>
              </w:rPr>
            </w:pPr>
          </w:p>
          <w:p w14:paraId="15E412D1" w14:textId="69B29C49" w:rsidR="00B50739" w:rsidRDefault="00B50739" w:rsidP="004B005C">
            <w:pPr>
              <w:spacing w:line="360" w:lineRule="auto"/>
              <w:jc w:val="both"/>
              <w:rPr>
                <w:rFonts w:ascii="Arial" w:hAnsi="Arial" w:cs="Arial"/>
                <w:bCs/>
                <w:color w:val="0F0D29" w:themeColor="text1"/>
                <w:sz w:val="20"/>
                <w:szCs w:val="20"/>
              </w:rPr>
            </w:pPr>
          </w:p>
          <w:p w14:paraId="04229DDA" w14:textId="3F0E54F0" w:rsidR="00B50739" w:rsidRDefault="00B50739" w:rsidP="004B005C">
            <w:pPr>
              <w:spacing w:line="360" w:lineRule="auto"/>
              <w:jc w:val="both"/>
              <w:rPr>
                <w:rFonts w:ascii="Arial" w:hAnsi="Arial" w:cs="Arial"/>
                <w:bCs/>
                <w:color w:val="0F0D29" w:themeColor="text1"/>
                <w:sz w:val="20"/>
                <w:szCs w:val="20"/>
              </w:rPr>
            </w:pPr>
          </w:p>
          <w:p w14:paraId="23DD637D" w14:textId="7F3E8640" w:rsidR="00B50739" w:rsidRDefault="00B50739" w:rsidP="004B005C">
            <w:pPr>
              <w:spacing w:line="360" w:lineRule="auto"/>
              <w:jc w:val="both"/>
              <w:rPr>
                <w:rFonts w:ascii="Arial" w:hAnsi="Arial" w:cs="Arial"/>
                <w:bCs/>
                <w:color w:val="0F0D29" w:themeColor="text1"/>
                <w:sz w:val="20"/>
                <w:szCs w:val="20"/>
              </w:rPr>
            </w:pPr>
          </w:p>
          <w:p w14:paraId="1CB14F45" w14:textId="593AD405" w:rsidR="00B50739" w:rsidRDefault="00B50739" w:rsidP="004B005C">
            <w:pPr>
              <w:spacing w:line="360" w:lineRule="auto"/>
              <w:jc w:val="both"/>
              <w:rPr>
                <w:rFonts w:ascii="Arial" w:hAnsi="Arial" w:cs="Arial"/>
                <w:bCs/>
                <w:color w:val="0F0D29" w:themeColor="text1"/>
                <w:sz w:val="20"/>
                <w:szCs w:val="20"/>
              </w:rPr>
            </w:pPr>
          </w:p>
          <w:p w14:paraId="40E4A85F" w14:textId="77777777" w:rsidR="00B50739" w:rsidRDefault="00B50739" w:rsidP="004B005C">
            <w:pPr>
              <w:spacing w:line="360" w:lineRule="auto"/>
              <w:jc w:val="both"/>
              <w:rPr>
                <w:rFonts w:ascii="Arial" w:hAnsi="Arial" w:cs="Arial"/>
                <w:bCs/>
                <w:color w:val="0F0D29" w:themeColor="text1"/>
                <w:sz w:val="20"/>
                <w:szCs w:val="20"/>
              </w:rPr>
            </w:pPr>
          </w:p>
          <w:p w14:paraId="034D3400" w14:textId="43D09813" w:rsidR="004B005C" w:rsidRDefault="004B005C" w:rsidP="004B005C">
            <w:pPr>
              <w:spacing w:line="360" w:lineRule="auto"/>
              <w:jc w:val="both"/>
              <w:rPr>
                <w:rFonts w:ascii="Arial" w:hAnsi="Arial" w:cs="Arial"/>
                <w:bCs/>
                <w:color w:val="0F0D29" w:themeColor="text1"/>
                <w:sz w:val="20"/>
                <w:szCs w:val="20"/>
              </w:rPr>
            </w:pPr>
          </w:p>
          <w:p w14:paraId="3466F3F6" w14:textId="6CA9F3CA" w:rsidR="004B005C" w:rsidRDefault="004B005C" w:rsidP="004B005C">
            <w:pPr>
              <w:spacing w:line="360" w:lineRule="auto"/>
              <w:jc w:val="both"/>
              <w:rPr>
                <w:rFonts w:ascii="Arial" w:hAnsi="Arial" w:cs="Arial"/>
                <w:bCs/>
                <w:color w:val="0F0D29" w:themeColor="text1"/>
                <w:sz w:val="20"/>
                <w:szCs w:val="20"/>
              </w:rPr>
            </w:pPr>
          </w:p>
          <w:p w14:paraId="4EFA7AE7" w14:textId="1F1C1536" w:rsidR="004B005C" w:rsidRDefault="004B005C" w:rsidP="004B005C">
            <w:pPr>
              <w:spacing w:line="360" w:lineRule="auto"/>
              <w:jc w:val="both"/>
              <w:rPr>
                <w:rFonts w:ascii="Arial" w:hAnsi="Arial" w:cs="Arial"/>
                <w:bCs/>
                <w:color w:val="0F0D29" w:themeColor="text1"/>
                <w:sz w:val="20"/>
                <w:szCs w:val="20"/>
              </w:rPr>
            </w:pPr>
          </w:p>
          <w:p w14:paraId="13668426" w14:textId="5EE85CE0" w:rsidR="00B50739" w:rsidRDefault="00B50739" w:rsidP="004B005C">
            <w:pPr>
              <w:spacing w:line="360" w:lineRule="auto"/>
              <w:jc w:val="both"/>
              <w:rPr>
                <w:rFonts w:ascii="Arial" w:hAnsi="Arial" w:cs="Arial"/>
                <w:bCs/>
                <w:color w:val="0F0D29" w:themeColor="text1"/>
                <w:sz w:val="20"/>
                <w:szCs w:val="20"/>
              </w:rPr>
            </w:pPr>
          </w:p>
          <w:p w14:paraId="133FEAA0" w14:textId="1618A929" w:rsidR="00B50739" w:rsidRDefault="00B50739" w:rsidP="004B005C">
            <w:pPr>
              <w:spacing w:line="360" w:lineRule="auto"/>
              <w:jc w:val="both"/>
              <w:rPr>
                <w:rFonts w:ascii="Arial" w:hAnsi="Arial" w:cs="Arial"/>
                <w:bCs/>
                <w:color w:val="0F0D29" w:themeColor="text1"/>
                <w:sz w:val="20"/>
                <w:szCs w:val="20"/>
              </w:rPr>
            </w:pPr>
          </w:p>
          <w:p w14:paraId="4B1E43BD" w14:textId="77777777" w:rsidR="00B50739" w:rsidRDefault="00B50739" w:rsidP="004B005C">
            <w:pPr>
              <w:spacing w:line="360" w:lineRule="auto"/>
              <w:jc w:val="both"/>
              <w:rPr>
                <w:rFonts w:ascii="Arial" w:hAnsi="Arial" w:cs="Arial"/>
                <w:bCs/>
                <w:color w:val="0F0D29" w:themeColor="text1"/>
                <w:sz w:val="20"/>
                <w:szCs w:val="20"/>
              </w:rPr>
            </w:pPr>
          </w:p>
          <w:p w14:paraId="6ED62FA4" w14:textId="50BCBE9B" w:rsidR="0014703E" w:rsidRPr="005078C0" w:rsidRDefault="0014703E" w:rsidP="005078C0">
            <w:pPr>
              <w:pStyle w:val="Bezmezer"/>
              <w:numPr>
                <w:ilvl w:val="0"/>
                <w:numId w:val="4"/>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Platné právní předpisy vyhlášené ve Sbírce zákonů</w:t>
            </w:r>
          </w:p>
          <w:p w14:paraId="5081D4CD" w14:textId="47A2F9AF" w:rsidR="00BF66CB" w:rsidRDefault="00BF66CB" w:rsidP="00BF66CB">
            <w:pPr>
              <w:pStyle w:val="Bezmezer"/>
              <w:spacing w:line="360" w:lineRule="auto"/>
              <w:rPr>
                <w:rStyle w:val="Hypertextovodkaz"/>
                <w:rFonts w:ascii="Arial" w:eastAsia="Times New Roman" w:hAnsi="Arial" w:cs="Arial"/>
                <w:b/>
                <w:bCs/>
                <w:color w:val="0F0D29" w:themeColor="text1"/>
                <w:kern w:val="36"/>
                <w:sz w:val="24"/>
                <w:szCs w:val="24"/>
                <w:lang w:eastAsia="cs-CZ"/>
              </w:rPr>
            </w:pPr>
          </w:p>
          <w:p w14:paraId="7E4CDC0C" w14:textId="0D64DD42" w:rsidR="00C203E7" w:rsidRPr="006E530F" w:rsidRDefault="00D01389" w:rsidP="00A86F93">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D01389">
              <w:rPr>
                <w:rStyle w:val="Hypertextovodkaz"/>
                <w:rFonts w:ascii="Arial" w:eastAsia="Times New Roman" w:hAnsi="Arial" w:cs="Arial"/>
                <w:b/>
                <w:bCs/>
                <w:color w:val="0F0D29" w:themeColor="text1"/>
                <w:kern w:val="36"/>
                <w:sz w:val="24"/>
                <w:szCs w:val="24"/>
                <w:u w:val="none"/>
                <w:lang w:eastAsia="cs-CZ"/>
              </w:rPr>
              <w:t xml:space="preserve">Zákon č. 226/2023 Sb., kterým se mění zákon č. 143/2001 Sb., o ochraně hospodářské soutěže a o změně některých zákonů (zákon o ochraně hospodářské soutěže), ve znění pozdějších předpisů, a zákon č. 273/1996 Sb., o působnosti Úřadu pro ochranu hospodářské soutěže, ve znění pozdějších předpisů  </w:t>
            </w:r>
            <w:r w:rsidR="00A86F93" w:rsidRPr="00A86F93">
              <w:rPr>
                <w:rStyle w:val="Hypertextovodkaz"/>
                <w:rFonts w:ascii="Arial" w:eastAsia="Times New Roman" w:hAnsi="Arial" w:cs="Arial"/>
                <w:b/>
                <w:bCs/>
                <w:color w:val="0F0D29" w:themeColor="text1"/>
                <w:kern w:val="36"/>
                <w:sz w:val="24"/>
                <w:szCs w:val="24"/>
                <w:u w:val="none"/>
                <w:lang w:eastAsia="cs-CZ"/>
              </w:rPr>
              <w:t xml:space="preserve">  </w:t>
            </w:r>
            <w:r w:rsidR="00000000">
              <w:rPr>
                <w:rStyle w:val="Hypertextovodkaz"/>
                <w:rFonts w:ascii="Arial" w:eastAsia="Times New Roman" w:hAnsi="Arial" w:cs="Arial"/>
                <w:b/>
                <w:bCs/>
                <w:color w:val="0F0D29" w:themeColor="text1"/>
                <w:kern w:val="36"/>
                <w:sz w:val="24"/>
                <w:szCs w:val="24"/>
                <w:u w:val="none"/>
                <w:lang w:eastAsia="cs-CZ"/>
              </w:rPr>
              <w:pict w14:anchorId="5D475690">
                <v:rect id="_x0000_i1025" style="width:0;height:1.5pt" o:hralign="center" o:hrstd="t" o:hr="t" fillcolor="#a0a0a0" stroked="f"/>
              </w:pict>
            </w:r>
          </w:p>
          <w:p w14:paraId="65A2A647" w14:textId="31409CD6" w:rsidR="00C203E7" w:rsidRPr="001A0EC5"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Účinnost</w:t>
            </w:r>
            <w:r w:rsidR="00916FC4" w:rsidRPr="001A0EC5">
              <w:rPr>
                <w:rFonts w:asciiTheme="majorHAnsi" w:hAnsiTheme="majorHAnsi" w:cstheme="majorHAnsi"/>
                <w:color w:val="3B3B3B"/>
                <w:sz w:val="20"/>
                <w:szCs w:val="20"/>
              </w:rPr>
              <w:t xml:space="preserve"> od </w:t>
            </w:r>
            <w:r w:rsidR="00D01389">
              <w:rPr>
                <w:rFonts w:asciiTheme="majorHAnsi" w:hAnsiTheme="majorHAnsi" w:cstheme="majorHAnsi"/>
                <w:color w:val="3B3B3B"/>
                <w:sz w:val="20"/>
                <w:szCs w:val="20"/>
              </w:rPr>
              <w:t>29.7.2023</w:t>
            </w:r>
            <w:r w:rsidRPr="001A0EC5">
              <w:rPr>
                <w:rFonts w:asciiTheme="majorHAnsi" w:hAnsiTheme="majorHAnsi" w:cstheme="majorHAnsi"/>
                <w:color w:val="3B3B3B"/>
                <w:sz w:val="20"/>
                <w:szCs w:val="20"/>
              </w:rPr>
              <w:t xml:space="preserve"> </w:t>
            </w:r>
          </w:p>
          <w:p w14:paraId="2BD1DD9E" w14:textId="77777777" w:rsidR="00C203E7" w:rsidRPr="001A0EC5"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0D10EB3B" w14:textId="7C178C10" w:rsidR="00916FC4" w:rsidRDefault="00916FC4"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sidR="00D01389">
              <w:rPr>
                <w:rFonts w:asciiTheme="majorHAnsi" w:hAnsiTheme="majorHAnsi" w:cstheme="majorHAnsi"/>
                <w:color w:val="3B3B3B"/>
                <w:sz w:val="20"/>
                <w:szCs w:val="20"/>
              </w:rPr>
              <w:t>14. 7</w:t>
            </w:r>
            <w:r w:rsidR="008602AE" w:rsidRPr="001A0EC5">
              <w:rPr>
                <w:rFonts w:asciiTheme="majorHAnsi" w:hAnsiTheme="majorHAnsi" w:cstheme="majorHAnsi"/>
                <w:color w:val="3B3B3B"/>
                <w:sz w:val="20"/>
                <w:szCs w:val="20"/>
              </w:rPr>
              <w:t>.2023</w:t>
            </w:r>
            <w:r w:rsidRPr="001A0EC5">
              <w:rPr>
                <w:rFonts w:asciiTheme="majorHAnsi" w:hAnsiTheme="majorHAnsi" w:cstheme="majorHAnsi"/>
                <w:color w:val="3B3B3B"/>
                <w:sz w:val="20"/>
                <w:szCs w:val="20"/>
              </w:rPr>
              <w:t xml:space="preserve"> byla ve Sbírce zákonů publikována </w:t>
            </w:r>
            <w:r w:rsidR="008602AE" w:rsidRPr="001A0EC5">
              <w:rPr>
                <w:rFonts w:asciiTheme="majorHAnsi" w:hAnsiTheme="majorHAnsi" w:cstheme="majorHAnsi"/>
                <w:color w:val="3B3B3B"/>
                <w:sz w:val="20"/>
                <w:szCs w:val="20"/>
              </w:rPr>
              <w:t xml:space="preserve">novela </w:t>
            </w:r>
            <w:r w:rsidR="00D01389">
              <w:t xml:space="preserve"> </w:t>
            </w:r>
            <w:r w:rsidR="00D01389" w:rsidRPr="00D01389">
              <w:rPr>
                <w:rFonts w:asciiTheme="majorHAnsi" w:hAnsiTheme="majorHAnsi" w:cstheme="majorHAnsi"/>
                <w:color w:val="3B3B3B"/>
                <w:sz w:val="20"/>
                <w:szCs w:val="20"/>
              </w:rPr>
              <w:t>zákon</w:t>
            </w:r>
            <w:r w:rsidR="00D01389">
              <w:rPr>
                <w:rFonts w:asciiTheme="majorHAnsi" w:hAnsiTheme="majorHAnsi" w:cstheme="majorHAnsi"/>
                <w:color w:val="3B3B3B"/>
                <w:sz w:val="20"/>
                <w:szCs w:val="20"/>
              </w:rPr>
              <w:t>a</w:t>
            </w:r>
            <w:r w:rsidR="00D01389" w:rsidRPr="00D01389">
              <w:rPr>
                <w:rFonts w:asciiTheme="majorHAnsi" w:hAnsiTheme="majorHAnsi" w:cstheme="majorHAnsi"/>
                <w:color w:val="3B3B3B"/>
                <w:sz w:val="20"/>
                <w:szCs w:val="20"/>
              </w:rPr>
              <w:t xml:space="preserve"> č. 143/2001 Sb., o ochraně hospodářské soutěže a o změně některých zákonů (zákon o ochraně hospodářské soutěže), ve znění pozdějších předpisů, a zákon č. 273/1996 Sb., o působnosti Úřadu pro ochranu hospodářské soutěže, ve znění pozdějších předpisů</w:t>
            </w:r>
            <w:r w:rsidR="00D01389">
              <w:rPr>
                <w:rFonts w:asciiTheme="majorHAnsi" w:hAnsiTheme="majorHAnsi" w:cstheme="majorHAnsi"/>
                <w:color w:val="3B3B3B"/>
                <w:sz w:val="20"/>
                <w:szCs w:val="20"/>
              </w:rPr>
              <w:t>.</w:t>
            </w:r>
            <w:r w:rsidR="00D01389" w:rsidRPr="00D01389">
              <w:rPr>
                <w:rFonts w:asciiTheme="majorHAnsi" w:hAnsiTheme="majorHAnsi" w:cstheme="majorHAnsi"/>
                <w:color w:val="3B3B3B"/>
                <w:sz w:val="20"/>
                <w:szCs w:val="20"/>
              </w:rPr>
              <w:t xml:space="preserve">    </w:t>
            </w:r>
          </w:p>
          <w:p w14:paraId="7041FEED" w14:textId="2EDDB15A" w:rsidR="008B5919" w:rsidRDefault="008B5919"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6524B888" w14:textId="518A8AFD" w:rsidR="003F7659" w:rsidRDefault="002A7630"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Novela </w:t>
            </w:r>
            <w:r w:rsidR="00D01389">
              <w:t xml:space="preserve"> </w:t>
            </w:r>
            <w:r w:rsidR="00D01389" w:rsidRPr="00D01389">
              <w:rPr>
                <w:rFonts w:asciiTheme="majorHAnsi" w:hAnsiTheme="majorHAnsi" w:cstheme="majorHAnsi"/>
                <w:color w:val="3B3B3B"/>
                <w:sz w:val="20"/>
                <w:szCs w:val="20"/>
              </w:rPr>
              <w:t>implementuje směrnici Evropského parlamentu a Rady (EU) 2019/1 ze dne 11. prosince 2018 o posílení postavení orgánů pro hospodářskou soutěž v členských státech tak, aby mohly účinněji prosazovat pravidla, a o zajištění řádného fungování vnitřního trhu a další změny zákona odůvodněny dosavadní aplikační praxí.</w:t>
            </w:r>
          </w:p>
          <w:p w14:paraId="4B02FC14" w14:textId="4C8D61E2" w:rsidR="00D01389" w:rsidRDefault="00D01389"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2F61B049" w14:textId="099EFBB9" w:rsidR="00C203E7" w:rsidRPr="005C048D" w:rsidRDefault="00D01389" w:rsidP="00C203E7">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Pr>
                <w:rStyle w:val="Hypertextovodkaz"/>
                <w:rFonts w:ascii="Arial" w:eastAsia="Times New Roman" w:hAnsi="Arial" w:cs="Arial"/>
                <w:b/>
                <w:bCs/>
                <w:i/>
                <w:color w:val="auto"/>
                <w:kern w:val="36"/>
                <w:sz w:val="20"/>
                <w:szCs w:val="20"/>
                <w:u w:val="none"/>
                <w:lang w:eastAsia="cs-CZ"/>
              </w:rPr>
              <w:t>Novela je předmětem věcného posouzení ze strany OPS.</w:t>
            </w:r>
          </w:p>
          <w:p w14:paraId="491551C1" w14:textId="00CBC0F3" w:rsidR="004B005C" w:rsidRDefault="004B005C"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7497845D" w14:textId="1FB321B0" w:rsidR="00D01389" w:rsidRPr="006E530F" w:rsidRDefault="00D01389" w:rsidP="00D01389">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D01389">
              <w:rPr>
                <w:rStyle w:val="Hypertextovodkaz"/>
                <w:rFonts w:ascii="Arial" w:eastAsia="Times New Roman" w:hAnsi="Arial" w:cs="Arial"/>
                <w:b/>
                <w:bCs/>
                <w:color w:val="0F0D29" w:themeColor="text1"/>
                <w:kern w:val="36"/>
                <w:sz w:val="24"/>
                <w:szCs w:val="24"/>
                <w:u w:val="none"/>
                <w:lang w:eastAsia="cs-CZ"/>
              </w:rPr>
              <w:t xml:space="preserve">Zákon č. 224/2023 Sb., kterým se mění zákon č. 123/1998 Sb., o právu na informace o životním prostředí, ve znění pozdějších předpisů  </w:t>
            </w:r>
            <w:r w:rsidR="00000000">
              <w:rPr>
                <w:rStyle w:val="Hypertextovodkaz"/>
                <w:rFonts w:ascii="Arial" w:eastAsia="Times New Roman" w:hAnsi="Arial" w:cs="Arial"/>
                <w:b/>
                <w:bCs/>
                <w:color w:val="0F0D29" w:themeColor="text1"/>
                <w:kern w:val="36"/>
                <w:sz w:val="24"/>
                <w:szCs w:val="24"/>
                <w:u w:val="none"/>
                <w:lang w:eastAsia="cs-CZ"/>
              </w:rPr>
              <w:pict w14:anchorId="669B72FF">
                <v:rect id="_x0000_i1026" style="width:0;height:1.5pt" o:hralign="center" o:hrstd="t" o:hr="t" fillcolor="#a0a0a0" stroked="f"/>
              </w:pict>
            </w:r>
          </w:p>
          <w:p w14:paraId="73BDDAEB" w14:textId="77777777" w:rsidR="00D01389" w:rsidRPr="001A0EC5" w:rsidRDefault="00D01389" w:rsidP="00D01389">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Pr>
                <w:rFonts w:asciiTheme="majorHAnsi" w:hAnsiTheme="majorHAnsi" w:cstheme="majorHAnsi"/>
                <w:color w:val="3B3B3B"/>
                <w:sz w:val="20"/>
                <w:szCs w:val="20"/>
              </w:rPr>
              <w:t>29.7.2023</w:t>
            </w:r>
            <w:r w:rsidRPr="001A0EC5">
              <w:rPr>
                <w:rFonts w:asciiTheme="majorHAnsi" w:hAnsiTheme="majorHAnsi" w:cstheme="majorHAnsi"/>
                <w:color w:val="3B3B3B"/>
                <w:sz w:val="20"/>
                <w:szCs w:val="20"/>
              </w:rPr>
              <w:t xml:space="preserve"> </w:t>
            </w:r>
          </w:p>
          <w:p w14:paraId="55846261" w14:textId="77777777" w:rsidR="00D01389" w:rsidRPr="001A0EC5" w:rsidRDefault="00D01389" w:rsidP="00D01389">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4061B83C" w14:textId="77777777" w:rsidR="00D01389" w:rsidRDefault="00D01389" w:rsidP="00D0138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Pr>
                <w:rFonts w:asciiTheme="majorHAnsi" w:hAnsiTheme="majorHAnsi" w:cstheme="majorHAnsi"/>
                <w:color w:val="3B3B3B"/>
                <w:sz w:val="20"/>
                <w:szCs w:val="20"/>
              </w:rPr>
              <w:t>14. 7</w:t>
            </w:r>
            <w:r w:rsidRPr="001A0EC5">
              <w:rPr>
                <w:rFonts w:asciiTheme="majorHAnsi" w:hAnsiTheme="majorHAnsi" w:cstheme="majorHAnsi"/>
                <w:color w:val="3B3B3B"/>
                <w:sz w:val="20"/>
                <w:szCs w:val="20"/>
              </w:rPr>
              <w:t xml:space="preserve">.2023 byla ve Sbírce zákonů publikována novela </w:t>
            </w:r>
            <w:r>
              <w:t xml:space="preserve"> </w:t>
            </w:r>
            <w:r w:rsidRPr="00D01389">
              <w:rPr>
                <w:rFonts w:asciiTheme="majorHAnsi" w:hAnsiTheme="majorHAnsi" w:cstheme="majorHAnsi"/>
                <w:color w:val="3B3B3B"/>
                <w:sz w:val="20"/>
                <w:szCs w:val="20"/>
              </w:rPr>
              <w:t>zákon</w:t>
            </w:r>
            <w:r>
              <w:rPr>
                <w:rFonts w:asciiTheme="majorHAnsi" w:hAnsiTheme="majorHAnsi" w:cstheme="majorHAnsi"/>
                <w:color w:val="3B3B3B"/>
                <w:sz w:val="20"/>
                <w:szCs w:val="20"/>
              </w:rPr>
              <w:t>a</w:t>
            </w:r>
            <w:r w:rsidRPr="00D01389">
              <w:rPr>
                <w:rFonts w:asciiTheme="majorHAnsi" w:hAnsiTheme="majorHAnsi" w:cstheme="majorHAnsi"/>
                <w:color w:val="3B3B3B"/>
                <w:sz w:val="20"/>
                <w:szCs w:val="20"/>
              </w:rPr>
              <w:t xml:space="preserve"> č. 123/1998 Sb., o právu na informace o životním prostředí, ve znění pozdějších předpisů</w:t>
            </w:r>
            <w:r>
              <w:rPr>
                <w:rFonts w:asciiTheme="majorHAnsi" w:hAnsiTheme="majorHAnsi" w:cstheme="majorHAnsi"/>
                <w:color w:val="3B3B3B"/>
                <w:sz w:val="20"/>
                <w:szCs w:val="20"/>
              </w:rPr>
              <w:t>.</w:t>
            </w:r>
          </w:p>
          <w:p w14:paraId="27622AFA" w14:textId="77777777" w:rsidR="00D01389" w:rsidRDefault="00D01389" w:rsidP="00D0138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0DC0FC8E" w14:textId="4DDEEF9A" w:rsidR="00710C2D" w:rsidRDefault="00D01389" w:rsidP="00D0138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Novela </w:t>
            </w:r>
            <w:r>
              <w:t xml:space="preserve"> </w:t>
            </w:r>
            <w:r w:rsidR="00710C2D">
              <w:rPr>
                <w:rFonts w:asciiTheme="majorHAnsi" w:hAnsiTheme="majorHAnsi" w:cstheme="majorHAnsi"/>
                <w:color w:val="3B3B3B"/>
                <w:sz w:val="20"/>
                <w:szCs w:val="20"/>
              </w:rPr>
              <w:t>byla vypracována a přijata</w:t>
            </w:r>
            <w:r w:rsidR="00710C2D" w:rsidRPr="00710C2D">
              <w:rPr>
                <w:rFonts w:asciiTheme="majorHAnsi" w:hAnsiTheme="majorHAnsi" w:cstheme="majorHAnsi"/>
                <w:color w:val="3B3B3B"/>
                <w:sz w:val="20"/>
                <w:szCs w:val="20"/>
              </w:rPr>
              <w:t xml:space="preserve"> ze dvou důvodů. Prvním z nich je změna předpisů na unijní úrovni, na jejímž základě je třeba uvést do souladu zákon a na něj navazující vyhlášku. Druhým důvodem je zakotvení koordinační struktury, a to v návaznosti na směrnici INSPIRE. </w:t>
            </w:r>
            <w:r w:rsidR="00710C2D">
              <w:rPr>
                <w:rFonts w:asciiTheme="majorHAnsi" w:hAnsiTheme="majorHAnsi" w:cstheme="majorHAnsi"/>
                <w:color w:val="3B3B3B"/>
                <w:sz w:val="20"/>
                <w:szCs w:val="20"/>
              </w:rPr>
              <w:t xml:space="preserve">Novela přináší </w:t>
            </w:r>
            <w:r w:rsidR="00710C2D" w:rsidRPr="00710C2D">
              <w:rPr>
                <w:rFonts w:asciiTheme="majorHAnsi" w:hAnsiTheme="majorHAnsi" w:cstheme="majorHAnsi"/>
                <w:color w:val="3B3B3B"/>
                <w:sz w:val="20"/>
                <w:szCs w:val="20"/>
              </w:rPr>
              <w:t>nové povinnosti v rámci koordinační struktury</w:t>
            </w:r>
            <w:r w:rsidR="00710C2D">
              <w:rPr>
                <w:rFonts w:asciiTheme="majorHAnsi" w:hAnsiTheme="majorHAnsi" w:cstheme="majorHAnsi"/>
                <w:color w:val="3B3B3B"/>
                <w:sz w:val="20"/>
                <w:szCs w:val="20"/>
              </w:rPr>
              <w:t xml:space="preserve">. </w:t>
            </w:r>
          </w:p>
          <w:p w14:paraId="02C4317E" w14:textId="72FA0BF3" w:rsidR="00D01389" w:rsidRDefault="00D01389" w:rsidP="00D0138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647D453E" w14:textId="77777777" w:rsidR="00710C2D" w:rsidRPr="00AF3D02" w:rsidRDefault="00710C2D" w:rsidP="00710C2D">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Pr>
                <w:rStyle w:val="Hypertextovodkaz"/>
                <w:rFonts w:ascii="Arial" w:eastAsia="Times New Roman" w:hAnsi="Arial" w:cs="Arial"/>
                <w:color w:val="0F0D29" w:themeColor="text1"/>
                <w:kern w:val="36"/>
                <w:sz w:val="20"/>
                <w:szCs w:val="16"/>
                <w:u w:val="none"/>
                <w:lang w:eastAsia="cs-CZ"/>
              </w:rPr>
              <w:t>Dle novelizované</w:t>
            </w:r>
            <w:r w:rsidRPr="00AF3D02">
              <w:rPr>
                <w:rStyle w:val="Hypertextovodkaz"/>
                <w:rFonts w:ascii="Arial" w:eastAsia="Times New Roman" w:hAnsi="Arial" w:cs="Arial"/>
                <w:color w:val="0F0D29" w:themeColor="text1"/>
                <w:kern w:val="36"/>
                <w:sz w:val="20"/>
                <w:szCs w:val="16"/>
                <w:u w:val="none"/>
                <w:lang w:eastAsia="cs-CZ"/>
              </w:rPr>
              <w:t xml:space="preserve"> úpravy je povinný subjekt povinen za účelem vytvoření a zpřístupnění národní datové sady v souladu s technickými požadavky spolupracovat s koordinátorem tématu prostorových dat (viz nový §11f, odst. 4). ČEPRO je povinným subjektem jako vlastník technické infrastruktury veřejné služby (veřejný vodovod, veřejná kanalizace, viz Témata prostorových dat v příloze k zákonu, část III., bod 6).</w:t>
            </w:r>
          </w:p>
          <w:p w14:paraId="34D64C4B" w14:textId="77777777" w:rsidR="00710C2D" w:rsidRPr="00AF3D02" w:rsidRDefault="00710C2D" w:rsidP="00710C2D">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p>
          <w:p w14:paraId="1C399AE3" w14:textId="77777777" w:rsidR="00710C2D" w:rsidRPr="00AF3D02" w:rsidRDefault="00710C2D" w:rsidP="00710C2D">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F3D02">
              <w:rPr>
                <w:rStyle w:val="Hypertextovodkaz"/>
                <w:rFonts w:ascii="Arial" w:eastAsia="Times New Roman" w:hAnsi="Arial" w:cs="Arial"/>
                <w:color w:val="0F0D29" w:themeColor="text1"/>
                <w:kern w:val="36"/>
                <w:sz w:val="20"/>
                <w:szCs w:val="16"/>
                <w:u w:val="none"/>
                <w:lang w:eastAsia="cs-CZ"/>
              </w:rPr>
              <w:t xml:space="preserve">Na základě uvedeného a po konzultaci s Ing. Smetanovou (specialista GIS) </w:t>
            </w:r>
            <w:r>
              <w:rPr>
                <w:rStyle w:val="Hypertextovodkaz"/>
                <w:rFonts w:ascii="Arial" w:eastAsia="Times New Roman" w:hAnsi="Arial" w:cs="Arial"/>
                <w:color w:val="0F0D29" w:themeColor="text1"/>
                <w:kern w:val="36"/>
                <w:sz w:val="20"/>
                <w:szCs w:val="16"/>
                <w:u w:val="none"/>
                <w:lang w:eastAsia="cs-CZ"/>
              </w:rPr>
              <w:t>OHSE navrhl</w:t>
            </w:r>
            <w:r w:rsidRPr="00AF3D02">
              <w:rPr>
                <w:rStyle w:val="Hypertextovodkaz"/>
                <w:rFonts w:ascii="Arial" w:eastAsia="Times New Roman" w:hAnsi="Arial" w:cs="Arial"/>
                <w:color w:val="0F0D29" w:themeColor="text1"/>
                <w:kern w:val="36"/>
                <w:sz w:val="20"/>
                <w:szCs w:val="16"/>
                <w:u w:val="none"/>
                <w:lang w:eastAsia="cs-CZ"/>
              </w:rPr>
              <w:t xml:space="preserve"> úpravu předpisu FŘ č. 21/FŘ/50/01/2015 Provoz systému GIS takto:</w:t>
            </w:r>
          </w:p>
          <w:p w14:paraId="68F7AE6F" w14:textId="77777777" w:rsidR="00710C2D" w:rsidRPr="00AF3D02" w:rsidRDefault="00710C2D" w:rsidP="00710C2D">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p>
          <w:p w14:paraId="00EBCC78" w14:textId="77777777" w:rsidR="00710C2D" w:rsidRPr="00AF3D02" w:rsidRDefault="00710C2D" w:rsidP="00710C2D">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F3D02">
              <w:rPr>
                <w:rStyle w:val="Hypertextovodkaz"/>
                <w:rFonts w:ascii="Arial" w:eastAsia="Times New Roman" w:hAnsi="Arial" w:cs="Arial"/>
                <w:color w:val="0F0D29" w:themeColor="text1"/>
                <w:kern w:val="36"/>
                <w:sz w:val="20"/>
                <w:szCs w:val="16"/>
                <w:u w:val="none"/>
                <w:lang w:eastAsia="cs-CZ"/>
              </w:rPr>
              <w:t>Kap. 4.1 Data obsažená v GIS, doplnit:</w:t>
            </w:r>
          </w:p>
          <w:p w14:paraId="710FB989" w14:textId="77777777" w:rsidR="00710C2D" w:rsidRPr="00AF3D02" w:rsidRDefault="00710C2D" w:rsidP="00710C2D">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F3D02">
              <w:rPr>
                <w:rStyle w:val="Hypertextovodkaz"/>
                <w:rFonts w:ascii="Arial" w:eastAsia="Times New Roman" w:hAnsi="Arial" w:cs="Arial"/>
                <w:color w:val="0F0D29" w:themeColor="text1"/>
                <w:kern w:val="36"/>
                <w:sz w:val="20"/>
                <w:szCs w:val="16"/>
                <w:u w:val="none"/>
                <w:lang w:eastAsia="cs-CZ"/>
              </w:rPr>
              <w:t xml:space="preserve">„Data o technické infrastruktuře veřejné služby poskytovaná pro účely zpřístupňování prostorových dat prostřednictvím síťových služeb na Národním </w:t>
            </w:r>
            <w:proofErr w:type="spellStart"/>
            <w:r w:rsidRPr="00AF3D02">
              <w:rPr>
                <w:rStyle w:val="Hypertextovodkaz"/>
                <w:rFonts w:ascii="Arial" w:eastAsia="Times New Roman" w:hAnsi="Arial" w:cs="Arial"/>
                <w:color w:val="0F0D29" w:themeColor="text1"/>
                <w:kern w:val="36"/>
                <w:sz w:val="20"/>
                <w:szCs w:val="16"/>
                <w:u w:val="none"/>
                <w:lang w:eastAsia="cs-CZ"/>
              </w:rPr>
              <w:t>geoportálu</w:t>
            </w:r>
            <w:proofErr w:type="spellEnd"/>
            <w:r w:rsidRPr="00AF3D02">
              <w:rPr>
                <w:rStyle w:val="Hypertextovodkaz"/>
                <w:rFonts w:ascii="Arial" w:eastAsia="Times New Roman" w:hAnsi="Arial" w:cs="Arial"/>
                <w:color w:val="0F0D29" w:themeColor="text1"/>
                <w:kern w:val="36"/>
                <w:sz w:val="20"/>
                <w:szCs w:val="16"/>
                <w:u w:val="none"/>
                <w:lang w:eastAsia="cs-CZ"/>
              </w:rPr>
              <w:t xml:space="preserve"> INSPIRE v souladu se zákonem o právu na informace o životním prostředí“</w:t>
            </w:r>
          </w:p>
          <w:p w14:paraId="034DA17A" w14:textId="77777777" w:rsidR="00710C2D" w:rsidRPr="00AF3D02" w:rsidRDefault="00710C2D" w:rsidP="00710C2D">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p>
          <w:p w14:paraId="54388921" w14:textId="77777777" w:rsidR="00710C2D" w:rsidRPr="00AF3D02" w:rsidRDefault="00710C2D" w:rsidP="00710C2D">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F3D02">
              <w:rPr>
                <w:rStyle w:val="Hypertextovodkaz"/>
                <w:rFonts w:ascii="Arial" w:eastAsia="Times New Roman" w:hAnsi="Arial" w:cs="Arial"/>
                <w:color w:val="0F0D29" w:themeColor="text1"/>
                <w:kern w:val="36"/>
                <w:sz w:val="20"/>
                <w:szCs w:val="16"/>
                <w:u w:val="none"/>
                <w:lang w:eastAsia="cs-CZ"/>
              </w:rPr>
              <w:t>Kap. 8.1 Obecně závazné právní předpisy, doplnit:</w:t>
            </w:r>
          </w:p>
          <w:p w14:paraId="17F19F98" w14:textId="77777777" w:rsidR="00710C2D" w:rsidRDefault="00710C2D" w:rsidP="00710C2D">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AF3D02">
              <w:rPr>
                <w:rStyle w:val="Hypertextovodkaz"/>
                <w:rFonts w:ascii="Arial" w:eastAsia="Times New Roman" w:hAnsi="Arial" w:cs="Arial"/>
                <w:color w:val="0F0D29" w:themeColor="text1"/>
                <w:kern w:val="36"/>
                <w:sz w:val="20"/>
                <w:szCs w:val="16"/>
                <w:u w:val="none"/>
                <w:lang w:eastAsia="cs-CZ"/>
              </w:rPr>
              <w:t>„Zákon č. 123/1998 Sb. o právu na informace o životním prostředí“</w:t>
            </w:r>
          </w:p>
          <w:p w14:paraId="2B844437" w14:textId="77777777" w:rsidR="00710C2D" w:rsidRDefault="00710C2D" w:rsidP="00710C2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0C39BC17" w14:textId="77777777" w:rsidR="00710C2D" w:rsidRPr="005078C0" w:rsidRDefault="00710C2D" w:rsidP="00710C2D">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OESN informuje o splnění aktualizace interní dokumentace dle požadavku OESN ze dne 22.9.2022.</w:t>
            </w:r>
          </w:p>
          <w:p w14:paraId="7DA9570B" w14:textId="77777777" w:rsidR="00710C2D" w:rsidRDefault="00710C2D" w:rsidP="00D0138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58124E27" w14:textId="41E1D6FD" w:rsidR="00710C2D" w:rsidRPr="006E530F" w:rsidRDefault="00710C2D" w:rsidP="00710C2D">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710C2D">
              <w:rPr>
                <w:rStyle w:val="Hypertextovodkaz"/>
                <w:rFonts w:ascii="Arial" w:eastAsia="Times New Roman" w:hAnsi="Arial" w:cs="Arial"/>
                <w:b/>
                <w:bCs/>
                <w:color w:val="0F0D29" w:themeColor="text1"/>
                <w:kern w:val="36"/>
                <w:sz w:val="24"/>
                <w:szCs w:val="24"/>
                <w:u w:val="none"/>
                <w:lang w:eastAsia="cs-CZ"/>
              </w:rPr>
              <w:t xml:space="preserve">Nařízení vlády č. 215/2023 Sb., kterým se mění nařízení vlády č. 298/2022 Sb., o stanovení cen elektřiny a plynu v mimořádné tržní situaci a o stanovení s tím souvisejícího nejvyššího přípustného rozsahu majetkového prospěchu zákazníka, ve znění pozdějších předpisů    </w:t>
            </w:r>
            <w:r w:rsidR="00000000">
              <w:rPr>
                <w:rStyle w:val="Hypertextovodkaz"/>
                <w:rFonts w:ascii="Arial" w:eastAsia="Times New Roman" w:hAnsi="Arial" w:cs="Arial"/>
                <w:b/>
                <w:bCs/>
                <w:color w:val="0F0D29" w:themeColor="text1"/>
                <w:kern w:val="36"/>
                <w:sz w:val="24"/>
                <w:szCs w:val="24"/>
                <w:u w:val="none"/>
                <w:lang w:eastAsia="cs-CZ"/>
              </w:rPr>
              <w:pict w14:anchorId="5F298CFA">
                <v:rect id="_x0000_i1027" style="width:0;height:1.5pt" o:hralign="center" o:hrstd="t" o:hr="t" fillcolor="#a0a0a0" stroked="f"/>
              </w:pict>
            </w:r>
          </w:p>
          <w:p w14:paraId="514D0742" w14:textId="470DEBB2" w:rsidR="00710C2D" w:rsidRPr="001A0EC5" w:rsidRDefault="00710C2D" w:rsidP="00710C2D">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Pr>
                <w:rFonts w:asciiTheme="majorHAnsi" w:hAnsiTheme="majorHAnsi" w:cstheme="majorHAnsi"/>
                <w:color w:val="3B3B3B"/>
                <w:sz w:val="20"/>
                <w:szCs w:val="20"/>
              </w:rPr>
              <w:t>1. 7. 2023</w:t>
            </w:r>
            <w:r w:rsidRPr="001A0EC5">
              <w:rPr>
                <w:rFonts w:asciiTheme="majorHAnsi" w:hAnsiTheme="majorHAnsi" w:cstheme="majorHAnsi"/>
                <w:color w:val="3B3B3B"/>
                <w:sz w:val="20"/>
                <w:szCs w:val="20"/>
              </w:rPr>
              <w:t xml:space="preserve"> </w:t>
            </w:r>
          </w:p>
          <w:p w14:paraId="131C47B2" w14:textId="77777777" w:rsidR="00710C2D" w:rsidRPr="001A0EC5" w:rsidRDefault="00710C2D" w:rsidP="00710C2D">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3EF72D8A" w14:textId="6EAB95FA" w:rsidR="00710C2D" w:rsidRDefault="00710C2D" w:rsidP="00710C2D">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Pr>
                <w:rFonts w:asciiTheme="majorHAnsi" w:hAnsiTheme="majorHAnsi" w:cstheme="majorHAnsi"/>
                <w:color w:val="3B3B3B"/>
                <w:sz w:val="20"/>
                <w:szCs w:val="20"/>
              </w:rPr>
              <w:t xml:space="preserve">30. 6. </w:t>
            </w:r>
            <w:r w:rsidRPr="001A0EC5">
              <w:rPr>
                <w:rFonts w:asciiTheme="majorHAnsi" w:hAnsiTheme="majorHAnsi" w:cstheme="majorHAnsi"/>
                <w:color w:val="3B3B3B"/>
                <w:sz w:val="20"/>
                <w:szCs w:val="20"/>
              </w:rPr>
              <w:t>2023 byla ve Sbírce zákonů publikována novela</w:t>
            </w:r>
            <w:r>
              <w:t xml:space="preserve"> </w:t>
            </w:r>
            <w:r w:rsidRPr="00710C2D">
              <w:rPr>
                <w:rFonts w:asciiTheme="majorHAnsi" w:hAnsiTheme="majorHAnsi" w:cstheme="majorHAnsi"/>
                <w:color w:val="3B3B3B"/>
                <w:sz w:val="20"/>
                <w:szCs w:val="20"/>
              </w:rPr>
              <w:t>nařízení vlády č. 298/2022 Sb., o stanovení cen elektřiny a plynu v mimořádné tržní situaci a o stanovení s tím souvisejícího nejvyššího přípustného rozsahu majetkového prospěchu zákazníka, ve znění pozdějších předpisů</w:t>
            </w:r>
            <w:r>
              <w:rPr>
                <w:rFonts w:asciiTheme="majorHAnsi" w:hAnsiTheme="majorHAnsi" w:cstheme="majorHAnsi"/>
                <w:color w:val="3B3B3B"/>
                <w:sz w:val="20"/>
                <w:szCs w:val="20"/>
              </w:rPr>
              <w:t xml:space="preserve">. </w:t>
            </w:r>
            <w:r w:rsidRPr="00D01389">
              <w:rPr>
                <w:rFonts w:asciiTheme="majorHAnsi" w:hAnsiTheme="majorHAnsi" w:cstheme="majorHAnsi"/>
                <w:color w:val="3B3B3B"/>
                <w:sz w:val="20"/>
                <w:szCs w:val="20"/>
              </w:rPr>
              <w:t xml:space="preserve">    </w:t>
            </w:r>
          </w:p>
          <w:p w14:paraId="2B9AD19D" w14:textId="77777777" w:rsidR="00710C2D" w:rsidRDefault="00710C2D" w:rsidP="00710C2D">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6D683CA3" w14:textId="423AAEC1" w:rsidR="00710C2D" w:rsidRDefault="0019754A" w:rsidP="00710C2D">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Z věcného posouzení novely zpracovaného advokátní kanceláří CČS plyne, </w:t>
            </w:r>
            <w:r w:rsidRPr="0019754A">
              <w:rPr>
                <w:rFonts w:asciiTheme="majorHAnsi" w:hAnsiTheme="majorHAnsi" w:cstheme="majorHAnsi"/>
                <w:color w:val="3B3B3B"/>
                <w:sz w:val="20"/>
                <w:szCs w:val="20"/>
              </w:rPr>
              <w:t xml:space="preserve">že závěry, resp. předložená doporučení dalšího postupu společnosti ČEPRO, a.s. při rozúčtování části odebraných energií jiných osobám (na základě jejich skutečné spotřeby či paušálně) nejsou v důsledku novelizace </w:t>
            </w:r>
            <w:r>
              <w:rPr>
                <w:rFonts w:asciiTheme="majorHAnsi" w:hAnsiTheme="majorHAnsi" w:cstheme="majorHAnsi"/>
                <w:color w:val="3B3B3B"/>
                <w:sz w:val="20"/>
                <w:szCs w:val="20"/>
              </w:rPr>
              <w:t>n</w:t>
            </w:r>
            <w:r w:rsidRPr="0019754A">
              <w:rPr>
                <w:rFonts w:asciiTheme="majorHAnsi" w:hAnsiTheme="majorHAnsi" w:cstheme="majorHAnsi"/>
                <w:color w:val="3B3B3B"/>
                <w:sz w:val="20"/>
                <w:szCs w:val="20"/>
              </w:rPr>
              <w:t xml:space="preserve">ařízení dotčeny, </w:t>
            </w:r>
            <w:r>
              <w:rPr>
                <w:rFonts w:asciiTheme="majorHAnsi" w:hAnsiTheme="majorHAnsi" w:cstheme="majorHAnsi"/>
                <w:color w:val="3B3B3B"/>
                <w:sz w:val="20"/>
                <w:szCs w:val="20"/>
              </w:rPr>
              <w:t>neboť nedochází</w:t>
            </w:r>
            <w:r w:rsidRPr="0019754A">
              <w:rPr>
                <w:rFonts w:asciiTheme="majorHAnsi" w:hAnsiTheme="majorHAnsi" w:cstheme="majorHAnsi"/>
                <w:color w:val="3B3B3B"/>
                <w:sz w:val="20"/>
                <w:szCs w:val="20"/>
              </w:rPr>
              <w:t xml:space="preserve"> k zásadním zásahům do stávajícího systému uplatňování </w:t>
            </w:r>
            <w:proofErr w:type="spellStart"/>
            <w:r w:rsidRPr="0019754A">
              <w:rPr>
                <w:rFonts w:asciiTheme="majorHAnsi" w:hAnsiTheme="majorHAnsi" w:cstheme="majorHAnsi"/>
                <w:color w:val="3B3B3B"/>
                <w:sz w:val="20"/>
                <w:szCs w:val="20"/>
              </w:rPr>
              <w:t>zastropovaných</w:t>
            </w:r>
            <w:proofErr w:type="spellEnd"/>
            <w:r w:rsidRPr="0019754A">
              <w:rPr>
                <w:rFonts w:asciiTheme="majorHAnsi" w:hAnsiTheme="majorHAnsi" w:cstheme="majorHAnsi"/>
                <w:color w:val="3B3B3B"/>
                <w:sz w:val="20"/>
                <w:szCs w:val="20"/>
              </w:rPr>
              <w:t xml:space="preserve"> cen energií, nýbrž toliko k dílčím úpravám zaměřeným na odstranění výkladových nejasností právní úpravy.</w:t>
            </w:r>
          </w:p>
          <w:p w14:paraId="604EE6F9" w14:textId="77777777" w:rsidR="0019754A" w:rsidRDefault="0019754A" w:rsidP="00710C2D">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2514EEE6" w14:textId="37F7B7DB" w:rsidR="00710C2D" w:rsidRPr="005C048D" w:rsidRDefault="0019754A" w:rsidP="00710C2D">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Pr>
                <w:rStyle w:val="Hypertextovodkaz"/>
                <w:rFonts w:ascii="Arial" w:eastAsia="Times New Roman" w:hAnsi="Arial" w:cs="Arial"/>
                <w:b/>
                <w:bCs/>
                <w:i/>
                <w:color w:val="auto"/>
                <w:kern w:val="36"/>
                <w:sz w:val="20"/>
                <w:szCs w:val="20"/>
                <w:u w:val="none"/>
                <w:lang w:eastAsia="cs-CZ"/>
              </w:rPr>
              <w:t>Úkol: Na vědomí POŘ.</w:t>
            </w:r>
          </w:p>
          <w:p w14:paraId="23B5E1A7" w14:textId="77777777" w:rsidR="00D01389" w:rsidRDefault="00D01389"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14DA6DA6" w14:textId="77777777" w:rsidR="00102FA4" w:rsidRDefault="00102FA4" w:rsidP="00FD3B14">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01B85987" w14:textId="77777777" w:rsidR="00102FA4" w:rsidRDefault="00102FA4" w:rsidP="00FD3B14">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35E65F95" w14:textId="77777777" w:rsidR="00102FA4" w:rsidRDefault="00102FA4" w:rsidP="00FD3B14">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777FA231" w14:textId="77777777" w:rsidR="00102FA4" w:rsidRDefault="00102FA4" w:rsidP="00FD3B14">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628A9F86" w14:textId="77777777" w:rsidR="00102FA4" w:rsidRDefault="00102FA4" w:rsidP="00FD3B14">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0C1EA47B" w14:textId="767E3380" w:rsidR="00FD3B14" w:rsidRPr="006E530F" w:rsidRDefault="00FD3B14" w:rsidP="00FD3B14">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FD3B14">
              <w:rPr>
                <w:rStyle w:val="Hypertextovodkaz"/>
                <w:rFonts w:ascii="Arial" w:eastAsia="Times New Roman" w:hAnsi="Arial" w:cs="Arial"/>
                <w:b/>
                <w:bCs/>
                <w:color w:val="0F0D29" w:themeColor="text1"/>
                <w:kern w:val="36"/>
                <w:sz w:val="24"/>
                <w:szCs w:val="24"/>
                <w:u w:val="none"/>
                <w:lang w:eastAsia="cs-CZ"/>
              </w:rPr>
              <w:lastRenderedPageBreak/>
              <w:t xml:space="preserve">Vyhláška č. 191/2023 Sb., kterou se mění vyhláška č. 467/2022 Sb., o změně sazby základní náhrady za používání silničních motorových vozidel a stravného a o stanovení průměrné ceny pohonných hmot pro účely poskytování cestovních náhrad pro rok 2023, ve znění vyhlášky č. 85/2023 Sb.  </w:t>
            </w:r>
            <w:r w:rsidR="00000000">
              <w:rPr>
                <w:rStyle w:val="Hypertextovodkaz"/>
                <w:rFonts w:ascii="Arial" w:eastAsia="Times New Roman" w:hAnsi="Arial" w:cs="Arial"/>
                <w:b/>
                <w:bCs/>
                <w:color w:val="0F0D29" w:themeColor="text1"/>
                <w:kern w:val="36"/>
                <w:sz w:val="24"/>
                <w:szCs w:val="24"/>
                <w:u w:val="none"/>
                <w:lang w:eastAsia="cs-CZ"/>
              </w:rPr>
              <w:pict w14:anchorId="3280A3F4">
                <v:rect id="_x0000_i1028" style="width:0;height:1.5pt" o:hralign="center" o:hrstd="t" o:hr="t" fillcolor="#a0a0a0" stroked="f"/>
              </w:pict>
            </w:r>
          </w:p>
          <w:p w14:paraId="0E98B830" w14:textId="77777777" w:rsidR="00FD3B14" w:rsidRPr="001A0EC5" w:rsidRDefault="00FD3B14" w:rsidP="00FD3B14">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Pr>
                <w:rFonts w:asciiTheme="majorHAnsi" w:hAnsiTheme="majorHAnsi" w:cstheme="majorHAnsi"/>
                <w:color w:val="3B3B3B"/>
                <w:sz w:val="20"/>
                <w:szCs w:val="20"/>
              </w:rPr>
              <w:t>1. 7. 2023</w:t>
            </w:r>
            <w:r w:rsidRPr="001A0EC5">
              <w:rPr>
                <w:rFonts w:asciiTheme="majorHAnsi" w:hAnsiTheme="majorHAnsi" w:cstheme="majorHAnsi"/>
                <w:color w:val="3B3B3B"/>
                <w:sz w:val="20"/>
                <w:szCs w:val="20"/>
              </w:rPr>
              <w:t xml:space="preserve"> </w:t>
            </w:r>
          </w:p>
          <w:p w14:paraId="13DEB114" w14:textId="77777777" w:rsidR="00FD3B14" w:rsidRPr="001A0EC5" w:rsidRDefault="00FD3B14" w:rsidP="00FD3B14">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565047E0" w14:textId="053678F9" w:rsidR="00FD3B14" w:rsidRDefault="00FD3B14" w:rsidP="00FD3B14">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Pr>
                <w:rFonts w:asciiTheme="majorHAnsi" w:hAnsiTheme="majorHAnsi" w:cstheme="majorHAnsi"/>
                <w:color w:val="3B3B3B"/>
                <w:sz w:val="20"/>
                <w:szCs w:val="20"/>
              </w:rPr>
              <w:t xml:space="preserve">23. 6. </w:t>
            </w:r>
            <w:r w:rsidRPr="001A0EC5">
              <w:rPr>
                <w:rFonts w:asciiTheme="majorHAnsi" w:hAnsiTheme="majorHAnsi" w:cstheme="majorHAnsi"/>
                <w:color w:val="3B3B3B"/>
                <w:sz w:val="20"/>
                <w:szCs w:val="20"/>
              </w:rPr>
              <w:t>2023 byla ve Sbírce zákonů publikována novela</w:t>
            </w:r>
            <w:r>
              <w:t xml:space="preserve"> </w:t>
            </w:r>
            <w:r w:rsidRPr="00FD3B14">
              <w:rPr>
                <w:rFonts w:asciiTheme="majorHAnsi" w:hAnsiTheme="majorHAnsi" w:cstheme="majorHAnsi"/>
                <w:color w:val="3B3B3B"/>
                <w:sz w:val="20"/>
                <w:szCs w:val="20"/>
              </w:rPr>
              <w:t>vyhlášk</w:t>
            </w:r>
            <w:r>
              <w:rPr>
                <w:rFonts w:asciiTheme="majorHAnsi" w:hAnsiTheme="majorHAnsi" w:cstheme="majorHAnsi"/>
                <w:color w:val="3B3B3B"/>
                <w:sz w:val="20"/>
                <w:szCs w:val="20"/>
              </w:rPr>
              <w:t>y</w:t>
            </w:r>
            <w:r w:rsidRPr="00FD3B14">
              <w:rPr>
                <w:rFonts w:asciiTheme="majorHAnsi" w:hAnsiTheme="majorHAnsi" w:cstheme="majorHAnsi"/>
                <w:color w:val="3B3B3B"/>
                <w:sz w:val="20"/>
                <w:szCs w:val="20"/>
              </w:rPr>
              <w:t xml:space="preserve"> č. 467/2022 Sb., o změně sazby základní náhrady za používání silničních motorových vozidel a stravného a o stanovení průměrné ceny pohonných hmot pro účely poskytování cestovních náhrad pro rok 2023, ve znění vyhlášky č. 85/2023 Sb.  </w:t>
            </w:r>
          </w:p>
          <w:p w14:paraId="15CB89F4" w14:textId="77777777" w:rsidR="00FD3B14" w:rsidRDefault="00FD3B14" w:rsidP="00FD3B14">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6229C36F" w14:textId="6EDBEE19" w:rsidR="00FD3B14" w:rsidRDefault="003B1131" w:rsidP="00FD3B14">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3B1131">
              <w:rPr>
                <w:rFonts w:asciiTheme="majorHAnsi" w:hAnsiTheme="majorHAnsi" w:cstheme="majorHAnsi"/>
                <w:color w:val="3B3B3B"/>
                <w:sz w:val="20"/>
                <w:szCs w:val="20"/>
              </w:rPr>
              <w:t>N</w:t>
            </w:r>
            <w:r>
              <w:rPr>
                <w:rFonts w:asciiTheme="majorHAnsi" w:hAnsiTheme="majorHAnsi" w:cstheme="majorHAnsi"/>
                <w:color w:val="3B3B3B"/>
                <w:sz w:val="20"/>
                <w:szCs w:val="20"/>
              </w:rPr>
              <w:t xml:space="preserve">ovelizace </w:t>
            </w:r>
            <w:r w:rsidRPr="003B1131">
              <w:rPr>
                <w:rFonts w:asciiTheme="majorHAnsi" w:hAnsiTheme="majorHAnsi" w:cstheme="majorHAnsi"/>
                <w:color w:val="3B3B3B"/>
                <w:sz w:val="20"/>
                <w:szCs w:val="20"/>
              </w:rPr>
              <w:t>vyhlášky obsahuje mimořádnou aktualizaci průměrné ceny motorové nafty pro účely poskytování cestovních náhrad.</w:t>
            </w:r>
          </w:p>
          <w:p w14:paraId="064A3537" w14:textId="77777777" w:rsidR="003B1131" w:rsidRDefault="003B1131" w:rsidP="00FD3B14">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773B666B" w14:textId="5EBEB070" w:rsidR="00FD3B14" w:rsidRPr="005C048D" w:rsidRDefault="00FD3B14" w:rsidP="00FD3B14">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Pr>
                <w:rStyle w:val="Hypertextovodkaz"/>
                <w:rFonts w:ascii="Arial" w:eastAsia="Times New Roman" w:hAnsi="Arial" w:cs="Arial"/>
                <w:b/>
                <w:bCs/>
                <w:i/>
                <w:color w:val="auto"/>
                <w:kern w:val="36"/>
                <w:sz w:val="20"/>
                <w:szCs w:val="20"/>
                <w:u w:val="none"/>
                <w:lang w:eastAsia="cs-CZ"/>
              </w:rPr>
              <w:t xml:space="preserve">Úkol: Na vědomí </w:t>
            </w:r>
            <w:r w:rsidR="003B1131">
              <w:rPr>
                <w:rStyle w:val="Hypertextovodkaz"/>
                <w:rFonts w:ascii="Arial" w:eastAsia="Times New Roman" w:hAnsi="Arial" w:cs="Arial"/>
                <w:b/>
                <w:bCs/>
                <w:i/>
                <w:color w:val="auto"/>
                <w:kern w:val="36"/>
                <w:sz w:val="20"/>
                <w:szCs w:val="20"/>
                <w:u w:val="none"/>
                <w:lang w:eastAsia="cs-CZ"/>
              </w:rPr>
              <w:t>OŘLZ.</w:t>
            </w:r>
          </w:p>
          <w:p w14:paraId="38F1FA27" w14:textId="36167027" w:rsidR="004B005C" w:rsidRDefault="004B005C"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2AE82F01" w14:textId="28600199" w:rsidR="00172E7E" w:rsidRDefault="00172E7E" w:rsidP="00916FC4">
            <w:pPr>
              <w:pStyle w:val="Bezmezer"/>
              <w:tabs>
                <w:tab w:val="left" w:pos="4308"/>
              </w:tabs>
              <w:jc w:val="both"/>
              <w:rPr>
                <w:rFonts w:ascii="Arial" w:hAnsi="Arial" w:cs="Arial"/>
                <w:bCs/>
                <w:color w:val="0F0D29" w:themeColor="text1"/>
                <w:sz w:val="20"/>
                <w:szCs w:val="20"/>
              </w:rPr>
            </w:pPr>
          </w:p>
          <w:p w14:paraId="2ADBF616" w14:textId="0588F42A" w:rsidR="00172E7E" w:rsidRPr="006E530F" w:rsidRDefault="00172E7E" w:rsidP="00172E7E">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172E7E">
              <w:rPr>
                <w:rStyle w:val="Hypertextovodkaz"/>
                <w:rFonts w:ascii="Arial" w:eastAsia="Times New Roman" w:hAnsi="Arial" w:cs="Arial"/>
                <w:b/>
                <w:bCs/>
                <w:color w:val="0F0D29" w:themeColor="text1"/>
                <w:kern w:val="36"/>
                <w:sz w:val="24"/>
                <w:szCs w:val="24"/>
                <w:u w:val="none"/>
                <w:lang w:eastAsia="cs-CZ"/>
              </w:rPr>
              <w:t xml:space="preserve">Vyhláška č. 186/2023 Sb., kterou se mění vyhláška č. 393/2020 Sb., o digitální technické mapě kraje  </w:t>
            </w:r>
            <w:r w:rsidR="00000000">
              <w:rPr>
                <w:rStyle w:val="Hypertextovodkaz"/>
                <w:rFonts w:ascii="Arial" w:eastAsia="Times New Roman" w:hAnsi="Arial" w:cs="Arial"/>
                <w:b/>
                <w:bCs/>
                <w:color w:val="0F0D29" w:themeColor="text1"/>
                <w:kern w:val="36"/>
                <w:sz w:val="24"/>
                <w:szCs w:val="24"/>
                <w:u w:val="none"/>
                <w:lang w:eastAsia="cs-CZ"/>
              </w:rPr>
              <w:pict w14:anchorId="4D3CA6E8">
                <v:rect id="_x0000_i1029" style="width:0;height:1.5pt" o:hralign="center" o:hrstd="t" o:hr="t" fillcolor="#a0a0a0" stroked="f"/>
              </w:pict>
            </w:r>
          </w:p>
          <w:p w14:paraId="537C81BB" w14:textId="77777777" w:rsidR="00172E7E" w:rsidRPr="001A0EC5" w:rsidRDefault="00172E7E" w:rsidP="00172E7E">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Pr>
                <w:rFonts w:asciiTheme="majorHAnsi" w:hAnsiTheme="majorHAnsi" w:cstheme="majorHAnsi"/>
                <w:color w:val="3B3B3B"/>
                <w:sz w:val="20"/>
                <w:szCs w:val="20"/>
              </w:rPr>
              <w:t>1. 7. 2023</w:t>
            </w:r>
            <w:r w:rsidRPr="001A0EC5">
              <w:rPr>
                <w:rFonts w:asciiTheme="majorHAnsi" w:hAnsiTheme="majorHAnsi" w:cstheme="majorHAnsi"/>
                <w:color w:val="3B3B3B"/>
                <w:sz w:val="20"/>
                <w:szCs w:val="20"/>
              </w:rPr>
              <w:t xml:space="preserve"> </w:t>
            </w:r>
          </w:p>
          <w:p w14:paraId="6A89D7AB" w14:textId="77777777" w:rsidR="00172E7E" w:rsidRPr="001A0EC5" w:rsidRDefault="00172E7E" w:rsidP="00172E7E">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4BC172BD" w14:textId="0771916E" w:rsidR="00A1140D" w:rsidRDefault="00172E7E" w:rsidP="00A1140D">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Pr>
                <w:rFonts w:asciiTheme="majorHAnsi" w:hAnsiTheme="majorHAnsi" w:cstheme="majorHAnsi"/>
                <w:color w:val="3B3B3B"/>
                <w:sz w:val="20"/>
                <w:szCs w:val="20"/>
              </w:rPr>
              <w:t xml:space="preserve">23. 6. </w:t>
            </w:r>
            <w:r w:rsidRPr="001A0EC5">
              <w:rPr>
                <w:rFonts w:asciiTheme="majorHAnsi" w:hAnsiTheme="majorHAnsi" w:cstheme="majorHAnsi"/>
                <w:color w:val="3B3B3B"/>
                <w:sz w:val="20"/>
                <w:szCs w:val="20"/>
              </w:rPr>
              <w:t>2023 byla ve Sbírce zákonů publikována novela</w:t>
            </w:r>
            <w:r>
              <w:t xml:space="preserve"> </w:t>
            </w:r>
            <w:r w:rsidRPr="00FD3B14">
              <w:rPr>
                <w:rFonts w:asciiTheme="majorHAnsi" w:hAnsiTheme="majorHAnsi" w:cstheme="majorHAnsi"/>
                <w:color w:val="3B3B3B"/>
                <w:sz w:val="20"/>
                <w:szCs w:val="20"/>
              </w:rPr>
              <w:t>vyhlášk</w:t>
            </w:r>
            <w:r>
              <w:rPr>
                <w:rFonts w:asciiTheme="majorHAnsi" w:hAnsiTheme="majorHAnsi" w:cstheme="majorHAnsi"/>
                <w:color w:val="3B3B3B"/>
                <w:sz w:val="20"/>
                <w:szCs w:val="20"/>
              </w:rPr>
              <w:t>y</w:t>
            </w:r>
            <w:r w:rsidRPr="00FD3B14">
              <w:rPr>
                <w:rFonts w:asciiTheme="majorHAnsi" w:hAnsiTheme="majorHAnsi" w:cstheme="majorHAnsi"/>
                <w:color w:val="3B3B3B"/>
                <w:sz w:val="20"/>
                <w:szCs w:val="20"/>
              </w:rPr>
              <w:t xml:space="preserve"> č. </w:t>
            </w:r>
            <w:r w:rsidRPr="00172E7E">
              <w:rPr>
                <w:rFonts w:asciiTheme="majorHAnsi" w:hAnsiTheme="majorHAnsi" w:cstheme="majorHAnsi"/>
                <w:color w:val="3B3B3B"/>
                <w:sz w:val="20"/>
                <w:szCs w:val="20"/>
              </w:rPr>
              <w:t>č. 393/2020 Sb., o digitální technické mapě kraje</w:t>
            </w:r>
            <w:r>
              <w:rPr>
                <w:rFonts w:asciiTheme="majorHAnsi" w:hAnsiTheme="majorHAnsi" w:cstheme="majorHAnsi"/>
                <w:color w:val="3B3B3B"/>
                <w:sz w:val="20"/>
                <w:szCs w:val="20"/>
              </w:rPr>
              <w:t xml:space="preserve">. </w:t>
            </w:r>
            <w:r w:rsidRPr="00172E7E">
              <w:rPr>
                <w:rFonts w:asciiTheme="majorHAnsi" w:hAnsiTheme="majorHAnsi" w:cstheme="majorHAnsi"/>
                <w:color w:val="3B3B3B"/>
                <w:sz w:val="20"/>
                <w:szCs w:val="20"/>
              </w:rPr>
              <w:t xml:space="preserve">Novelou vyhlášky o digitální technické mapě kraje je reagováno na skutečnost, že během procesu vytváření digitálních technických map krajů byla zjištěna potřeba některých dílčích změn a zpřesnění v oblasti obsahu digitální technické mapy kraje, které jsou nezbytné k tomu, aby nově vytvářené digitální technické mapy krajů plnily svůj účel. Mezi tyto změny </w:t>
            </w:r>
            <w:proofErr w:type="gramStart"/>
            <w:r w:rsidRPr="00172E7E">
              <w:rPr>
                <w:rFonts w:asciiTheme="majorHAnsi" w:hAnsiTheme="majorHAnsi" w:cstheme="majorHAnsi"/>
                <w:color w:val="3B3B3B"/>
                <w:sz w:val="20"/>
                <w:szCs w:val="20"/>
              </w:rPr>
              <w:t>patří</w:t>
            </w:r>
            <w:proofErr w:type="gramEnd"/>
            <w:r w:rsidRPr="00172E7E">
              <w:rPr>
                <w:rFonts w:asciiTheme="majorHAnsi" w:hAnsiTheme="majorHAnsi" w:cstheme="majorHAnsi"/>
                <w:color w:val="3B3B3B"/>
                <w:sz w:val="20"/>
                <w:szCs w:val="20"/>
              </w:rPr>
              <w:t xml:space="preserve"> doplnění dalších objektů a vlastností objektů digitální technické mapy kraje a úprava nebo rušení objektů, které se ukázaly jako nadbytečné nebo duplicitní. Druhou významnou změnou je úprava poskytování údajů z veřejné části digitální technické mapy formou stahovacích služeb. Další změnou je posun data, ke kterému měla vyhláška č. 393/2020 Sb. nabýt účinnosti, a to s ohledem na posun účinnosti zákona č. 47/2020 Sb.</w:t>
            </w:r>
            <w:r w:rsidR="00A1140D">
              <w:rPr>
                <w:rFonts w:asciiTheme="majorHAnsi" w:hAnsiTheme="majorHAnsi" w:cstheme="majorHAnsi"/>
                <w:color w:val="3B3B3B"/>
                <w:sz w:val="20"/>
                <w:szCs w:val="20"/>
              </w:rPr>
              <w:t xml:space="preserve">  Vzhledem k tomu, že kraje DTM neplní jednotným způsobem a ve stejným rozsahu, lze očekávat doplnění vyhlášky, směřující ke sjednocení procesů DTM, které jsou v této chvíli je obecně popsány.</w:t>
            </w:r>
          </w:p>
          <w:p w14:paraId="575BAA34" w14:textId="77777777" w:rsidR="00A1140D" w:rsidRDefault="00A1140D" w:rsidP="00A1140D">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729D7C28" w14:textId="499F9A54" w:rsidR="00A1140D" w:rsidRDefault="00A1140D" w:rsidP="00A1140D">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V přípravném procesu je další novela vyhlášky o DTM, která má přinést omezení široké přístupnosti údajů z DTM, a zvýšit možnost sledování žadatelů a jejich případných záměrů, s ohledem na zajištění bezpečnosti krizové infrastruktury s tím, že produktovody </w:t>
            </w:r>
            <w:proofErr w:type="gramStart"/>
            <w:r>
              <w:rPr>
                <w:rFonts w:asciiTheme="majorHAnsi" w:hAnsiTheme="majorHAnsi" w:cstheme="majorHAnsi"/>
                <w:color w:val="3B3B3B"/>
                <w:sz w:val="20"/>
                <w:szCs w:val="20"/>
              </w:rPr>
              <w:t>patří</w:t>
            </w:r>
            <w:proofErr w:type="gramEnd"/>
            <w:r>
              <w:rPr>
                <w:rFonts w:asciiTheme="majorHAnsi" w:hAnsiTheme="majorHAnsi" w:cstheme="majorHAnsi"/>
                <w:color w:val="3B3B3B"/>
                <w:sz w:val="20"/>
                <w:szCs w:val="20"/>
              </w:rPr>
              <w:t xml:space="preserve"> do stejné kategorie ochranného režimu, jako jiné energetické sítě.</w:t>
            </w:r>
            <w:r w:rsidR="00861E7B">
              <w:rPr>
                <w:rFonts w:asciiTheme="majorHAnsi" w:hAnsiTheme="majorHAnsi" w:cstheme="majorHAnsi"/>
                <w:color w:val="3B3B3B"/>
                <w:sz w:val="20"/>
                <w:szCs w:val="20"/>
              </w:rPr>
              <w:t>7</w:t>
            </w:r>
          </w:p>
          <w:p w14:paraId="45CB8E45" w14:textId="77777777" w:rsidR="00861E7B" w:rsidRPr="005C048D" w:rsidRDefault="00861E7B" w:rsidP="00861E7B">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Pr>
                <w:rStyle w:val="Hypertextovodkaz"/>
                <w:rFonts w:ascii="Arial" w:eastAsia="Times New Roman" w:hAnsi="Arial" w:cs="Arial"/>
                <w:b/>
                <w:bCs/>
                <w:i/>
                <w:color w:val="auto"/>
                <w:kern w:val="36"/>
                <w:sz w:val="20"/>
                <w:szCs w:val="20"/>
                <w:u w:val="none"/>
                <w:lang w:eastAsia="cs-CZ"/>
              </w:rPr>
              <w:lastRenderedPageBreak/>
              <w:t>Úkol: Na vědomí POŘ.</w:t>
            </w:r>
          </w:p>
          <w:p w14:paraId="062A01F5" w14:textId="1F50BCDC" w:rsidR="00172E7E" w:rsidRDefault="00172E7E"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776A1597" w14:textId="3BCB419C" w:rsidR="00172E7E" w:rsidRDefault="00172E7E"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36D1E0F1" w14:textId="535B902A" w:rsidR="00172E7E" w:rsidRPr="006E530F" w:rsidRDefault="00172E7E" w:rsidP="00172E7E">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172E7E">
              <w:rPr>
                <w:rStyle w:val="Hypertextovodkaz"/>
                <w:rFonts w:ascii="Arial" w:eastAsia="Times New Roman" w:hAnsi="Arial" w:cs="Arial"/>
                <w:b/>
                <w:bCs/>
                <w:color w:val="0F0D29" w:themeColor="text1"/>
                <w:kern w:val="36"/>
                <w:sz w:val="24"/>
                <w:szCs w:val="24"/>
                <w:u w:val="none"/>
                <w:lang w:eastAsia="cs-CZ"/>
              </w:rPr>
              <w:t xml:space="preserve">Zákon č. 171/2023 Sb., o ochraně oznamovatelů  a zákon č. 172/2023 Sb., kterým se mění některé zákony v souvislosti s přijetím zákona o ochraně oznamovatelů  </w:t>
            </w:r>
            <w:r w:rsidR="00000000">
              <w:rPr>
                <w:rStyle w:val="Hypertextovodkaz"/>
                <w:rFonts w:ascii="Arial" w:eastAsia="Times New Roman" w:hAnsi="Arial" w:cs="Arial"/>
                <w:b/>
                <w:bCs/>
                <w:color w:val="0F0D29" w:themeColor="text1"/>
                <w:kern w:val="36"/>
                <w:sz w:val="24"/>
                <w:szCs w:val="24"/>
                <w:u w:val="none"/>
                <w:lang w:eastAsia="cs-CZ"/>
              </w:rPr>
              <w:pict w14:anchorId="5A84E1A8">
                <v:rect id="_x0000_i1030" style="width:0;height:1.5pt" o:hralign="center" o:hrstd="t" o:hr="t" fillcolor="#a0a0a0" stroked="f"/>
              </w:pict>
            </w:r>
          </w:p>
          <w:p w14:paraId="2CAF6182" w14:textId="51A2E4D8" w:rsidR="00172E7E" w:rsidRPr="001A0EC5" w:rsidRDefault="00172E7E" w:rsidP="00172E7E">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Pr>
                <w:rFonts w:asciiTheme="majorHAnsi" w:hAnsiTheme="majorHAnsi" w:cstheme="majorHAnsi"/>
                <w:color w:val="3B3B3B"/>
                <w:sz w:val="20"/>
                <w:szCs w:val="20"/>
              </w:rPr>
              <w:t>1. 8. 2023</w:t>
            </w:r>
            <w:r w:rsidRPr="001A0EC5">
              <w:rPr>
                <w:rFonts w:asciiTheme="majorHAnsi" w:hAnsiTheme="majorHAnsi" w:cstheme="majorHAnsi"/>
                <w:color w:val="3B3B3B"/>
                <w:sz w:val="20"/>
                <w:szCs w:val="20"/>
              </w:rPr>
              <w:t xml:space="preserve"> </w:t>
            </w:r>
          </w:p>
          <w:p w14:paraId="5F3C778A" w14:textId="77777777" w:rsidR="00172E7E" w:rsidRPr="001A0EC5" w:rsidRDefault="00172E7E" w:rsidP="00172E7E">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268A5BEE" w14:textId="594FBA6D" w:rsidR="00172E7E" w:rsidRDefault="00172E7E" w:rsidP="00172E7E">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Pr>
                <w:rFonts w:asciiTheme="majorHAnsi" w:hAnsiTheme="majorHAnsi" w:cstheme="majorHAnsi"/>
                <w:color w:val="3B3B3B"/>
                <w:sz w:val="20"/>
                <w:szCs w:val="20"/>
              </w:rPr>
              <w:t xml:space="preserve">20. 6. </w:t>
            </w:r>
            <w:r w:rsidRPr="001A0EC5">
              <w:rPr>
                <w:rFonts w:asciiTheme="majorHAnsi" w:hAnsiTheme="majorHAnsi" w:cstheme="majorHAnsi"/>
                <w:color w:val="3B3B3B"/>
                <w:sz w:val="20"/>
                <w:szCs w:val="20"/>
              </w:rPr>
              <w:t>2023 byl</w:t>
            </w:r>
            <w:r>
              <w:rPr>
                <w:rFonts w:asciiTheme="majorHAnsi" w:hAnsiTheme="majorHAnsi" w:cstheme="majorHAnsi"/>
                <w:color w:val="3B3B3B"/>
                <w:sz w:val="20"/>
                <w:szCs w:val="20"/>
              </w:rPr>
              <w:t xml:space="preserve"> ve Sbírce zákonů vyhlášen </w:t>
            </w:r>
            <w:r w:rsidRPr="00172E7E">
              <w:rPr>
                <w:rFonts w:asciiTheme="majorHAnsi" w:hAnsiTheme="majorHAnsi" w:cstheme="majorHAnsi"/>
                <w:color w:val="3B3B3B"/>
                <w:sz w:val="20"/>
                <w:szCs w:val="20"/>
              </w:rPr>
              <w:t>Zákon č. 171/2023 Sb., o ochraně oznamovatelů  a zákon č. 172/2023 Sb., kterým se mění některé zákony v souvislosti s přijetím zákona o ochraně oznamovatelů</w:t>
            </w:r>
            <w:r>
              <w:rPr>
                <w:rFonts w:asciiTheme="majorHAnsi" w:hAnsiTheme="majorHAnsi" w:cstheme="majorHAnsi"/>
                <w:color w:val="3B3B3B"/>
                <w:sz w:val="20"/>
                <w:szCs w:val="20"/>
              </w:rPr>
              <w:t>.</w:t>
            </w:r>
          </w:p>
          <w:p w14:paraId="62AFD212" w14:textId="0E1ADAA7" w:rsidR="00172E7E" w:rsidRDefault="00172E7E" w:rsidP="00172E7E">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3742F18A" w14:textId="5B4CB16F" w:rsidR="00172E7E" w:rsidRDefault="00172E7E" w:rsidP="00172E7E">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72E7E">
              <w:rPr>
                <w:rFonts w:asciiTheme="majorHAnsi" w:hAnsiTheme="majorHAnsi" w:cstheme="majorHAnsi"/>
                <w:color w:val="3B3B3B"/>
                <w:sz w:val="20"/>
                <w:szCs w:val="20"/>
              </w:rPr>
              <w:t>Cílem právní úpravy ochrany oznamovatelů je umožnit pracovníkům v soukromém i veřejném sektoru bezpečně podat oznámení v rámci povinně zřizovaných interních mechanismů, případně externích mechanismů, a následně jim zajistit ochranu před možnými odvetnými opatřeními ze strany zaměstnavatelů a dalších subjektů. Opatření mají sloužit nejen k ochraně potenciálních oznamovatelů protiprávního jednání, ale také k prevenci protiprávního jednání obecně.</w:t>
            </w:r>
          </w:p>
          <w:p w14:paraId="283FCE2F" w14:textId="186AE425" w:rsidR="00172E7E" w:rsidRDefault="00172E7E" w:rsidP="00172E7E">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Z věcného posouzení odpovědného útvaru vyplynula nutnost </w:t>
            </w:r>
            <w:r w:rsidRPr="00172E7E">
              <w:rPr>
                <w:rFonts w:asciiTheme="majorHAnsi" w:hAnsiTheme="majorHAnsi" w:cstheme="majorHAnsi"/>
                <w:color w:val="3B3B3B"/>
                <w:sz w:val="20"/>
                <w:szCs w:val="20"/>
              </w:rPr>
              <w:t>výrazn</w:t>
            </w:r>
            <w:r>
              <w:rPr>
                <w:rFonts w:asciiTheme="majorHAnsi" w:hAnsiTheme="majorHAnsi" w:cstheme="majorHAnsi"/>
                <w:color w:val="3B3B3B"/>
                <w:sz w:val="20"/>
                <w:szCs w:val="20"/>
              </w:rPr>
              <w:t xml:space="preserve">é úpravy interní dokumentace </w:t>
            </w:r>
            <w:r w:rsidRPr="00172E7E">
              <w:rPr>
                <w:rFonts w:asciiTheme="majorHAnsi" w:hAnsiTheme="majorHAnsi" w:cstheme="majorHAnsi"/>
                <w:color w:val="3B3B3B"/>
                <w:sz w:val="20"/>
                <w:szCs w:val="20"/>
              </w:rPr>
              <w:t>zejména v procesní části, kdy vznikne odpovědnost společnosti i pověřených osob za přestupky podle tohoto zákona. Výrazně jsou také zpřísněny lhůty pro prošetření podnětů, které jsou touto úpravou dotčené.</w:t>
            </w:r>
          </w:p>
          <w:p w14:paraId="57BF22BA" w14:textId="77777777" w:rsidR="00172E7E" w:rsidRDefault="00172E7E" w:rsidP="00172E7E">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24F57628" w14:textId="1EA36D82" w:rsidR="00172E7E" w:rsidRPr="005C048D" w:rsidRDefault="00172E7E" w:rsidP="00172E7E">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Pr>
                <w:rStyle w:val="Hypertextovodkaz"/>
                <w:rFonts w:ascii="Arial" w:eastAsia="Times New Roman" w:hAnsi="Arial" w:cs="Arial"/>
                <w:b/>
                <w:bCs/>
                <w:i/>
                <w:color w:val="auto"/>
                <w:kern w:val="36"/>
                <w:sz w:val="20"/>
                <w:szCs w:val="20"/>
                <w:u w:val="none"/>
                <w:lang w:eastAsia="cs-CZ"/>
              </w:rPr>
              <w:t xml:space="preserve">Úkol: OIA </w:t>
            </w:r>
            <w:r w:rsidRPr="00172E7E">
              <w:rPr>
                <w:rStyle w:val="Hypertextovodkaz"/>
                <w:rFonts w:ascii="Arial" w:eastAsia="Times New Roman" w:hAnsi="Arial" w:cs="Arial"/>
                <w:b/>
                <w:bCs/>
                <w:i/>
                <w:color w:val="auto"/>
                <w:kern w:val="36"/>
                <w:sz w:val="20"/>
                <w:szCs w:val="20"/>
                <w:u w:val="none"/>
                <w:lang w:eastAsia="cs-CZ"/>
              </w:rPr>
              <w:t>informuje o splnění aktualizace interní dokumentace</w:t>
            </w:r>
            <w:r>
              <w:rPr>
                <w:rStyle w:val="Hypertextovodkaz"/>
                <w:rFonts w:ascii="Arial" w:eastAsia="Times New Roman" w:hAnsi="Arial" w:cs="Arial"/>
                <w:b/>
                <w:bCs/>
                <w:i/>
                <w:color w:val="auto"/>
                <w:kern w:val="36"/>
                <w:sz w:val="20"/>
                <w:szCs w:val="20"/>
                <w:u w:val="none"/>
                <w:lang w:eastAsia="cs-CZ"/>
              </w:rPr>
              <w:t>.</w:t>
            </w:r>
          </w:p>
          <w:p w14:paraId="7FA0CBF8" w14:textId="56BDE22D" w:rsidR="00172E7E" w:rsidRDefault="00172E7E"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73F8F179" w14:textId="77777777" w:rsidR="00834078" w:rsidRDefault="00834078" w:rsidP="00834078">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3054B47B" w14:textId="39F36FC7" w:rsidR="00834078" w:rsidRPr="006E530F" w:rsidRDefault="00834078" w:rsidP="00834078">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834078">
              <w:rPr>
                <w:rStyle w:val="Hypertextovodkaz"/>
                <w:rFonts w:ascii="Arial" w:eastAsia="Times New Roman" w:hAnsi="Arial" w:cs="Arial"/>
                <w:b/>
                <w:bCs/>
                <w:color w:val="0F0D29" w:themeColor="text1"/>
                <w:kern w:val="36"/>
                <w:sz w:val="24"/>
                <w:szCs w:val="24"/>
                <w:u w:val="none"/>
                <w:lang w:eastAsia="cs-CZ"/>
              </w:rPr>
              <w:t xml:space="preserve">Zákon č. 167/2023 Sb., kterým se mění zákon č. 258/2000 Sb., o ochraně veřejného zdraví a o změně některých souvisejících zákonů, ve znění pozdějších předpisů, a další související zákony  </w:t>
            </w:r>
            <w:r w:rsidR="00000000">
              <w:rPr>
                <w:rStyle w:val="Hypertextovodkaz"/>
                <w:rFonts w:ascii="Arial" w:eastAsia="Times New Roman" w:hAnsi="Arial" w:cs="Arial"/>
                <w:b/>
                <w:bCs/>
                <w:color w:val="0F0D29" w:themeColor="text1"/>
                <w:kern w:val="36"/>
                <w:sz w:val="24"/>
                <w:szCs w:val="24"/>
                <w:u w:val="none"/>
                <w:lang w:eastAsia="cs-CZ"/>
              </w:rPr>
              <w:pict w14:anchorId="431ABE07">
                <v:rect id="_x0000_i1031" style="width:0;height:1.5pt" o:hralign="center" o:hrstd="t" o:hr="t" fillcolor="#a0a0a0" stroked="f"/>
              </w:pict>
            </w:r>
          </w:p>
          <w:p w14:paraId="3C9CA089" w14:textId="77777777" w:rsidR="00834078" w:rsidRPr="001A0EC5" w:rsidRDefault="00834078" w:rsidP="00834078">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Pr>
                <w:rFonts w:asciiTheme="majorHAnsi" w:hAnsiTheme="majorHAnsi" w:cstheme="majorHAnsi"/>
                <w:color w:val="3B3B3B"/>
                <w:sz w:val="20"/>
                <w:szCs w:val="20"/>
              </w:rPr>
              <w:t>1. 8. 2023</w:t>
            </w:r>
            <w:r w:rsidRPr="001A0EC5">
              <w:rPr>
                <w:rFonts w:asciiTheme="majorHAnsi" w:hAnsiTheme="majorHAnsi" w:cstheme="majorHAnsi"/>
                <w:color w:val="3B3B3B"/>
                <w:sz w:val="20"/>
                <w:szCs w:val="20"/>
              </w:rPr>
              <w:t xml:space="preserve"> </w:t>
            </w:r>
          </w:p>
          <w:p w14:paraId="5FC7770B" w14:textId="77777777" w:rsidR="00834078" w:rsidRPr="001A0EC5" w:rsidRDefault="00834078" w:rsidP="00834078">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022EC195" w14:textId="3284E180" w:rsidR="00834078" w:rsidRDefault="00834078" w:rsidP="00834078">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Pr>
                <w:rFonts w:asciiTheme="majorHAnsi" w:hAnsiTheme="majorHAnsi" w:cstheme="majorHAnsi"/>
                <w:color w:val="3B3B3B"/>
                <w:sz w:val="20"/>
                <w:szCs w:val="20"/>
              </w:rPr>
              <w:t xml:space="preserve">16. 6. </w:t>
            </w:r>
            <w:r w:rsidRPr="001A0EC5">
              <w:rPr>
                <w:rFonts w:asciiTheme="majorHAnsi" w:hAnsiTheme="majorHAnsi" w:cstheme="majorHAnsi"/>
                <w:color w:val="3B3B3B"/>
                <w:sz w:val="20"/>
                <w:szCs w:val="20"/>
              </w:rPr>
              <w:t>2023 byl</w:t>
            </w:r>
            <w:r>
              <w:rPr>
                <w:rFonts w:asciiTheme="majorHAnsi" w:hAnsiTheme="majorHAnsi" w:cstheme="majorHAnsi"/>
                <w:color w:val="3B3B3B"/>
                <w:sz w:val="20"/>
                <w:szCs w:val="20"/>
              </w:rPr>
              <w:t xml:space="preserve">a ve Sbírce zákonů vyhlášena novela </w:t>
            </w:r>
            <w:r w:rsidRPr="00834078">
              <w:rPr>
                <w:rFonts w:asciiTheme="majorHAnsi" w:hAnsiTheme="majorHAnsi" w:cstheme="majorHAnsi"/>
                <w:color w:val="3B3B3B"/>
                <w:sz w:val="20"/>
                <w:szCs w:val="20"/>
              </w:rPr>
              <w:t>zákon</w:t>
            </w:r>
            <w:r>
              <w:rPr>
                <w:rFonts w:asciiTheme="majorHAnsi" w:hAnsiTheme="majorHAnsi" w:cstheme="majorHAnsi"/>
                <w:color w:val="3B3B3B"/>
                <w:sz w:val="20"/>
                <w:szCs w:val="20"/>
              </w:rPr>
              <w:t>a</w:t>
            </w:r>
            <w:r w:rsidRPr="00834078">
              <w:rPr>
                <w:rFonts w:asciiTheme="majorHAnsi" w:hAnsiTheme="majorHAnsi" w:cstheme="majorHAnsi"/>
                <w:color w:val="3B3B3B"/>
                <w:sz w:val="20"/>
                <w:szCs w:val="20"/>
              </w:rPr>
              <w:t xml:space="preserve"> č. 258/2000 Sb., o ochraně veřejného zdraví a o změně některých souvisejících zákonů, ve znění pozdějších předpisů, a další související zákony</w:t>
            </w:r>
            <w:r>
              <w:rPr>
                <w:rFonts w:asciiTheme="majorHAnsi" w:hAnsiTheme="majorHAnsi" w:cstheme="majorHAnsi"/>
                <w:color w:val="3B3B3B"/>
                <w:sz w:val="20"/>
                <w:szCs w:val="20"/>
              </w:rPr>
              <w:t xml:space="preserve">. Novelizace mimo jiné dopadá na </w:t>
            </w:r>
            <w:r w:rsidRPr="00834078">
              <w:rPr>
                <w:rFonts w:asciiTheme="majorHAnsi" w:hAnsiTheme="majorHAnsi" w:cstheme="majorHAnsi"/>
                <w:color w:val="3B3B3B"/>
                <w:sz w:val="20"/>
                <w:szCs w:val="20"/>
              </w:rPr>
              <w:t>zákon č. 110/1997 o potravinách a tabákových výrobcích</w:t>
            </w:r>
            <w:r>
              <w:rPr>
                <w:rFonts w:asciiTheme="majorHAnsi" w:hAnsiTheme="majorHAnsi" w:cstheme="majorHAnsi"/>
                <w:color w:val="3B3B3B"/>
                <w:sz w:val="20"/>
                <w:szCs w:val="20"/>
              </w:rPr>
              <w:t xml:space="preserve"> a představuje skončení prodeje </w:t>
            </w:r>
            <w:r w:rsidRPr="00834078">
              <w:rPr>
                <w:rFonts w:asciiTheme="majorHAnsi" w:hAnsiTheme="majorHAnsi" w:cstheme="majorHAnsi"/>
                <w:color w:val="3B3B3B"/>
                <w:sz w:val="20"/>
                <w:szCs w:val="20"/>
              </w:rPr>
              <w:t>nahřívaného tabáku s</w:t>
            </w:r>
            <w:r w:rsidR="00771AD0">
              <w:rPr>
                <w:rFonts w:asciiTheme="majorHAnsi" w:hAnsiTheme="majorHAnsi" w:cstheme="majorHAnsi"/>
                <w:color w:val="3B3B3B"/>
                <w:sz w:val="20"/>
                <w:szCs w:val="20"/>
              </w:rPr>
              <w:t> </w:t>
            </w:r>
            <w:r w:rsidRPr="00834078">
              <w:rPr>
                <w:rFonts w:asciiTheme="majorHAnsi" w:hAnsiTheme="majorHAnsi" w:cstheme="majorHAnsi"/>
                <w:color w:val="3B3B3B"/>
                <w:sz w:val="20"/>
                <w:szCs w:val="20"/>
              </w:rPr>
              <w:t>příchutí</w:t>
            </w:r>
            <w:r w:rsidR="00771AD0">
              <w:rPr>
                <w:rFonts w:asciiTheme="majorHAnsi" w:hAnsiTheme="majorHAnsi" w:cstheme="majorHAnsi"/>
                <w:color w:val="3B3B3B"/>
                <w:sz w:val="20"/>
                <w:szCs w:val="20"/>
              </w:rPr>
              <w:t xml:space="preserve"> </w:t>
            </w:r>
            <w:r w:rsidR="00771AD0" w:rsidRPr="00771AD0">
              <w:rPr>
                <w:rFonts w:asciiTheme="majorHAnsi" w:hAnsiTheme="majorHAnsi" w:cstheme="majorHAnsi"/>
                <w:color w:val="3B3B3B"/>
                <w:sz w:val="20"/>
                <w:szCs w:val="20"/>
              </w:rPr>
              <w:t>k 23.10.2023</w:t>
            </w:r>
            <w:r w:rsidRPr="00834078">
              <w:rPr>
                <w:rFonts w:asciiTheme="majorHAnsi" w:hAnsiTheme="majorHAnsi" w:cstheme="majorHAnsi"/>
                <w:color w:val="3B3B3B"/>
                <w:sz w:val="20"/>
                <w:szCs w:val="20"/>
              </w:rPr>
              <w:t>.</w:t>
            </w:r>
          </w:p>
          <w:p w14:paraId="636520EA" w14:textId="77777777" w:rsidR="00834078" w:rsidRDefault="00834078" w:rsidP="00834078">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39AC9723" w14:textId="4DB5A3F6" w:rsidR="00834078" w:rsidRPr="005C048D" w:rsidRDefault="00834078" w:rsidP="00834078">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Pr>
                <w:rStyle w:val="Hypertextovodkaz"/>
                <w:rFonts w:ascii="Arial" w:eastAsia="Times New Roman" w:hAnsi="Arial" w:cs="Arial"/>
                <w:b/>
                <w:bCs/>
                <w:i/>
                <w:color w:val="auto"/>
                <w:kern w:val="36"/>
                <w:sz w:val="20"/>
                <w:szCs w:val="20"/>
                <w:u w:val="none"/>
                <w:lang w:eastAsia="cs-CZ"/>
              </w:rPr>
              <w:t xml:space="preserve">Úkol: OČS </w:t>
            </w:r>
            <w:r w:rsidRPr="00172E7E">
              <w:rPr>
                <w:rStyle w:val="Hypertextovodkaz"/>
                <w:rFonts w:ascii="Arial" w:eastAsia="Times New Roman" w:hAnsi="Arial" w:cs="Arial"/>
                <w:b/>
                <w:bCs/>
                <w:i/>
                <w:color w:val="auto"/>
                <w:kern w:val="36"/>
                <w:sz w:val="20"/>
                <w:szCs w:val="20"/>
                <w:u w:val="none"/>
                <w:lang w:eastAsia="cs-CZ"/>
              </w:rPr>
              <w:t>informuje o s</w:t>
            </w:r>
            <w:r>
              <w:rPr>
                <w:rStyle w:val="Hypertextovodkaz"/>
                <w:rFonts w:ascii="Arial" w:eastAsia="Times New Roman" w:hAnsi="Arial" w:cs="Arial"/>
                <w:b/>
                <w:bCs/>
                <w:i/>
                <w:color w:val="auto"/>
                <w:kern w:val="36"/>
                <w:sz w:val="20"/>
                <w:szCs w:val="20"/>
                <w:u w:val="none"/>
                <w:lang w:eastAsia="cs-CZ"/>
              </w:rPr>
              <w:t>plnění povinností plynoucích ze zákazu prodeje.</w:t>
            </w:r>
          </w:p>
          <w:p w14:paraId="4178672B" w14:textId="7B16B26A" w:rsidR="00834078" w:rsidRDefault="00834078" w:rsidP="00834078">
            <w:pPr>
              <w:spacing w:line="360" w:lineRule="auto"/>
              <w:jc w:val="both"/>
              <w:rPr>
                <w:rFonts w:ascii="Arial" w:hAnsi="Arial" w:cs="Arial"/>
                <w:bCs/>
                <w:color w:val="0F0D29" w:themeColor="text1"/>
                <w:sz w:val="20"/>
                <w:szCs w:val="20"/>
              </w:rPr>
            </w:pPr>
          </w:p>
          <w:p w14:paraId="30C78B70" w14:textId="723D1622" w:rsidR="00102FA4" w:rsidRDefault="00102FA4" w:rsidP="00834078">
            <w:pPr>
              <w:spacing w:line="360" w:lineRule="auto"/>
              <w:jc w:val="both"/>
              <w:rPr>
                <w:rFonts w:ascii="Arial" w:hAnsi="Arial" w:cs="Arial"/>
                <w:bCs/>
                <w:color w:val="0F0D29" w:themeColor="text1"/>
                <w:sz w:val="20"/>
                <w:szCs w:val="20"/>
              </w:rPr>
            </w:pPr>
          </w:p>
          <w:p w14:paraId="2C871D60" w14:textId="77777777" w:rsidR="00102FA4" w:rsidRDefault="00102FA4" w:rsidP="00834078">
            <w:pPr>
              <w:spacing w:line="360" w:lineRule="auto"/>
              <w:jc w:val="both"/>
              <w:rPr>
                <w:rFonts w:ascii="Arial" w:hAnsi="Arial" w:cs="Arial"/>
                <w:bCs/>
                <w:color w:val="0F0D29" w:themeColor="text1"/>
                <w:sz w:val="20"/>
                <w:szCs w:val="20"/>
              </w:rPr>
            </w:pPr>
          </w:p>
          <w:p w14:paraId="12AABA4C" w14:textId="77777777" w:rsidR="00124E51" w:rsidRDefault="00124E51" w:rsidP="00124E51">
            <w:pPr>
              <w:pStyle w:val="Bezmezer"/>
              <w:tabs>
                <w:tab w:val="left" w:pos="4308"/>
              </w:tabs>
              <w:jc w:val="both"/>
              <w:rPr>
                <w:rFonts w:ascii="Arial" w:hAnsi="Arial" w:cs="Arial"/>
                <w:bCs/>
                <w:color w:val="0F0D29" w:themeColor="text1"/>
                <w:sz w:val="20"/>
                <w:szCs w:val="20"/>
              </w:rPr>
            </w:pPr>
          </w:p>
          <w:p w14:paraId="3AB9B36D" w14:textId="690BAB50" w:rsidR="00124E51" w:rsidRPr="006E530F" w:rsidRDefault="00124E51" w:rsidP="00124E51">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124E51">
              <w:rPr>
                <w:rStyle w:val="Hypertextovodkaz"/>
                <w:rFonts w:ascii="Arial" w:eastAsia="Times New Roman" w:hAnsi="Arial" w:cs="Arial"/>
                <w:b/>
                <w:bCs/>
                <w:color w:val="0F0D29" w:themeColor="text1"/>
                <w:kern w:val="36"/>
                <w:sz w:val="24"/>
                <w:szCs w:val="24"/>
                <w:u w:val="none"/>
                <w:lang w:eastAsia="cs-CZ"/>
              </w:rPr>
              <w:t xml:space="preserve">Zákon č. 166/2023 Sb., kterým se mění zákon č. 134/2016 Sb., o zadávání veřejných zakázek, ve znění pozdějších předpisů  </w:t>
            </w:r>
            <w:r w:rsidR="00000000">
              <w:rPr>
                <w:rStyle w:val="Hypertextovodkaz"/>
                <w:rFonts w:ascii="Arial" w:eastAsia="Times New Roman" w:hAnsi="Arial" w:cs="Arial"/>
                <w:b/>
                <w:bCs/>
                <w:color w:val="0F0D29" w:themeColor="text1"/>
                <w:kern w:val="36"/>
                <w:sz w:val="24"/>
                <w:szCs w:val="24"/>
                <w:u w:val="none"/>
                <w:lang w:eastAsia="cs-CZ"/>
              </w:rPr>
              <w:pict w14:anchorId="711D78A8">
                <v:rect id="_x0000_i1032" style="width:0;height:1.5pt" o:hralign="center" o:hrstd="t" o:hr="t" fillcolor="#a0a0a0" stroked="f"/>
              </w:pict>
            </w:r>
          </w:p>
          <w:p w14:paraId="012530D2" w14:textId="572CDE9E" w:rsidR="00124E51" w:rsidRPr="001A0EC5" w:rsidRDefault="00124E51" w:rsidP="00124E51">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Pr>
                <w:rFonts w:asciiTheme="majorHAnsi" w:hAnsiTheme="majorHAnsi" w:cstheme="majorHAnsi"/>
                <w:color w:val="3B3B3B"/>
                <w:sz w:val="20"/>
                <w:szCs w:val="20"/>
              </w:rPr>
              <w:t>16. 7. 2023</w:t>
            </w:r>
            <w:r w:rsidRPr="001A0EC5">
              <w:rPr>
                <w:rFonts w:asciiTheme="majorHAnsi" w:hAnsiTheme="majorHAnsi" w:cstheme="majorHAnsi"/>
                <w:color w:val="3B3B3B"/>
                <w:sz w:val="20"/>
                <w:szCs w:val="20"/>
              </w:rPr>
              <w:t xml:space="preserve"> </w:t>
            </w:r>
          </w:p>
          <w:p w14:paraId="0ACEA210" w14:textId="77777777" w:rsidR="00124E51" w:rsidRPr="001A0EC5" w:rsidRDefault="00124E51" w:rsidP="00124E51">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342BF504" w14:textId="51B56DD3" w:rsidR="00124E51" w:rsidRDefault="00124E51" w:rsidP="00124E51">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Pr>
                <w:rFonts w:asciiTheme="majorHAnsi" w:hAnsiTheme="majorHAnsi" w:cstheme="majorHAnsi"/>
                <w:color w:val="3B3B3B"/>
                <w:sz w:val="20"/>
                <w:szCs w:val="20"/>
              </w:rPr>
              <w:t xml:space="preserve">16. 6. </w:t>
            </w:r>
            <w:r w:rsidRPr="001A0EC5">
              <w:rPr>
                <w:rFonts w:asciiTheme="majorHAnsi" w:hAnsiTheme="majorHAnsi" w:cstheme="majorHAnsi"/>
                <w:color w:val="3B3B3B"/>
                <w:sz w:val="20"/>
                <w:szCs w:val="20"/>
              </w:rPr>
              <w:t>2023 byla ve Sbírce zákonů publikována novela</w:t>
            </w:r>
            <w:r>
              <w:t xml:space="preserve"> </w:t>
            </w:r>
            <w:r w:rsidRPr="00124E51">
              <w:rPr>
                <w:rFonts w:asciiTheme="majorHAnsi" w:hAnsiTheme="majorHAnsi" w:cstheme="majorHAnsi"/>
                <w:color w:val="3B3B3B"/>
                <w:sz w:val="20"/>
                <w:szCs w:val="20"/>
              </w:rPr>
              <w:t>zákon</w:t>
            </w:r>
            <w:r>
              <w:rPr>
                <w:rFonts w:asciiTheme="majorHAnsi" w:hAnsiTheme="majorHAnsi" w:cstheme="majorHAnsi"/>
                <w:color w:val="3B3B3B"/>
                <w:sz w:val="20"/>
                <w:szCs w:val="20"/>
              </w:rPr>
              <w:t>a</w:t>
            </w:r>
            <w:r w:rsidRPr="00124E51">
              <w:rPr>
                <w:rFonts w:asciiTheme="majorHAnsi" w:hAnsiTheme="majorHAnsi" w:cstheme="majorHAnsi"/>
                <w:color w:val="3B3B3B"/>
                <w:sz w:val="20"/>
                <w:szCs w:val="20"/>
              </w:rPr>
              <w:t xml:space="preserve"> č. 134/2016 Sb., o zadávání veřejných zakázek, ve znění pozdějších předpisů</w:t>
            </w:r>
            <w:r>
              <w:rPr>
                <w:rFonts w:asciiTheme="majorHAnsi" w:hAnsiTheme="majorHAnsi" w:cstheme="majorHAnsi"/>
                <w:color w:val="3B3B3B"/>
                <w:sz w:val="20"/>
                <w:szCs w:val="20"/>
              </w:rPr>
              <w:t>.</w:t>
            </w:r>
            <w:r>
              <w:t xml:space="preserve"> </w:t>
            </w:r>
            <w:r w:rsidRPr="00124E51">
              <w:rPr>
                <w:rFonts w:asciiTheme="majorHAnsi" w:hAnsiTheme="majorHAnsi" w:cstheme="majorHAnsi"/>
                <w:color w:val="3B3B3B"/>
                <w:sz w:val="20"/>
                <w:szCs w:val="20"/>
              </w:rPr>
              <w:t>Cílem n</w:t>
            </w:r>
            <w:r>
              <w:rPr>
                <w:rFonts w:asciiTheme="majorHAnsi" w:hAnsiTheme="majorHAnsi" w:cstheme="majorHAnsi"/>
                <w:color w:val="3B3B3B"/>
                <w:sz w:val="20"/>
                <w:szCs w:val="20"/>
              </w:rPr>
              <w:t>ovely</w:t>
            </w:r>
            <w:r w:rsidRPr="00124E51">
              <w:rPr>
                <w:rFonts w:asciiTheme="majorHAnsi" w:hAnsiTheme="majorHAnsi" w:cstheme="majorHAnsi"/>
                <w:color w:val="3B3B3B"/>
                <w:sz w:val="20"/>
                <w:szCs w:val="20"/>
              </w:rPr>
              <w:t xml:space="preserve"> je zejména odstranění nedostatků transpozice vytýkané České republice Evropskou komisí, zpřesnění některých ustanovení zákona. N</w:t>
            </w:r>
            <w:r>
              <w:rPr>
                <w:rFonts w:asciiTheme="majorHAnsi" w:hAnsiTheme="majorHAnsi" w:cstheme="majorHAnsi"/>
                <w:color w:val="3B3B3B"/>
                <w:sz w:val="20"/>
                <w:szCs w:val="20"/>
              </w:rPr>
              <w:t>ovela</w:t>
            </w:r>
            <w:r w:rsidRPr="00124E51">
              <w:rPr>
                <w:rFonts w:asciiTheme="majorHAnsi" w:hAnsiTheme="majorHAnsi" w:cstheme="majorHAnsi"/>
                <w:color w:val="3B3B3B"/>
                <w:sz w:val="20"/>
                <w:szCs w:val="20"/>
              </w:rPr>
              <w:t xml:space="preserve"> dále provádí změny, které povedou ke snížení administrativního zatížení na straně zadavatelů i dodavatelů, odstraňuje nepřiměřenou přísnost některých pravidel, vyjasňuje výkladové nejasnosti a v neposlední řadě také odstraňuje legislativně technické nedostatky textu. N</w:t>
            </w:r>
            <w:r>
              <w:rPr>
                <w:rFonts w:asciiTheme="majorHAnsi" w:hAnsiTheme="majorHAnsi" w:cstheme="majorHAnsi"/>
                <w:color w:val="3B3B3B"/>
                <w:sz w:val="20"/>
                <w:szCs w:val="20"/>
              </w:rPr>
              <w:t>ejedná se o</w:t>
            </w:r>
            <w:r w:rsidRPr="00124E51">
              <w:rPr>
                <w:rFonts w:asciiTheme="majorHAnsi" w:hAnsiTheme="majorHAnsi" w:cstheme="majorHAnsi"/>
                <w:color w:val="3B3B3B"/>
                <w:sz w:val="20"/>
                <w:szCs w:val="20"/>
              </w:rPr>
              <w:t xml:space="preserve"> koncepční změnou procesu zadávání veřejných zakázek.</w:t>
            </w:r>
          </w:p>
          <w:p w14:paraId="15635816" w14:textId="77777777" w:rsidR="00124E51" w:rsidRDefault="00124E51" w:rsidP="00124E51">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1F36F39D" w14:textId="77777777" w:rsidR="00124E51" w:rsidRPr="005C048D" w:rsidRDefault="00124E51" w:rsidP="00124E51">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Pr>
                <w:rStyle w:val="Hypertextovodkaz"/>
                <w:rFonts w:ascii="Arial" w:eastAsia="Times New Roman" w:hAnsi="Arial" w:cs="Arial"/>
                <w:b/>
                <w:bCs/>
                <w:i/>
                <w:color w:val="auto"/>
                <w:kern w:val="36"/>
                <w:sz w:val="20"/>
                <w:szCs w:val="20"/>
                <w:u w:val="none"/>
                <w:lang w:eastAsia="cs-CZ"/>
              </w:rPr>
              <w:t>Úkol: Novela je předmětem právního posouzení ze strany OPS.</w:t>
            </w:r>
          </w:p>
          <w:p w14:paraId="4E857670" w14:textId="77777777" w:rsidR="00124E51" w:rsidRPr="00834078" w:rsidRDefault="00124E51" w:rsidP="00834078">
            <w:pPr>
              <w:spacing w:line="360" w:lineRule="auto"/>
              <w:jc w:val="both"/>
              <w:rPr>
                <w:rFonts w:ascii="Arial" w:hAnsi="Arial" w:cs="Arial"/>
                <w:bCs/>
                <w:color w:val="0F0D29" w:themeColor="text1"/>
                <w:sz w:val="20"/>
                <w:szCs w:val="20"/>
              </w:rPr>
            </w:pPr>
          </w:p>
          <w:p w14:paraId="54F70867" w14:textId="489CD948" w:rsidR="00BA4503" w:rsidRPr="006E530F" w:rsidRDefault="00BA4503" w:rsidP="00BA4503">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BA4503">
              <w:rPr>
                <w:rStyle w:val="Hypertextovodkaz"/>
                <w:rFonts w:ascii="Arial" w:eastAsia="Times New Roman" w:hAnsi="Arial" w:cs="Arial"/>
                <w:b/>
                <w:bCs/>
                <w:color w:val="0F0D29" w:themeColor="text1"/>
                <w:kern w:val="36"/>
                <w:sz w:val="24"/>
                <w:szCs w:val="24"/>
                <w:u w:val="none"/>
                <w:lang w:eastAsia="cs-CZ"/>
              </w:rPr>
              <w:t xml:space="preserve">Vyhláška č. 156/2023 Sb., kterou se mění vyhláška č. 31/1995 Sb., kterou se provádí zákon č. 200/1994 Sb., o zeměměřictví a o změně a doplnění některých zákonů souvisejících s jeho zavedením, ve znění pozdějších předpisů  </w:t>
            </w:r>
            <w:r w:rsidR="00000000">
              <w:rPr>
                <w:rStyle w:val="Hypertextovodkaz"/>
                <w:rFonts w:ascii="Arial" w:eastAsia="Times New Roman" w:hAnsi="Arial" w:cs="Arial"/>
                <w:b/>
                <w:bCs/>
                <w:color w:val="0F0D29" w:themeColor="text1"/>
                <w:kern w:val="36"/>
                <w:sz w:val="24"/>
                <w:szCs w:val="24"/>
                <w:u w:val="none"/>
                <w:lang w:eastAsia="cs-CZ"/>
              </w:rPr>
              <w:pict w14:anchorId="55987616">
                <v:rect id="_x0000_i1033" style="width:0;height:1.5pt" o:hralign="center" o:hrstd="t" o:hr="t" fillcolor="#a0a0a0" stroked="f"/>
              </w:pict>
            </w:r>
          </w:p>
          <w:p w14:paraId="240A2C2A" w14:textId="444882D0" w:rsidR="00BA4503" w:rsidRPr="001A0EC5" w:rsidRDefault="00BA4503" w:rsidP="00BA4503">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Pr>
                <w:rFonts w:asciiTheme="majorHAnsi" w:hAnsiTheme="majorHAnsi" w:cstheme="majorHAnsi"/>
                <w:color w:val="3B3B3B"/>
                <w:sz w:val="20"/>
                <w:szCs w:val="20"/>
              </w:rPr>
              <w:t>1. 7. 2023</w:t>
            </w:r>
            <w:r w:rsidRPr="001A0EC5">
              <w:rPr>
                <w:rFonts w:asciiTheme="majorHAnsi" w:hAnsiTheme="majorHAnsi" w:cstheme="majorHAnsi"/>
                <w:color w:val="3B3B3B"/>
                <w:sz w:val="20"/>
                <w:szCs w:val="20"/>
              </w:rPr>
              <w:t xml:space="preserve"> </w:t>
            </w:r>
          </w:p>
          <w:p w14:paraId="354D0B72" w14:textId="77777777" w:rsidR="00BA4503" w:rsidRPr="001A0EC5" w:rsidRDefault="00BA4503" w:rsidP="00BA4503">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67BCD320" w14:textId="28312EE9" w:rsidR="00BA4503" w:rsidRDefault="00BA4503" w:rsidP="00BA4503">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Pr>
                <w:rFonts w:asciiTheme="majorHAnsi" w:hAnsiTheme="majorHAnsi" w:cstheme="majorHAnsi"/>
                <w:color w:val="3B3B3B"/>
                <w:sz w:val="20"/>
                <w:szCs w:val="20"/>
              </w:rPr>
              <w:t xml:space="preserve">9. 6. </w:t>
            </w:r>
            <w:r w:rsidRPr="001A0EC5">
              <w:rPr>
                <w:rFonts w:asciiTheme="majorHAnsi" w:hAnsiTheme="majorHAnsi" w:cstheme="majorHAnsi"/>
                <w:color w:val="3B3B3B"/>
                <w:sz w:val="20"/>
                <w:szCs w:val="20"/>
              </w:rPr>
              <w:t>2023 byla ve Sbírce zákonů publikována novela</w:t>
            </w:r>
            <w:r>
              <w:t xml:space="preserve"> </w:t>
            </w:r>
            <w:r w:rsidRPr="00BA4503">
              <w:rPr>
                <w:rFonts w:asciiTheme="majorHAnsi" w:hAnsiTheme="majorHAnsi" w:cstheme="majorHAnsi"/>
                <w:color w:val="3B3B3B"/>
                <w:sz w:val="20"/>
                <w:szCs w:val="20"/>
              </w:rPr>
              <w:t>vyhlášk</w:t>
            </w:r>
            <w:r>
              <w:rPr>
                <w:rFonts w:asciiTheme="majorHAnsi" w:hAnsiTheme="majorHAnsi" w:cstheme="majorHAnsi"/>
                <w:color w:val="3B3B3B"/>
                <w:sz w:val="20"/>
                <w:szCs w:val="20"/>
              </w:rPr>
              <w:t>y</w:t>
            </w:r>
            <w:r w:rsidRPr="00BA4503">
              <w:rPr>
                <w:rFonts w:asciiTheme="majorHAnsi" w:hAnsiTheme="majorHAnsi" w:cstheme="majorHAnsi"/>
                <w:color w:val="3B3B3B"/>
                <w:sz w:val="20"/>
                <w:szCs w:val="20"/>
              </w:rPr>
              <w:t xml:space="preserve"> č. 31/1995 Sb., kterou se provádí zákon č. 200/1994 Sb., o zeměměřictví a o změně a doplnění některých zákonů souvisejících s jeho zavedením, ve znění pozdějších předpisů</w:t>
            </w:r>
            <w:r>
              <w:rPr>
                <w:rFonts w:asciiTheme="majorHAnsi" w:hAnsiTheme="majorHAnsi" w:cstheme="majorHAnsi"/>
                <w:color w:val="3B3B3B"/>
                <w:sz w:val="20"/>
                <w:szCs w:val="20"/>
              </w:rPr>
              <w:t>.</w:t>
            </w:r>
          </w:p>
          <w:p w14:paraId="01E15CD1" w14:textId="3DB26BEF" w:rsidR="00BA4503" w:rsidRDefault="00BA4503" w:rsidP="00BA4503">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00E3778A" w14:textId="23613D7B" w:rsidR="00BA4503" w:rsidRDefault="00BA4503" w:rsidP="00BA4503">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BA4503">
              <w:rPr>
                <w:rFonts w:asciiTheme="majorHAnsi" w:hAnsiTheme="majorHAnsi" w:cstheme="majorHAnsi"/>
                <w:color w:val="3B3B3B"/>
                <w:sz w:val="20"/>
                <w:szCs w:val="20"/>
              </w:rPr>
              <w:t>Cílem novely je tedy především zajistit soulad vyhlášky s novelou zákona o zeměměřictví, zejména upravit náležitosti výsledků zeměměřických činností a stanovit podmínky a formy pro poskytování údajů z dokumentovaných výsledků zeměměřických činností a z databází spravovaných Zeměměřickým úřadem.</w:t>
            </w:r>
          </w:p>
          <w:p w14:paraId="648063E2" w14:textId="2C84CAE4" w:rsidR="00A1140D" w:rsidRDefault="00A1140D" w:rsidP="00BA4503">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26911E51" w14:textId="77777777" w:rsidR="00A1140D" w:rsidRPr="00D428C2" w:rsidRDefault="00A1140D" w:rsidP="00A1140D">
            <w:pPr>
              <w:pStyle w:val="text-large"/>
              <w:shd w:val="clear" w:color="auto" w:fill="FFFFFF"/>
              <w:spacing w:line="408" w:lineRule="atLeast"/>
              <w:jc w:val="both"/>
              <w:rPr>
                <w:rFonts w:asciiTheme="majorHAnsi" w:hAnsiTheme="majorHAnsi" w:cstheme="majorHAnsi"/>
                <w:color w:val="3B3B3B"/>
                <w:sz w:val="20"/>
                <w:szCs w:val="20"/>
              </w:rPr>
            </w:pPr>
            <w:r w:rsidRPr="00D428C2">
              <w:rPr>
                <w:rFonts w:asciiTheme="majorHAnsi" w:hAnsiTheme="majorHAnsi" w:cstheme="majorHAnsi"/>
                <w:color w:val="3B3B3B"/>
                <w:sz w:val="20"/>
                <w:szCs w:val="20"/>
              </w:rPr>
              <w:t xml:space="preserve">Z důvodu zřízení profesní samosprávy v oblasti zeměměřictví již nebudou nadále výsledky zeměměřických činností ověřovány na základě úředního oprávnění udělovaného Českým úřadem zeměměřickým a katastrálním (nově dle autorizace udělované Českou komorou zeměměřičů), vypouští veškerá ustanovení vyhlášky týkající se problematiky udělování úředních oprávnění. Dále reaguje na elektronizaci postupů při výkonu některých činností, především činností při správě bodových polí. </w:t>
            </w:r>
          </w:p>
          <w:p w14:paraId="2844CA17" w14:textId="77777777" w:rsidR="00A1140D" w:rsidRPr="00D428C2" w:rsidRDefault="00A1140D" w:rsidP="00A1140D">
            <w:pPr>
              <w:pStyle w:val="text-large"/>
              <w:shd w:val="clear" w:color="auto" w:fill="FFFFFF"/>
              <w:spacing w:line="408" w:lineRule="atLeast"/>
              <w:jc w:val="both"/>
              <w:rPr>
                <w:rFonts w:asciiTheme="majorHAnsi" w:hAnsiTheme="majorHAnsi" w:cstheme="majorHAnsi"/>
                <w:color w:val="3B3B3B"/>
                <w:sz w:val="20"/>
                <w:szCs w:val="20"/>
              </w:rPr>
            </w:pPr>
            <w:r w:rsidRPr="00D428C2">
              <w:rPr>
                <w:rFonts w:asciiTheme="majorHAnsi" w:hAnsiTheme="majorHAnsi" w:cstheme="majorHAnsi"/>
                <w:color w:val="3B3B3B"/>
                <w:sz w:val="20"/>
                <w:szCs w:val="20"/>
              </w:rPr>
              <w:lastRenderedPageBreak/>
              <w:t xml:space="preserve">Řada údajů (geoprostorové informace o bodech) spravovaných Zeměměřickým úřadem bude nově poskytována bezplatně jako otevřená data, což vyplývá již z vlastní novely zeměměřického zákona. </w:t>
            </w:r>
          </w:p>
          <w:p w14:paraId="7209A4D3" w14:textId="77777777" w:rsidR="00A1140D" w:rsidRPr="00D428C2" w:rsidRDefault="00A1140D" w:rsidP="00A1140D">
            <w:pPr>
              <w:pStyle w:val="text-large"/>
              <w:shd w:val="clear" w:color="auto" w:fill="FFFFFF"/>
              <w:spacing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Dále v</w:t>
            </w:r>
            <w:r w:rsidRPr="00D428C2">
              <w:rPr>
                <w:rFonts w:asciiTheme="majorHAnsi" w:hAnsiTheme="majorHAnsi" w:cstheme="majorHAnsi"/>
                <w:color w:val="3B3B3B"/>
                <w:sz w:val="20"/>
                <w:szCs w:val="20"/>
              </w:rPr>
              <w:t>yhláška upravuje terminologii v souladu s úpravou zeměměřického zákona, a upřesňuje některé postupy a definice (např. databáze bodových polí, permanentní stanice, tíhové pole), případně vypouští ty, které byly přesunuty do zákona. Katastrální mapa nebude již nadále zařazena mezi základní státní mapová díla upravená v nařízení vlády o stanovení geodetických referenčních systémů závazných na území státu. V bodu 11 přílohy vyhlášky je nově uveden seznam placených údajů (výsledků činnosti Zeměměřického úřadu) a cena za jejich poskytnutí</w:t>
            </w:r>
            <w:r>
              <w:rPr>
                <w:rFonts w:asciiTheme="majorHAnsi" w:hAnsiTheme="majorHAnsi" w:cstheme="majorHAnsi"/>
                <w:color w:val="3B3B3B"/>
                <w:sz w:val="20"/>
                <w:szCs w:val="20"/>
              </w:rPr>
              <w:t>.</w:t>
            </w:r>
            <w:r w:rsidRPr="00D428C2">
              <w:rPr>
                <w:rFonts w:asciiTheme="majorHAnsi" w:hAnsiTheme="majorHAnsi" w:cstheme="majorHAnsi"/>
                <w:color w:val="3B3B3B"/>
                <w:sz w:val="20"/>
                <w:szCs w:val="20"/>
              </w:rPr>
              <w:t xml:space="preserve"> </w:t>
            </w:r>
          </w:p>
          <w:p w14:paraId="2D1DC7E2" w14:textId="77777777" w:rsidR="00861E7B" w:rsidRPr="005C048D" w:rsidRDefault="00861E7B" w:rsidP="00861E7B">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Pr>
                <w:rStyle w:val="Hypertextovodkaz"/>
                <w:rFonts w:ascii="Arial" w:eastAsia="Times New Roman" w:hAnsi="Arial" w:cs="Arial"/>
                <w:b/>
                <w:bCs/>
                <w:i/>
                <w:color w:val="auto"/>
                <w:kern w:val="36"/>
                <w:sz w:val="20"/>
                <w:szCs w:val="20"/>
                <w:u w:val="none"/>
                <w:lang w:eastAsia="cs-CZ"/>
              </w:rPr>
              <w:t>Úkol: Na vědomí POŘ.</w:t>
            </w:r>
          </w:p>
          <w:p w14:paraId="32908CFF" w14:textId="77777777" w:rsidR="00102FA4" w:rsidRDefault="00102FA4" w:rsidP="00BA4503">
            <w:pPr>
              <w:spacing w:line="360" w:lineRule="auto"/>
              <w:jc w:val="both"/>
              <w:rPr>
                <w:rFonts w:ascii="Arial" w:hAnsi="Arial" w:cs="Arial"/>
                <w:bCs/>
                <w:color w:val="0F0D29" w:themeColor="text1"/>
                <w:sz w:val="20"/>
                <w:szCs w:val="20"/>
              </w:rPr>
            </w:pPr>
          </w:p>
          <w:p w14:paraId="4EC57B3A" w14:textId="0F21D3D8" w:rsidR="006C72A2" w:rsidRPr="003F5366" w:rsidRDefault="003F5366" w:rsidP="003F5366">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3F5366">
              <w:rPr>
                <w:rStyle w:val="Hypertextovodkaz"/>
                <w:rFonts w:ascii="Arial" w:eastAsia="Times New Roman" w:hAnsi="Arial" w:cs="Arial"/>
                <w:b/>
                <w:bCs/>
                <w:color w:val="0F0D29" w:themeColor="text1"/>
                <w:kern w:val="36"/>
                <w:sz w:val="24"/>
                <w:szCs w:val="24"/>
                <w:u w:val="none"/>
                <w:lang w:eastAsia="cs-CZ"/>
              </w:rPr>
              <w:t xml:space="preserve">Zákon č. 152/2023 Sb., kterým se mění zákon č. 283/2021 Sb., stavební zákon, ve znění zákona č. 195/2022 Sb., a některé další související zákony  </w:t>
            </w:r>
            <w:r w:rsidR="00000000">
              <w:rPr>
                <w:rStyle w:val="Hypertextovodkaz"/>
                <w:rFonts w:ascii="Arial" w:eastAsia="Times New Roman" w:hAnsi="Arial" w:cs="Arial"/>
                <w:b/>
                <w:bCs/>
                <w:color w:val="0F0D29" w:themeColor="text1"/>
                <w:kern w:val="36"/>
                <w:sz w:val="24"/>
                <w:szCs w:val="24"/>
                <w:u w:val="none"/>
                <w:lang w:eastAsia="cs-CZ"/>
              </w:rPr>
              <w:pict w14:anchorId="53D934A5">
                <v:rect id="_x0000_i1034" style="width:0;height:1.5pt" o:hralign="center" o:hrstd="t" o:hr="t" fillcolor="#a0a0a0" stroked="f"/>
              </w:pict>
            </w:r>
          </w:p>
          <w:p w14:paraId="09153F62" w14:textId="77777777" w:rsidR="006C72A2" w:rsidRPr="003F5366" w:rsidRDefault="006C72A2" w:rsidP="006C72A2">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3F5366">
              <w:rPr>
                <w:rFonts w:asciiTheme="majorHAnsi" w:hAnsiTheme="majorHAnsi" w:cstheme="majorHAnsi"/>
                <w:color w:val="3B3B3B"/>
                <w:sz w:val="20"/>
                <w:szCs w:val="20"/>
              </w:rPr>
              <w:t xml:space="preserve">Účinnost od 1. 7. 2023 </w:t>
            </w:r>
          </w:p>
          <w:p w14:paraId="0F2D47E1" w14:textId="77777777" w:rsidR="006C72A2" w:rsidRPr="003F5366" w:rsidRDefault="006C72A2" w:rsidP="006C72A2">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0272BEDC" w14:textId="21ACA67D" w:rsidR="006C72A2" w:rsidRPr="003F5366" w:rsidRDefault="006C72A2" w:rsidP="003F536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3F5366">
              <w:rPr>
                <w:rFonts w:asciiTheme="majorHAnsi" w:hAnsiTheme="majorHAnsi" w:cstheme="majorHAnsi"/>
                <w:color w:val="3B3B3B"/>
                <w:sz w:val="20"/>
                <w:szCs w:val="20"/>
              </w:rPr>
              <w:t xml:space="preserve">Dne </w:t>
            </w:r>
            <w:r w:rsidR="003F5366" w:rsidRPr="003F5366">
              <w:rPr>
                <w:rFonts w:asciiTheme="majorHAnsi" w:hAnsiTheme="majorHAnsi" w:cstheme="majorHAnsi"/>
                <w:color w:val="3B3B3B"/>
                <w:sz w:val="20"/>
                <w:szCs w:val="20"/>
              </w:rPr>
              <w:t>5</w:t>
            </w:r>
            <w:r w:rsidRPr="003F5366">
              <w:rPr>
                <w:rFonts w:asciiTheme="majorHAnsi" w:hAnsiTheme="majorHAnsi" w:cstheme="majorHAnsi"/>
                <w:color w:val="3B3B3B"/>
                <w:sz w:val="20"/>
                <w:szCs w:val="20"/>
              </w:rPr>
              <w:t>. 6. 2023 byla ve Sbírce zákonů publikována novela</w:t>
            </w:r>
            <w:r w:rsidRPr="003F5366">
              <w:t xml:space="preserve"> </w:t>
            </w:r>
            <w:r w:rsidR="003F5366" w:rsidRPr="003F5366">
              <w:t xml:space="preserve"> </w:t>
            </w:r>
            <w:r w:rsidR="003F5366" w:rsidRPr="003F5366">
              <w:rPr>
                <w:rFonts w:asciiTheme="majorHAnsi" w:hAnsiTheme="majorHAnsi" w:cstheme="majorHAnsi"/>
                <w:color w:val="3B3B3B"/>
                <w:sz w:val="20"/>
                <w:szCs w:val="20"/>
              </w:rPr>
              <w:t>zákona č. 283/2021 Sb., stavební zákon, ve znění zákona č. 195/2022 Sb., a některé další související zákony.</w:t>
            </w:r>
          </w:p>
          <w:p w14:paraId="777BBD38" w14:textId="6117118E" w:rsidR="003F5366" w:rsidRPr="003F5366" w:rsidRDefault="003F5366" w:rsidP="003F536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4D094EB9" w14:textId="22DB173F" w:rsidR="003F5366" w:rsidRDefault="003F5366" w:rsidP="003F536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3F5366">
              <w:rPr>
                <w:rFonts w:asciiTheme="majorHAnsi" w:hAnsiTheme="majorHAnsi" w:cstheme="majorHAnsi"/>
                <w:color w:val="3B3B3B"/>
                <w:sz w:val="20"/>
                <w:szCs w:val="20"/>
              </w:rPr>
              <w:t xml:space="preserve">Novela ruší </w:t>
            </w:r>
            <w:r w:rsidRPr="003F5366">
              <w:t xml:space="preserve"> </w:t>
            </w:r>
            <w:r w:rsidRPr="003F5366">
              <w:rPr>
                <w:rFonts w:asciiTheme="majorHAnsi" w:hAnsiTheme="majorHAnsi" w:cstheme="majorHAnsi"/>
                <w:color w:val="3B3B3B"/>
                <w:sz w:val="20"/>
                <w:szCs w:val="20"/>
              </w:rPr>
              <w:t xml:space="preserve">Nejvyšší stavební úřad, jeho kompetence převezme Ministerstvo pro místní rozvoj. Krajské stavební úřady zůstávají zachovány, což bude vést ke smíšenému modelu veřejné správy na úseku povolování staveb. Specializovaný a odvolací stavební úřad </w:t>
            </w:r>
            <w:r>
              <w:rPr>
                <w:rFonts w:asciiTheme="majorHAnsi" w:hAnsiTheme="majorHAnsi" w:cstheme="majorHAnsi"/>
                <w:color w:val="3B3B3B"/>
                <w:sz w:val="20"/>
                <w:szCs w:val="20"/>
              </w:rPr>
              <w:t xml:space="preserve">rovněž zůstává </w:t>
            </w:r>
            <w:r w:rsidRPr="003F5366">
              <w:rPr>
                <w:rFonts w:asciiTheme="majorHAnsi" w:hAnsiTheme="majorHAnsi" w:cstheme="majorHAnsi"/>
                <w:color w:val="3B3B3B"/>
                <w:sz w:val="20"/>
                <w:szCs w:val="20"/>
              </w:rPr>
              <w:t>zachován a</w:t>
            </w:r>
            <w:r>
              <w:rPr>
                <w:rFonts w:asciiTheme="majorHAnsi" w:hAnsiTheme="majorHAnsi" w:cstheme="majorHAnsi"/>
                <w:color w:val="3B3B3B"/>
                <w:sz w:val="20"/>
                <w:szCs w:val="20"/>
              </w:rPr>
              <w:t xml:space="preserve"> je </w:t>
            </w:r>
            <w:r w:rsidRPr="003F5366">
              <w:rPr>
                <w:rFonts w:asciiTheme="majorHAnsi" w:hAnsiTheme="majorHAnsi" w:cstheme="majorHAnsi"/>
                <w:color w:val="3B3B3B"/>
                <w:sz w:val="20"/>
                <w:szCs w:val="20"/>
              </w:rPr>
              <w:t>příslušným stavebním úřadem ve věcech vyhrazených staveb. Samospráva bude mít posílenou roli v procesech pořizování územních opatření a bude rozhodovat o pořízení a vydávání územních opatření, zatímco příslušný úřad územního plánování zajistí jejich pořízení. Cílem těchto změn je zabránit dalšímu růstu počtu ústředních správních úřadů a souvisejících personálních přesunů a nároků na státní rozpočet.</w:t>
            </w:r>
          </w:p>
          <w:p w14:paraId="0710C1E3" w14:textId="77777777" w:rsidR="006C72A2" w:rsidRDefault="006C72A2" w:rsidP="006C72A2">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28EACB47" w14:textId="77777777" w:rsidR="006C72A2" w:rsidRPr="005C048D" w:rsidRDefault="006C72A2" w:rsidP="006C72A2">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Pr>
                <w:rStyle w:val="Hypertextovodkaz"/>
                <w:rFonts w:ascii="Arial" w:eastAsia="Times New Roman" w:hAnsi="Arial" w:cs="Arial"/>
                <w:b/>
                <w:bCs/>
                <w:i/>
                <w:color w:val="auto"/>
                <w:kern w:val="36"/>
                <w:sz w:val="20"/>
                <w:szCs w:val="20"/>
                <w:u w:val="none"/>
                <w:lang w:eastAsia="cs-CZ"/>
              </w:rPr>
              <w:t>Úkol: Novela je předmětem právního posouzení ze strany OPS.</w:t>
            </w:r>
          </w:p>
          <w:p w14:paraId="46552F61" w14:textId="6A89E245" w:rsidR="006C72A2" w:rsidRDefault="006C72A2" w:rsidP="00BA4503">
            <w:pPr>
              <w:spacing w:line="360" w:lineRule="auto"/>
              <w:jc w:val="both"/>
              <w:rPr>
                <w:rFonts w:ascii="Arial" w:hAnsi="Arial" w:cs="Arial"/>
                <w:bCs/>
                <w:color w:val="0F0D29" w:themeColor="text1"/>
                <w:sz w:val="20"/>
                <w:szCs w:val="20"/>
              </w:rPr>
            </w:pPr>
          </w:p>
          <w:p w14:paraId="46BA619C" w14:textId="773F70C4" w:rsidR="00861E7B" w:rsidRDefault="00861E7B" w:rsidP="00BA4503">
            <w:pPr>
              <w:spacing w:line="360" w:lineRule="auto"/>
              <w:jc w:val="both"/>
              <w:rPr>
                <w:rFonts w:ascii="Arial" w:hAnsi="Arial" w:cs="Arial"/>
                <w:bCs/>
                <w:color w:val="0F0D29" w:themeColor="text1"/>
                <w:sz w:val="20"/>
                <w:szCs w:val="20"/>
              </w:rPr>
            </w:pPr>
          </w:p>
          <w:p w14:paraId="57D5F9E6" w14:textId="46E0DF92" w:rsidR="00861E7B" w:rsidRDefault="00861E7B" w:rsidP="00BA4503">
            <w:pPr>
              <w:spacing w:line="360" w:lineRule="auto"/>
              <w:jc w:val="both"/>
              <w:rPr>
                <w:rFonts w:ascii="Arial" w:hAnsi="Arial" w:cs="Arial"/>
                <w:bCs/>
                <w:color w:val="0F0D29" w:themeColor="text1"/>
                <w:sz w:val="20"/>
                <w:szCs w:val="20"/>
              </w:rPr>
            </w:pPr>
          </w:p>
          <w:p w14:paraId="3BEDB6E9" w14:textId="298EDE70" w:rsidR="00861E7B" w:rsidRDefault="00861E7B" w:rsidP="00BA4503">
            <w:pPr>
              <w:spacing w:line="360" w:lineRule="auto"/>
              <w:jc w:val="both"/>
              <w:rPr>
                <w:rFonts w:ascii="Arial" w:hAnsi="Arial" w:cs="Arial"/>
                <w:bCs/>
                <w:color w:val="0F0D29" w:themeColor="text1"/>
                <w:sz w:val="20"/>
                <w:szCs w:val="20"/>
              </w:rPr>
            </w:pPr>
          </w:p>
          <w:p w14:paraId="68F847B3" w14:textId="17E39624" w:rsidR="00861E7B" w:rsidRDefault="00861E7B" w:rsidP="00BA4503">
            <w:pPr>
              <w:spacing w:line="360" w:lineRule="auto"/>
              <w:jc w:val="both"/>
              <w:rPr>
                <w:rFonts w:ascii="Arial" w:hAnsi="Arial" w:cs="Arial"/>
                <w:bCs/>
                <w:color w:val="0F0D29" w:themeColor="text1"/>
                <w:sz w:val="20"/>
                <w:szCs w:val="20"/>
              </w:rPr>
            </w:pPr>
          </w:p>
          <w:p w14:paraId="11039D13" w14:textId="52ADAC01" w:rsidR="00861E7B" w:rsidRDefault="00861E7B" w:rsidP="00BA4503">
            <w:pPr>
              <w:spacing w:line="360" w:lineRule="auto"/>
              <w:jc w:val="both"/>
              <w:rPr>
                <w:rFonts w:ascii="Arial" w:hAnsi="Arial" w:cs="Arial"/>
                <w:bCs/>
                <w:color w:val="0F0D29" w:themeColor="text1"/>
                <w:sz w:val="20"/>
                <w:szCs w:val="20"/>
              </w:rPr>
            </w:pPr>
          </w:p>
          <w:p w14:paraId="6BAC94DA" w14:textId="77777777" w:rsidR="00861E7B" w:rsidRDefault="00861E7B" w:rsidP="00BA4503">
            <w:pPr>
              <w:spacing w:line="360" w:lineRule="auto"/>
              <w:jc w:val="both"/>
              <w:rPr>
                <w:rFonts w:ascii="Arial" w:hAnsi="Arial" w:cs="Arial"/>
                <w:bCs/>
                <w:color w:val="0F0D29" w:themeColor="text1"/>
                <w:sz w:val="20"/>
                <w:szCs w:val="20"/>
              </w:rPr>
            </w:pPr>
          </w:p>
          <w:p w14:paraId="26A8F4AB" w14:textId="4AD2F34E" w:rsidR="00735876" w:rsidRPr="003F5366" w:rsidRDefault="00735876" w:rsidP="00735876">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735876">
              <w:rPr>
                <w:rStyle w:val="Hypertextovodkaz"/>
                <w:rFonts w:ascii="Arial" w:eastAsia="Times New Roman" w:hAnsi="Arial" w:cs="Arial"/>
                <w:b/>
                <w:bCs/>
                <w:color w:val="0F0D29" w:themeColor="text1"/>
                <w:kern w:val="36"/>
                <w:sz w:val="24"/>
                <w:szCs w:val="24"/>
                <w:u w:val="none"/>
                <w:lang w:eastAsia="cs-CZ"/>
              </w:rPr>
              <w:lastRenderedPageBreak/>
              <w:t xml:space="preserve">Zákon č. 148/2023 Sb., o jednotném environmentálním stanovisku  a Zákon č. 149/2023 Sb., kterým se mění některé zákony v souvislosti s přijetím zákona o jednotném environmentálním stanovisku  </w:t>
            </w:r>
            <w:r w:rsidR="00000000">
              <w:rPr>
                <w:rStyle w:val="Hypertextovodkaz"/>
                <w:rFonts w:ascii="Arial" w:eastAsia="Times New Roman" w:hAnsi="Arial" w:cs="Arial"/>
                <w:b/>
                <w:bCs/>
                <w:color w:val="0F0D29" w:themeColor="text1"/>
                <w:kern w:val="36"/>
                <w:sz w:val="24"/>
                <w:szCs w:val="24"/>
                <w:u w:val="none"/>
                <w:lang w:eastAsia="cs-CZ"/>
              </w:rPr>
              <w:pict w14:anchorId="73AF49A3">
                <v:rect id="_x0000_i1035" style="width:0;height:1.5pt" o:hralign="center" o:hrstd="t" o:hr="t" fillcolor="#a0a0a0" stroked="f"/>
              </w:pict>
            </w:r>
          </w:p>
          <w:p w14:paraId="3ABF00BD" w14:textId="73EBF47B" w:rsidR="00735876" w:rsidRPr="003F5366" w:rsidRDefault="00735876" w:rsidP="00735876">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3F5366">
              <w:rPr>
                <w:rFonts w:asciiTheme="majorHAnsi" w:hAnsiTheme="majorHAnsi" w:cstheme="majorHAnsi"/>
                <w:color w:val="3B3B3B"/>
                <w:sz w:val="20"/>
                <w:szCs w:val="20"/>
              </w:rPr>
              <w:t xml:space="preserve">Účinnost od 1. </w:t>
            </w:r>
            <w:r w:rsidR="0051287F">
              <w:rPr>
                <w:rFonts w:asciiTheme="majorHAnsi" w:hAnsiTheme="majorHAnsi" w:cstheme="majorHAnsi"/>
                <w:color w:val="3B3B3B"/>
                <w:sz w:val="20"/>
                <w:szCs w:val="20"/>
              </w:rPr>
              <w:t>1</w:t>
            </w:r>
            <w:r w:rsidRPr="003F5366">
              <w:rPr>
                <w:rFonts w:asciiTheme="majorHAnsi" w:hAnsiTheme="majorHAnsi" w:cstheme="majorHAnsi"/>
                <w:color w:val="3B3B3B"/>
                <w:sz w:val="20"/>
                <w:szCs w:val="20"/>
              </w:rPr>
              <w:t>. 202</w:t>
            </w:r>
            <w:r w:rsidR="0051287F">
              <w:rPr>
                <w:rFonts w:asciiTheme="majorHAnsi" w:hAnsiTheme="majorHAnsi" w:cstheme="majorHAnsi"/>
                <w:color w:val="3B3B3B"/>
                <w:sz w:val="20"/>
                <w:szCs w:val="20"/>
              </w:rPr>
              <w:t>4</w:t>
            </w:r>
            <w:r w:rsidRPr="003F5366">
              <w:rPr>
                <w:rFonts w:asciiTheme="majorHAnsi" w:hAnsiTheme="majorHAnsi" w:cstheme="majorHAnsi"/>
                <w:color w:val="3B3B3B"/>
                <w:sz w:val="20"/>
                <w:szCs w:val="20"/>
              </w:rPr>
              <w:t xml:space="preserve"> </w:t>
            </w:r>
          </w:p>
          <w:p w14:paraId="4C8C2A7A" w14:textId="77777777" w:rsidR="00735876" w:rsidRPr="003F5366" w:rsidRDefault="00735876" w:rsidP="00735876">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38465FAA" w14:textId="64F37C0E" w:rsidR="00735876" w:rsidRDefault="00735876" w:rsidP="0073587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3F5366">
              <w:rPr>
                <w:rFonts w:asciiTheme="majorHAnsi" w:hAnsiTheme="majorHAnsi" w:cstheme="majorHAnsi"/>
                <w:color w:val="3B3B3B"/>
                <w:sz w:val="20"/>
                <w:szCs w:val="20"/>
              </w:rPr>
              <w:t xml:space="preserve">Dne 5. 6. 2023 byl ve Sbírce zákonů publikován </w:t>
            </w:r>
            <w:r w:rsidR="0051287F" w:rsidRPr="0051287F">
              <w:rPr>
                <w:rFonts w:asciiTheme="majorHAnsi" w:hAnsiTheme="majorHAnsi" w:cstheme="majorHAnsi"/>
                <w:color w:val="3B3B3B"/>
                <w:sz w:val="20"/>
                <w:szCs w:val="20"/>
              </w:rPr>
              <w:t>Zákon č. 148/2023 Sb., o jednotném environmentálním stanovisku  a Zákon č. 149/2023 Sb., kterým se mění některé zákony v souvislosti s přijetím zákona o jednotném environmentálním stanovisku</w:t>
            </w:r>
            <w:r w:rsidR="0051287F">
              <w:rPr>
                <w:rFonts w:asciiTheme="majorHAnsi" w:hAnsiTheme="majorHAnsi" w:cstheme="majorHAnsi"/>
                <w:color w:val="3B3B3B"/>
                <w:sz w:val="20"/>
                <w:szCs w:val="20"/>
              </w:rPr>
              <w:t>.</w:t>
            </w:r>
          </w:p>
          <w:p w14:paraId="6BEB01EB" w14:textId="23F57089" w:rsidR="0051287F" w:rsidRDefault="0051287F" w:rsidP="0073587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51287F">
              <w:rPr>
                <w:rFonts w:asciiTheme="majorHAnsi" w:hAnsiTheme="majorHAnsi" w:cstheme="majorHAnsi"/>
                <w:color w:val="3B3B3B"/>
                <w:sz w:val="20"/>
                <w:szCs w:val="20"/>
              </w:rPr>
              <w:t>Cílem zákona je procesní integrace na úseku ochrany životního prostředí a zavedení jednotného environmentálního stanoviska jako závazného stanoviska pro všechny záměry povolované podle stavebního zákona. Vydávání jednotného environmentálního stanoviska bude v různých případech prováděno krajským nebo obecním úřadem s rozšířenou působností, nebo příslušným ministerstvem. Výjimkou jsou chráněné oblasti, kde bude potřeba rozhodnutí příslušného orgánu ochrany přírody. Stavebník bude moci o vydání jednotného environmentálního stanoviska požádat před řízením o povolení záměru nebo se obrátit na příslušný</w:t>
            </w:r>
            <w:r>
              <w:rPr>
                <w:rFonts w:asciiTheme="majorHAnsi" w:hAnsiTheme="majorHAnsi" w:cstheme="majorHAnsi"/>
                <w:color w:val="3B3B3B"/>
                <w:sz w:val="20"/>
                <w:szCs w:val="20"/>
              </w:rPr>
              <w:t xml:space="preserve"> </w:t>
            </w:r>
            <w:r w:rsidRPr="0051287F">
              <w:rPr>
                <w:rFonts w:asciiTheme="majorHAnsi" w:hAnsiTheme="majorHAnsi" w:cstheme="majorHAnsi"/>
                <w:color w:val="3B3B3B"/>
                <w:sz w:val="20"/>
                <w:szCs w:val="20"/>
              </w:rPr>
              <w:t>stavebního úřadu.</w:t>
            </w:r>
          </w:p>
          <w:p w14:paraId="66A66EAB" w14:textId="77777777" w:rsidR="00A1140D" w:rsidRPr="00E17346" w:rsidRDefault="00A1140D" w:rsidP="00A1140D">
            <w:pPr>
              <w:pStyle w:val="text-large"/>
              <w:shd w:val="clear" w:color="auto" w:fill="FFFFFF"/>
              <w:spacing w:line="408" w:lineRule="atLeast"/>
              <w:jc w:val="both"/>
              <w:rPr>
                <w:rFonts w:asciiTheme="majorHAnsi" w:hAnsiTheme="majorHAnsi" w:cstheme="majorHAnsi"/>
                <w:color w:val="3B3B3B"/>
                <w:sz w:val="20"/>
                <w:szCs w:val="20"/>
              </w:rPr>
            </w:pPr>
            <w:r w:rsidRPr="00E17346">
              <w:rPr>
                <w:rFonts w:asciiTheme="majorHAnsi" w:hAnsiTheme="majorHAnsi" w:cstheme="majorHAnsi"/>
                <w:color w:val="3B3B3B"/>
                <w:sz w:val="20"/>
                <w:szCs w:val="20"/>
              </w:rPr>
              <w:t>Namísto současného systému – územního a stavebního (příp. společného) řízení, budou nyní obě povolení nahrazena jedním. Současně s tím se od 1. ledna 2024 (pro jednoduché stavby od 1.7.2024)</w:t>
            </w:r>
            <w:r>
              <w:rPr>
                <w:rFonts w:asciiTheme="majorHAnsi" w:hAnsiTheme="majorHAnsi" w:cstheme="majorHAnsi"/>
                <w:color w:val="3B3B3B"/>
                <w:sz w:val="20"/>
                <w:szCs w:val="20"/>
              </w:rPr>
              <w:t>,</w:t>
            </w:r>
            <w:r w:rsidRPr="00E17346">
              <w:rPr>
                <w:rFonts w:asciiTheme="majorHAnsi" w:hAnsiTheme="majorHAnsi" w:cstheme="majorHAnsi"/>
                <w:color w:val="3B3B3B"/>
                <w:sz w:val="20"/>
                <w:szCs w:val="20"/>
              </w:rPr>
              <w:t xml:space="preserve"> díky zákonu o jednotném environmentálním stanovisku</w:t>
            </w:r>
            <w:r>
              <w:rPr>
                <w:rFonts w:asciiTheme="majorHAnsi" w:hAnsiTheme="majorHAnsi" w:cstheme="majorHAnsi"/>
                <w:color w:val="3B3B3B"/>
                <w:sz w:val="20"/>
                <w:szCs w:val="20"/>
              </w:rPr>
              <w:t>,</w:t>
            </w:r>
            <w:r w:rsidRPr="00E17346">
              <w:rPr>
                <w:rFonts w:asciiTheme="majorHAnsi" w:hAnsiTheme="majorHAnsi" w:cstheme="majorHAnsi"/>
                <w:color w:val="3B3B3B"/>
                <w:sz w:val="20"/>
                <w:szCs w:val="20"/>
              </w:rPr>
              <w:t xml:space="preserve"> stavebníkům zjednoduší a zrychlí stanoviska pro stavební </w:t>
            </w:r>
            <w:proofErr w:type="gramStart"/>
            <w:r w:rsidRPr="00E17346">
              <w:rPr>
                <w:rFonts w:asciiTheme="majorHAnsi" w:hAnsiTheme="majorHAnsi" w:cstheme="majorHAnsi"/>
                <w:color w:val="3B3B3B"/>
                <w:sz w:val="20"/>
                <w:szCs w:val="20"/>
              </w:rPr>
              <w:t>řízení - namísto</w:t>
            </w:r>
            <w:proofErr w:type="gramEnd"/>
            <w:r w:rsidRPr="00E17346">
              <w:rPr>
                <w:rFonts w:asciiTheme="majorHAnsi" w:hAnsiTheme="majorHAnsi" w:cstheme="majorHAnsi"/>
                <w:color w:val="3B3B3B"/>
                <w:sz w:val="20"/>
                <w:szCs w:val="20"/>
              </w:rPr>
              <w:t xml:space="preserve"> několika samostatných razítek pro účely povolení stavby bude jediné razítko, a to včetně případného stanoviska EIA. Dosavadní administrativní zátěž stavebníků převezme do svých rukou stavební úřad, který sám obešle ostatní dotčené úřady a získá jejich stanoviska v takzvaném koordinovaném závazném stanovisku. Toto stanovisko bude nově zahrnovat právě i jednotné environmentální stanovisko, které může obsáhnout správní akty obsažené až v devíti různých zákonech z oblasti ochrany životního prostředí.</w:t>
            </w:r>
            <w:r>
              <w:rPr>
                <w:rFonts w:asciiTheme="majorHAnsi" w:hAnsiTheme="majorHAnsi" w:cstheme="majorHAnsi"/>
                <w:color w:val="3B3B3B"/>
                <w:sz w:val="20"/>
                <w:szCs w:val="20"/>
              </w:rPr>
              <w:t xml:space="preserve"> </w:t>
            </w:r>
            <w:r w:rsidRPr="00E17346">
              <w:rPr>
                <w:rFonts w:asciiTheme="majorHAnsi" w:hAnsiTheme="majorHAnsi" w:cstheme="majorHAnsi"/>
                <w:color w:val="3B3B3B"/>
                <w:sz w:val="20"/>
                <w:szCs w:val="20"/>
              </w:rPr>
              <w:t xml:space="preserve">Nově tak žadateli o stavební povolení stačí podat jedinou žádost na stavební úřad, který zajistí potřebné podklady od dotčených správních orgánů, včetně JES, sám. </w:t>
            </w:r>
          </w:p>
          <w:p w14:paraId="19F07D4D" w14:textId="77777777" w:rsidR="00A1140D" w:rsidRPr="00E17346" w:rsidRDefault="00A1140D" w:rsidP="00A1140D">
            <w:pPr>
              <w:pStyle w:val="text-large"/>
              <w:shd w:val="clear" w:color="auto" w:fill="FFFFFF"/>
              <w:spacing w:line="408" w:lineRule="atLeast"/>
              <w:jc w:val="both"/>
              <w:rPr>
                <w:rFonts w:asciiTheme="majorHAnsi" w:hAnsiTheme="majorHAnsi" w:cstheme="majorHAnsi"/>
                <w:color w:val="3B3B3B"/>
                <w:sz w:val="20"/>
                <w:szCs w:val="20"/>
              </w:rPr>
            </w:pPr>
            <w:r w:rsidRPr="00E17346">
              <w:rPr>
                <w:rFonts w:asciiTheme="majorHAnsi" w:hAnsiTheme="majorHAnsi" w:cstheme="majorHAnsi"/>
                <w:color w:val="3B3B3B"/>
                <w:sz w:val="20"/>
                <w:szCs w:val="20"/>
              </w:rPr>
              <w:t>Příslušným orgánem vydávajícím JES bude v definovaných případech krajský úřad, a to v případech záměrů podléhající procesu EIA, výjimek z druhové ochrany, záborů větší plochy zemědělské nebo lesní půdy a u některých dalších záměrů. V ostatních případech pak obecní úřad obce s rozšířenou působností. V některých výjimečných případech to bude Ministerstvo životního prostředí, a sice u největších záměrů s celostátním dopadem, např. jaderných elektráren, dálnic nebo celostátních železnic.</w:t>
            </w:r>
          </w:p>
          <w:p w14:paraId="3A03AB05" w14:textId="77777777" w:rsidR="00A1140D" w:rsidRPr="00E17346" w:rsidRDefault="00A1140D" w:rsidP="00A1140D">
            <w:pPr>
              <w:pStyle w:val="text-large"/>
              <w:shd w:val="clear" w:color="auto" w:fill="FFFFFF"/>
              <w:spacing w:line="408" w:lineRule="atLeast"/>
              <w:jc w:val="both"/>
              <w:rPr>
                <w:rFonts w:asciiTheme="majorHAnsi" w:hAnsiTheme="majorHAnsi" w:cstheme="majorHAnsi"/>
                <w:color w:val="3B3B3B"/>
                <w:sz w:val="20"/>
                <w:szCs w:val="20"/>
              </w:rPr>
            </w:pPr>
            <w:r w:rsidRPr="00E17346">
              <w:rPr>
                <w:rFonts w:asciiTheme="majorHAnsi" w:hAnsiTheme="majorHAnsi" w:cstheme="majorHAnsi"/>
                <w:color w:val="3B3B3B"/>
                <w:sz w:val="20"/>
                <w:szCs w:val="20"/>
              </w:rPr>
              <w:lastRenderedPageBreak/>
              <w:t xml:space="preserve">Součástí tohoto konceptu je i tzv. fikce souhlasu. Ta znamená, že pokud se orgány životního prostředí </w:t>
            </w:r>
            <w:proofErr w:type="gramStart"/>
            <w:r w:rsidRPr="00E17346">
              <w:rPr>
                <w:rFonts w:asciiTheme="majorHAnsi" w:hAnsiTheme="majorHAnsi" w:cstheme="majorHAnsi"/>
                <w:color w:val="3B3B3B"/>
                <w:sz w:val="20"/>
                <w:szCs w:val="20"/>
              </w:rPr>
              <w:t>nevyjádří</w:t>
            </w:r>
            <w:proofErr w:type="gramEnd"/>
            <w:r w:rsidRPr="00E17346">
              <w:rPr>
                <w:rFonts w:asciiTheme="majorHAnsi" w:hAnsiTheme="majorHAnsi" w:cstheme="majorHAnsi"/>
                <w:color w:val="3B3B3B"/>
                <w:sz w:val="20"/>
                <w:szCs w:val="20"/>
              </w:rPr>
              <w:t xml:space="preserve"> v předepsané lhůtě 30/60 dnů, má se za to, že souhlasí bez podmínek.</w:t>
            </w:r>
          </w:p>
          <w:p w14:paraId="39C4B390" w14:textId="77777777" w:rsidR="00A1140D" w:rsidRPr="00E17346" w:rsidRDefault="00A1140D" w:rsidP="00A1140D">
            <w:pPr>
              <w:pStyle w:val="text-large"/>
              <w:shd w:val="clear" w:color="auto" w:fill="FFFFFF"/>
              <w:spacing w:line="408" w:lineRule="atLeast"/>
              <w:jc w:val="both"/>
              <w:rPr>
                <w:rFonts w:asciiTheme="majorHAnsi" w:hAnsiTheme="majorHAnsi" w:cstheme="majorHAnsi"/>
                <w:color w:val="3B3B3B"/>
                <w:sz w:val="20"/>
                <w:szCs w:val="20"/>
              </w:rPr>
            </w:pPr>
            <w:r w:rsidRPr="00E17346">
              <w:rPr>
                <w:rFonts w:asciiTheme="majorHAnsi" w:hAnsiTheme="majorHAnsi" w:cstheme="majorHAnsi"/>
                <w:color w:val="3B3B3B"/>
                <w:sz w:val="20"/>
                <w:szCs w:val="20"/>
              </w:rPr>
              <w:t>Přechodná ustanovení:</w:t>
            </w:r>
          </w:p>
          <w:p w14:paraId="4A295F7F" w14:textId="77777777" w:rsidR="00A1140D" w:rsidRPr="00E17346" w:rsidRDefault="00A1140D" w:rsidP="00A1140D">
            <w:pPr>
              <w:pStyle w:val="text-large"/>
              <w:shd w:val="clear" w:color="auto" w:fill="FFFFFF"/>
              <w:spacing w:line="408" w:lineRule="atLeast"/>
              <w:jc w:val="both"/>
              <w:rPr>
                <w:rFonts w:asciiTheme="majorHAnsi" w:hAnsiTheme="majorHAnsi" w:cstheme="majorHAnsi"/>
                <w:color w:val="3B3B3B"/>
                <w:sz w:val="20"/>
                <w:szCs w:val="20"/>
              </w:rPr>
            </w:pPr>
            <w:r w:rsidRPr="00E17346">
              <w:rPr>
                <w:rFonts w:asciiTheme="majorHAnsi" w:hAnsiTheme="majorHAnsi" w:cstheme="majorHAnsi"/>
                <w:color w:val="3B3B3B"/>
                <w:sz w:val="20"/>
                <w:szCs w:val="20"/>
              </w:rPr>
              <w:t>1. U žádosti o vydání správního úkonu, podané před účinností zákona o JES, se postupuje podle dosavadních předpisů. Pokud nebyla podána žádost alespoň o jeden, není postup podle dosavadních předpisů možný.</w:t>
            </w:r>
          </w:p>
          <w:p w14:paraId="30417037" w14:textId="77777777" w:rsidR="00A1140D" w:rsidRPr="00E17346" w:rsidRDefault="00A1140D" w:rsidP="00A1140D">
            <w:pPr>
              <w:pStyle w:val="text-large"/>
              <w:shd w:val="clear" w:color="auto" w:fill="FFFFFF"/>
              <w:spacing w:line="408" w:lineRule="atLeast"/>
              <w:jc w:val="both"/>
              <w:rPr>
                <w:rFonts w:asciiTheme="majorHAnsi" w:hAnsiTheme="majorHAnsi" w:cstheme="majorHAnsi"/>
                <w:color w:val="3B3B3B"/>
                <w:sz w:val="20"/>
                <w:szCs w:val="20"/>
              </w:rPr>
            </w:pPr>
            <w:r w:rsidRPr="00E17346">
              <w:rPr>
                <w:rFonts w:asciiTheme="majorHAnsi" w:hAnsiTheme="majorHAnsi" w:cstheme="majorHAnsi"/>
                <w:color w:val="3B3B3B"/>
                <w:sz w:val="20"/>
                <w:szCs w:val="20"/>
              </w:rPr>
              <w:t>2. Pokud již byl některý správní úkon vydán, nebrání tomu, aby namísto zbývajících bylo vydáno JES.</w:t>
            </w:r>
          </w:p>
          <w:p w14:paraId="597AC918" w14:textId="77777777" w:rsidR="00A1140D" w:rsidRDefault="00A1140D" w:rsidP="00A1140D">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E17346">
              <w:rPr>
                <w:rFonts w:asciiTheme="majorHAnsi" w:hAnsiTheme="majorHAnsi" w:cstheme="majorHAnsi"/>
                <w:color w:val="3B3B3B"/>
                <w:sz w:val="20"/>
                <w:szCs w:val="20"/>
              </w:rPr>
              <w:t>3. V opravných a přezkumných řízeních se postupuje podle dosavadních předpisů, pokud byl zkoumaný úkon vydán před účinností zákona o JES.</w:t>
            </w:r>
          </w:p>
          <w:p w14:paraId="65CF8ECE" w14:textId="77777777" w:rsidR="00A1140D" w:rsidRDefault="00A1140D" w:rsidP="0073587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21B56C50" w14:textId="3BCBFD70" w:rsidR="00735876" w:rsidRDefault="0051287F" w:rsidP="0073587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Dále byl vydán doprovodný zákon, obsahující n</w:t>
            </w:r>
            <w:r w:rsidRPr="0051287F">
              <w:rPr>
                <w:rFonts w:asciiTheme="majorHAnsi" w:hAnsiTheme="majorHAnsi" w:cstheme="majorHAnsi"/>
                <w:color w:val="3B3B3B"/>
                <w:sz w:val="20"/>
                <w:szCs w:val="20"/>
              </w:rPr>
              <w:t>ovelizaci několika zákonů, jako jsou např. zákony o geologických pracích, ochraně přírody a krajiny, lesích, posuzování vlivů na životní prostředí, ochraně ovzduší, prevenci závažných havárií a odpadech. Všechny tyto novely jsou sjednoceny v samostatném změnovém zákonu.</w:t>
            </w:r>
          </w:p>
          <w:p w14:paraId="7274EA47" w14:textId="77777777" w:rsidR="00735876" w:rsidRPr="00BA4503" w:rsidRDefault="00735876" w:rsidP="00BA4503">
            <w:pPr>
              <w:spacing w:line="360" w:lineRule="auto"/>
              <w:jc w:val="both"/>
              <w:rPr>
                <w:rFonts w:ascii="Arial" w:hAnsi="Arial" w:cs="Arial"/>
                <w:bCs/>
                <w:color w:val="0F0D29" w:themeColor="text1"/>
                <w:sz w:val="20"/>
                <w:szCs w:val="20"/>
              </w:rPr>
            </w:pPr>
          </w:p>
          <w:p w14:paraId="56D75E03" w14:textId="77777777" w:rsidR="00861E7B" w:rsidRPr="005C048D" w:rsidRDefault="00861E7B" w:rsidP="00861E7B">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Pr>
                <w:rStyle w:val="Hypertextovodkaz"/>
                <w:rFonts w:ascii="Arial" w:eastAsia="Times New Roman" w:hAnsi="Arial" w:cs="Arial"/>
                <w:b/>
                <w:bCs/>
                <w:i/>
                <w:color w:val="auto"/>
                <w:kern w:val="36"/>
                <w:sz w:val="20"/>
                <w:szCs w:val="20"/>
                <w:u w:val="none"/>
                <w:lang w:eastAsia="cs-CZ"/>
              </w:rPr>
              <w:t>Úkol: Na vědomí POŘ.</w:t>
            </w:r>
          </w:p>
          <w:p w14:paraId="4D9AC691" w14:textId="1F3E8BCF" w:rsidR="00172E7E" w:rsidRDefault="00172E7E"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3D863B32" w14:textId="77777777" w:rsidR="00861E7B" w:rsidRPr="00DE0025" w:rsidRDefault="00861E7B"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263EDF86" w14:textId="643E3F4D" w:rsidR="0014703E" w:rsidRDefault="0014703E" w:rsidP="001822B6">
            <w:pPr>
              <w:pStyle w:val="Bezmezer"/>
              <w:jc w:val="both"/>
              <w:rPr>
                <w:rStyle w:val="Hypertextovodkaz"/>
                <w:rFonts w:ascii="Arial" w:eastAsia="Times New Roman" w:hAnsi="Arial" w:cs="Arial"/>
                <w:b/>
                <w:bCs/>
                <w:color w:val="0F0D29" w:themeColor="text1"/>
                <w:kern w:val="36"/>
                <w:u w:val="none"/>
                <w:lang w:eastAsia="cs-CZ"/>
              </w:rPr>
            </w:pPr>
          </w:p>
          <w:p w14:paraId="3F0F722B" w14:textId="4E9BBA1B" w:rsidR="00937179" w:rsidRDefault="00937179" w:rsidP="00F54BC8">
            <w:pPr>
              <w:pStyle w:val="Bezmezer"/>
              <w:spacing w:line="360" w:lineRule="auto"/>
              <w:jc w:val="both"/>
              <w:rPr>
                <w:rFonts w:ascii="Arial" w:hAnsi="Arial" w:cs="Arial"/>
                <w:sz w:val="20"/>
                <w:szCs w:val="20"/>
                <w:lang w:eastAsia="cs-CZ"/>
              </w:rPr>
            </w:pPr>
          </w:p>
          <w:p w14:paraId="69B96379" w14:textId="6B5D7718" w:rsidR="00937179" w:rsidRPr="005078C0" w:rsidRDefault="00937179" w:rsidP="0093717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937179">
              <w:rPr>
                <w:rStyle w:val="Hypertextovodkaz"/>
                <w:rFonts w:ascii="Arial" w:eastAsia="Times New Roman" w:hAnsi="Arial" w:cs="Arial"/>
                <w:b/>
                <w:bCs/>
                <w:color w:val="0F0D29" w:themeColor="text1"/>
                <w:kern w:val="36"/>
                <w:sz w:val="24"/>
                <w:szCs w:val="20"/>
                <w:u w:val="none"/>
                <w:lang w:eastAsia="cs-CZ"/>
              </w:rPr>
              <w:t>Návrh vyhlášky, kterou se mění vyhláška č. 428/2001 Sb., kterou se provádí zákon č. 274/2001 Sb., o vodovodech a kanalizacích pro veřejnou potřebu a o změně některých zákonů (zákon o vodovodech a kanalizacích), ve znění pozdějších předpisů</w:t>
            </w:r>
            <w:r w:rsidR="00000000">
              <w:rPr>
                <w:rStyle w:val="Hypertextovodkaz"/>
                <w:rFonts w:ascii="Arial" w:eastAsia="Times New Roman" w:hAnsi="Arial" w:cs="Arial"/>
                <w:b/>
                <w:bCs/>
                <w:color w:val="0F0D29" w:themeColor="text1"/>
                <w:kern w:val="36"/>
                <w:sz w:val="24"/>
                <w:szCs w:val="24"/>
                <w:u w:val="none"/>
                <w:lang w:eastAsia="cs-CZ"/>
              </w:rPr>
              <w:pict w14:anchorId="6925C9BE">
                <v:rect id="_x0000_i1036" style="width:0;height:1.5pt" o:hralign="center" o:hrstd="t" o:hr="t" fillcolor="#a0a0a0" stroked="f"/>
              </w:pict>
            </w:r>
          </w:p>
          <w:p w14:paraId="082A16EA" w14:textId="0F4645BA" w:rsidR="00937179" w:rsidRDefault="00937179" w:rsidP="0093717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Pr="00937179">
              <w:rPr>
                <w:rStyle w:val="Hypertextovodkaz"/>
                <w:rFonts w:ascii="Arial" w:hAnsi="Arial" w:cs="Arial"/>
                <w:color w:val="auto"/>
                <w:sz w:val="20"/>
                <w:szCs w:val="20"/>
                <w:u w:val="none"/>
                <w:lang w:eastAsia="cs-CZ"/>
              </w:rPr>
              <w:t>ALBSCPRE655W</w:t>
            </w:r>
            <w:r>
              <w:rPr>
                <w:rStyle w:val="Hypertextovodkaz"/>
                <w:rFonts w:ascii="Arial" w:hAnsi="Arial" w:cs="Arial"/>
                <w:color w:val="auto"/>
                <w:sz w:val="20"/>
                <w:szCs w:val="20"/>
                <w:u w:val="none"/>
                <w:lang w:eastAsia="cs-CZ"/>
              </w:rPr>
              <w:t xml:space="preserve"> </w:t>
            </w:r>
          </w:p>
          <w:p w14:paraId="51BDCF72" w14:textId="4FFA1FE1" w:rsidR="00937179" w:rsidRPr="004405C5" w:rsidRDefault="00937179" w:rsidP="0093717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Připomínkové řízení ukončeno</w:t>
            </w:r>
          </w:p>
          <w:p w14:paraId="28815B52" w14:textId="77777777" w:rsidR="00937179" w:rsidRPr="004405C5" w:rsidRDefault="00937179" w:rsidP="00937179">
            <w:pPr>
              <w:pStyle w:val="Bezmezer"/>
              <w:spacing w:line="360" w:lineRule="auto"/>
              <w:jc w:val="both"/>
              <w:rPr>
                <w:rStyle w:val="Hypertextovodkaz"/>
                <w:rFonts w:ascii="Arial" w:hAnsi="Arial" w:cs="Arial"/>
                <w:b/>
                <w:bCs/>
                <w:color w:val="auto"/>
                <w:sz w:val="20"/>
                <w:szCs w:val="20"/>
                <w:u w:val="none"/>
                <w:lang w:eastAsia="cs-CZ"/>
              </w:rPr>
            </w:pPr>
          </w:p>
          <w:p w14:paraId="337E3B7E" w14:textId="77777777" w:rsidR="00236D48" w:rsidRPr="00236D48" w:rsidRDefault="00236D48" w:rsidP="00236D48">
            <w:pPr>
              <w:pStyle w:val="Bezmezer"/>
              <w:spacing w:line="360" w:lineRule="auto"/>
              <w:jc w:val="both"/>
              <w:rPr>
                <w:rStyle w:val="Hypertextovodkaz"/>
                <w:rFonts w:ascii="Arial" w:hAnsi="Arial" w:cs="Arial"/>
                <w:color w:val="auto"/>
                <w:sz w:val="20"/>
                <w:szCs w:val="20"/>
                <w:u w:val="none"/>
                <w:lang w:eastAsia="cs-CZ"/>
              </w:rPr>
            </w:pPr>
            <w:r w:rsidRPr="00236D48">
              <w:rPr>
                <w:rStyle w:val="Hypertextovodkaz"/>
                <w:rFonts w:ascii="Arial" w:hAnsi="Arial" w:cs="Arial"/>
                <w:color w:val="auto"/>
                <w:sz w:val="20"/>
                <w:szCs w:val="20"/>
                <w:u w:val="none"/>
                <w:lang w:eastAsia="cs-CZ"/>
              </w:rPr>
              <w:t>Předkládanou novelou vyhlášky dochází k úpravě rozsahu úplných a krácených rozborů surové vody na základě výsledků posouzení rizik, zpracovaného podle vyhlášky č. 252/2004 Sb., kterou se stanoví hygienické požadavky na pitnou a teplou vodu a četnost a rozsah kontroly pitné vody, ve znění pozdějších předpisů včetně připravované novely, a na základě výsledků posouzení a řízení rizik částí povodí souvisejících s místy odběru vody určené k lidské spotřebě, zpracovaného podle nové vyhlášky č. 50/2023 Sb., o plánech povodí a plánech pro zvládání povodňových rizik, která nabyla účinnosti dnem 1. 3. 2023.</w:t>
            </w:r>
          </w:p>
          <w:p w14:paraId="0CBD1244" w14:textId="77777777" w:rsidR="00236D48" w:rsidRPr="00236D48" w:rsidRDefault="00236D48" w:rsidP="00236D48">
            <w:pPr>
              <w:pStyle w:val="Bezmezer"/>
              <w:spacing w:line="360" w:lineRule="auto"/>
              <w:jc w:val="both"/>
              <w:rPr>
                <w:rStyle w:val="Hypertextovodkaz"/>
                <w:rFonts w:ascii="Arial" w:hAnsi="Arial" w:cs="Arial"/>
                <w:color w:val="auto"/>
                <w:sz w:val="20"/>
                <w:szCs w:val="20"/>
                <w:u w:val="none"/>
                <w:lang w:eastAsia="cs-CZ"/>
              </w:rPr>
            </w:pPr>
          </w:p>
          <w:p w14:paraId="5DB74482" w14:textId="5B8F7CAD" w:rsidR="00937179" w:rsidRDefault="00236D48" w:rsidP="00236D48">
            <w:pPr>
              <w:pStyle w:val="Bezmezer"/>
              <w:spacing w:line="360" w:lineRule="auto"/>
              <w:jc w:val="both"/>
              <w:rPr>
                <w:rStyle w:val="Hypertextovodkaz"/>
                <w:rFonts w:ascii="Arial" w:hAnsi="Arial" w:cs="Arial"/>
                <w:color w:val="auto"/>
                <w:sz w:val="20"/>
                <w:szCs w:val="20"/>
                <w:u w:val="none"/>
                <w:lang w:eastAsia="cs-CZ"/>
              </w:rPr>
            </w:pPr>
            <w:r w:rsidRPr="00236D48">
              <w:rPr>
                <w:rStyle w:val="Hypertextovodkaz"/>
                <w:rFonts w:ascii="Arial" w:hAnsi="Arial" w:cs="Arial"/>
                <w:color w:val="auto"/>
                <w:sz w:val="20"/>
                <w:szCs w:val="20"/>
                <w:u w:val="none"/>
                <w:lang w:eastAsia="cs-CZ"/>
              </w:rPr>
              <w:t xml:space="preserve">Návrh vyhlášky na základě směrnice 2020/2184 dále upravuje informační povinnosti vlastníka vodovodu nebo kanalizace, popřípadě provozovatele. Jedná se především o rozsah informací zveřejňovaných provozovatelem vodovodu nebo kanalizace na jeho internetových stránkách nebo rozsah konkrétních údajů o vodném nebo </w:t>
            </w:r>
            <w:r w:rsidRPr="00236D48">
              <w:rPr>
                <w:rStyle w:val="Hypertextovodkaz"/>
                <w:rFonts w:ascii="Arial" w:hAnsi="Arial" w:cs="Arial"/>
                <w:color w:val="auto"/>
                <w:sz w:val="20"/>
                <w:szCs w:val="20"/>
                <w:u w:val="none"/>
                <w:lang w:eastAsia="cs-CZ"/>
              </w:rPr>
              <w:lastRenderedPageBreak/>
              <w:t xml:space="preserve">stočném, které musí být pravidelně předávány vlastníkem vodovodu nebo kanalizace, popřípadě provozovatelem, odběratelům. </w:t>
            </w:r>
          </w:p>
          <w:p w14:paraId="2AAEE6C5" w14:textId="77777777" w:rsidR="00236D48" w:rsidRDefault="00236D48" w:rsidP="00236D48">
            <w:pPr>
              <w:pStyle w:val="Bezmezer"/>
              <w:spacing w:line="360" w:lineRule="auto"/>
              <w:jc w:val="both"/>
              <w:rPr>
                <w:rStyle w:val="Hypertextovodkaz"/>
                <w:rFonts w:ascii="Arial" w:hAnsi="Arial" w:cs="Arial"/>
                <w:color w:val="auto"/>
                <w:sz w:val="20"/>
                <w:szCs w:val="20"/>
                <w:u w:val="none"/>
                <w:lang w:eastAsia="cs-CZ"/>
              </w:rPr>
            </w:pPr>
          </w:p>
          <w:p w14:paraId="7E5EF002" w14:textId="3BC5CC26" w:rsidR="00937179" w:rsidRDefault="00236D48" w:rsidP="00236D48">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Závěry věcného posouzení ze strany OHSE:</w:t>
            </w:r>
          </w:p>
          <w:p w14:paraId="2E35AA6B" w14:textId="5BD791D4" w:rsidR="00236D48" w:rsidRDefault="00236D48" w:rsidP="00236D48">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p>
          <w:p w14:paraId="39C6319E" w14:textId="77777777" w:rsidR="00236D48" w:rsidRPr="003026C0" w:rsidRDefault="00236D48" w:rsidP="00236D48">
            <w:pPr>
              <w:pStyle w:val="Bezmezer"/>
              <w:shd w:val="clear" w:color="auto" w:fill="D9D9D9" w:themeFill="background1" w:themeFillShade="D9"/>
              <w:jc w:val="both"/>
              <w:rPr>
                <w:rStyle w:val="Hypertextovodkaz"/>
                <w:rFonts w:ascii="Arial" w:eastAsia="Times New Roman" w:hAnsi="Arial" w:cs="Arial"/>
                <w:i/>
                <w:color w:val="0F0D29" w:themeColor="text1"/>
                <w:kern w:val="36"/>
                <w:sz w:val="20"/>
                <w:szCs w:val="20"/>
                <w:u w:val="none"/>
                <w:lang w:eastAsia="cs-CZ"/>
              </w:rPr>
            </w:pPr>
            <w:r w:rsidRPr="003026C0">
              <w:rPr>
                <w:rStyle w:val="Hypertextovodkaz"/>
                <w:rFonts w:ascii="Arial" w:eastAsia="Times New Roman" w:hAnsi="Arial" w:cs="Arial"/>
                <w:i/>
                <w:color w:val="0F0D29" w:themeColor="text1"/>
                <w:kern w:val="36"/>
                <w:sz w:val="20"/>
                <w:szCs w:val="20"/>
                <w:u w:val="none"/>
                <w:lang w:eastAsia="cs-CZ"/>
              </w:rPr>
              <w:t>Dopad: Rozšíření informačních povinností provozovatele veřejného vodovodu v oblasti informování veřejnosti (nově např. informace o jakosti dodávané vody, o možnosti snížení spotřeby aj.).</w:t>
            </w:r>
            <w:r w:rsidRPr="003026C0">
              <w:rPr>
                <w:rStyle w:val="Hypertextovodkaz"/>
                <w:rFonts w:ascii="Arial" w:eastAsia="Times New Roman" w:hAnsi="Arial" w:cs="Arial"/>
                <w:i/>
                <w:color w:val="0F0D29" w:themeColor="text1"/>
                <w:kern w:val="36"/>
                <w:sz w:val="20"/>
                <w:szCs w:val="20"/>
                <w:u w:val="none"/>
                <w:lang w:eastAsia="cs-CZ"/>
              </w:rPr>
              <w:tab/>
            </w:r>
          </w:p>
          <w:p w14:paraId="209C9861" w14:textId="77777777" w:rsidR="00236D48" w:rsidRPr="003026C0" w:rsidRDefault="00236D48" w:rsidP="00236D48">
            <w:pPr>
              <w:pStyle w:val="Bezmezer"/>
              <w:shd w:val="clear" w:color="auto" w:fill="D9D9D9" w:themeFill="background1" w:themeFillShade="D9"/>
              <w:jc w:val="both"/>
              <w:rPr>
                <w:rStyle w:val="Hypertextovodkaz"/>
                <w:rFonts w:ascii="Arial" w:eastAsia="Times New Roman" w:hAnsi="Arial" w:cs="Arial"/>
                <w:i/>
                <w:color w:val="0F0D29" w:themeColor="text1"/>
                <w:kern w:val="36"/>
                <w:sz w:val="20"/>
                <w:szCs w:val="20"/>
                <w:u w:val="none"/>
                <w:lang w:eastAsia="cs-CZ"/>
              </w:rPr>
            </w:pPr>
          </w:p>
          <w:p w14:paraId="4FE3913F" w14:textId="77777777" w:rsidR="00236D48" w:rsidRPr="003026C0" w:rsidRDefault="00236D48" w:rsidP="00236D48">
            <w:pPr>
              <w:pStyle w:val="Bezmezer"/>
              <w:shd w:val="clear" w:color="auto" w:fill="D9D9D9" w:themeFill="background1" w:themeFillShade="D9"/>
              <w:jc w:val="both"/>
              <w:rPr>
                <w:rStyle w:val="Hypertextovodkaz"/>
                <w:rFonts w:ascii="Arial" w:eastAsia="Times New Roman" w:hAnsi="Arial" w:cs="Arial"/>
                <w:i/>
                <w:color w:val="0F0D29" w:themeColor="text1"/>
                <w:kern w:val="36"/>
                <w:sz w:val="20"/>
                <w:szCs w:val="20"/>
                <w:u w:val="none"/>
                <w:lang w:eastAsia="cs-CZ"/>
              </w:rPr>
            </w:pPr>
            <w:r w:rsidRPr="003026C0">
              <w:rPr>
                <w:rStyle w:val="Hypertextovodkaz"/>
                <w:rFonts w:ascii="Arial" w:eastAsia="Times New Roman" w:hAnsi="Arial" w:cs="Arial"/>
                <w:i/>
                <w:color w:val="0F0D29" w:themeColor="text1"/>
                <w:kern w:val="36"/>
                <w:sz w:val="20"/>
                <w:szCs w:val="20"/>
                <w:u w:val="none"/>
                <w:lang w:eastAsia="cs-CZ"/>
              </w:rPr>
              <w:t xml:space="preserve">Opatření: Provést kontrolu stávajících informací o provozu veřejného vodovodu zveřejněných na internetových stránkách ČEPRO a doplnit rozsah informací požadovaných dle novelizované vyhlášky 428/2001 </w:t>
            </w:r>
            <w:proofErr w:type="gramStart"/>
            <w:r w:rsidRPr="003026C0">
              <w:rPr>
                <w:rStyle w:val="Hypertextovodkaz"/>
                <w:rFonts w:ascii="Arial" w:eastAsia="Times New Roman" w:hAnsi="Arial" w:cs="Arial"/>
                <w:i/>
                <w:color w:val="0F0D29" w:themeColor="text1"/>
                <w:kern w:val="36"/>
                <w:sz w:val="20"/>
                <w:szCs w:val="20"/>
                <w:u w:val="none"/>
                <w:lang w:eastAsia="cs-CZ"/>
              </w:rPr>
              <w:t>Sb..</w:t>
            </w:r>
            <w:proofErr w:type="gramEnd"/>
            <w:r w:rsidRPr="003026C0">
              <w:rPr>
                <w:rStyle w:val="Hypertextovodkaz"/>
                <w:rFonts w:ascii="Arial" w:eastAsia="Times New Roman" w:hAnsi="Arial" w:cs="Arial"/>
                <w:i/>
                <w:color w:val="0F0D29" w:themeColor="text1"/>
                <w:kern w:val="36"/>
                <w:sz w:val="20"/>
                <w:szCs w:val="20"/>
                <w:u w:val="none"/>
                <w:lang w:eastAsia="cs-CZ"/>
              </w:rPr>
              <w:tab/>
            </w:r>
          </w:p>
          <w:p w14:paraId="2AD7F92D" w14:textId="77777777" w:rsidR="00236D48" w:rsidRPr="003026C0" w:rsidRDefault="00236D48" w:rsidP="00236D48">
            <w:pPr>
              <w:pStyle w:val="Bezmezer"/>
              <w:shd w:val="clear" w:color="auto" w:fill="D9D9D9" w:themeFill="background1" w:themeFillShade="D9"/>
              <w:jc w:val="both"/>
              <w:rPr>
                <w:rStyle w:val="Hypertextovodkaz"/>
                <w:rFonts w:ascii="Arial" w:eastAsia="Times New Roman" w:hAnsi="Arial" w:cs="Arial"/>
                <w:i/>
                <w:color w:val="0F0D29" w:themeColor="text1"/>
                <w:kern w:val="36"/>
                <w:sz w:val="20"/>
                <w:szCs w:val="20"/>
                <w:u w:val="none"/>
                <w:lang w:eastAsia="cs-CZ"/>
              </w:rPr>
            </w:pPr>
          </w:p>
          <w:p w14:paraId="6CD67565" w14:textId="77777777" w:rsidR="00236D48" w:rsidRPr="003026C0" w:rsidRDefault="00236D48" w:rsidP="00236D48">
            <w:pPr>
              <w:pStyle w:val="Bezmezer"/>
              <w:shd w:val="clear" w:color="auto" w:fill="D9D9D9" w:themeFill="background1" w:themeFillShade="D9"/>
              <w:jc w:val="both"/>
              <w:rPr>
                <w:rStyle w:val="Hypertextovodkaz"/>
                <w:rFonts w:ascii="Arial" w:eastAsia="Times New Roman" w:hAnsi="Arial" w:cs="Arial"/>
                <w:i/>
                <w:color w:val="0F0D29" w:themeColor="text1"/>
                <w:kern w:val="36"/>
                <w:sz w:val="20"/>
                <w:szCs w:val="20"/>
                <w:u w:val="none"/>
                <w:lang w:eastAsia="cs-CZ"/>
              </w:rPr>
            </w:pPr>
            <w:r w:rsidRPr="003026C0">
              <w:rPr>
                <w:rStyle w:val="Hypertextovodkaz"/>
                <w:rFonts w:ascii="Arial" w:eastAsia="Times New Roman" w:hAnsi="Arial" w:cs="Arial"/>
                <w:i/>
                <w:color w:val="0F0D29" w:themeColor="text1"/>
                <w:kern w:val="36"/>
                <w:sz w:val="20"/>
                <w:szCs w:val="20"/>
                <w:u w:val="none"/>
                <w:lang w:eastAsia="cs-CZ"/>
              </w:rPr>
              <w:t xml:space="preserve">Termín: Před nabytím účinnosti novely vyhlášky 428/2001 </w:t>
            </w:r>
            <w:proofErr w:type="gramStart"/>
            <w:r w:rsidRPr="003026C0">
              <w:rPr>
                <w:rStyle w:val="Hypertextovodkaz"/>
                <w:rFonts w:ascii="Arial" w:eastAsia="Times New Roman" w:hAnsi="Arial" w:cs="Arial"/>
                <w:i/>
                <w:color w:val="0F0D29" w:themeColor="text1"/>
                <w:kern w:val="36"/>
                <w:sz w:val="20"/>
                <w:szCs w:val="20"/>
                <w:u w:val="none"/>
                <w:lang w:eastAsia="cs-CZ"/>
              </w:rPr>
              <w:t>Sb..</w:t>
            </w:r>
            <w:proofErr w:type="gramEnd"/>
            <w:r w:rsidRPr="003026C0">
              <w:rPr>
                <w:rStyle w:val="Hypertextovodkaz"/>
                <w:rFonts w:ascii="Arial" w:eastAsia="Times New Roman" w:hAnsi="Arial" w:cs="Arial"/>
                <w:i/>
                <w:color w:val="0F0D29" w:themeColor="text1"/>
                <w:kern w:val="36"/>
                <w:sz w:val="20"/>
                <w:szCs w:val="20"/>
                <w:u w:val="none"/>
                <w:lang w:eastAsia="cs-CZ"/>
              </w:rPr>
              <w:tab/>
            </w:r>
          </w:p>
          <w:p w14:paraId="338FCCE0" w14:textId="77777777" w:rsidR="00236D48" w:rsidRPr="003026C0" w:rsidRDefault="00236D48" w:rsidP="00236D48">
            <w:pPr>
              <w:pStyle w:val="Bezmezer"/>
              <w:shd w:val="clear" w:color="auto" w:fill="D9D9D9" w:themeFill="background1" w:themeFillShade="D9"/>
              <w:jc w:val="both"/>
              <w:rPr>
                <w:rStyle w:val="Hypertextovodkaz"/>
                <w:rFonts w:ascii="Arial" w:eastAsia="Times New Roman" w:hAnsi="Arial" w:cs="Arial"/>
                <w:i/>
                <w:color w:val="0F0D29" w:themeColor="text1"/>
                <w:kern w:val="36"/>
                <w:sz w:val="20"/>
                <w:szCs w:val="20"/>
                <w:u w:val="none"/>
                <w:lang w:eastAsia="cs-CZ"/>
              </w:rPr>
            </w:pPr>
          </w:p>
          <w:p w14:paraId="3688E3E5" w14:textId="7C25153B" w:rsidR="00236D48" w:rsidRPr="003026C0" w:rsidRDefault="00236D48" w:rsidP="00236D48">
            <w:pPr>
              <w:pStyle w:val="Bezmezer"/>
              <w:shd w:val="clear" w:color="auto" w:fill="D9D9D9" w:themeFill="background1" w:themeFillShade="D9"/>
              <w:jc w:val="both"/>
              <w:rPr>
                <w:rStyle w:val="Hypertextovodkaz"/>
                <w:rFonts w:ascii="Arial" w:eastAsia="Times New Roman" w:hAnsi="Arial" w:cs="Arial"/>
                <w:i/>
                <w:color w:val="0F0D29" w:themeColor="text1"/>
                <w:kern w:val="36"/>
                <w:sz w:val="20"/>
                <w:szCs w:val="20"/>
                <w:u w:val="none"/>
                <w:lang w:eastAsia="cs-CZ"/>
              </w:rPr>
            </w:pPr>
            <w:r w:rsidRPr="003026C0">
              <w:rPr>
                <w:rStyle w:val="Hypertextovodkaz"/>
                <w:rFonts w:ascii="Arial" w:eastAsia="Times New Roman" w:hAnsi="Arial" w:cs="Arial"/>
                <w:i/>
                <w:color w:val="0F0D29" w:themeColor="text1"/>
                <w:kern w:val="36"/>
                <w:sz w:val="20"/>
                <w:szCs w:val="20"/>
                <w:u w:val="none"/>
                <w:lang w:eastAsia="cs-CZ"/>
              </w:rPr>
              <w:t>Zajišťuje: OHSE, specialista VH.</w:t>
            </w:r>
          </w:p>
          <w:p w14:paraId="473F7985" w14:textId="6E7DD685" w:rsidR="00937179" w:rsidRDefault="00937179" w:rsidP="00F54BC8">
            <w:pPr>
              <w:pStyle w:val="Bezmezer"/>
              <w:spacing w:line="360" w:lineRule="auto"/>
              <w:jc w:val="both"/>
              <w:rPr>
                <w:rFonts w:ascii="Arial" w:hAnsi="Arial" w:cs="Arial"/>
                <w:sz w:val="20"/>
                <w:szCs w:val="20"/>
                <w:lang w:eastAsia="cs-CZ"/>
              </w:rPr>
            </w:pPr>
          </w:p>
          <w:p w14:paraId="3EA2DB20" w14:textId="5B0B8D16" w:rsidR="0014703E" w:rsidRDefault="0014703E"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8455D94" w14:textId="2EEC161C" w:rsidR="00C90A3E" w:rsidRPr="005078C0" w:rsidRDefault="00952F58" w:rsidP="005F4E9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952F58">
              <w:rPr>
                <w:rStyle w:val="Hypertextovodkaz"/>
                <w:rFonts w:ascii="Arial" w:eastAsia="Times New Roman" w:hAnsi="Arial" w:cs="Arial"/>
                <w:b/>
                <w:bCs/>
                <w:color w:val="0F0D29" w:themeColor="text1"/>
                <w:kern w:val="36"/>
                <w:sz w:val="24"/>
                <w:szCs w:val="20"/>
                <w:u w:val="none"/>
                <w:lang w:eastAsia="cs-CZ"/>
              </w:rPr>
              <w:t xml:space="preserve">Novela zákona </w:t>
            </w:r>
            <w:r w:rsidR="009720AA">
              <w:rPr>
                <w:rStyle w:val="Hypertextovodkaz"/>
                <w:rFonts w:ascii="Arial" w:eastAsia="Times New Roman" w:hAnsi="Arial" w:cs="Arial"/>
                <w:b/>
                <w:bCs/>
                <w:color w:val="0F0D29" w:themeColor="text1"/>
                <w:kern w:val="36"/>
                <w:sz w:val="24"/>
                <w:szCs w:val="20"/>
                <w:u w:val="none"/>
                <w:lang w:eastAsia="cs-CZ"/>
              </w:rPr>
              <w:t xml:space="preserve">č. 424/1991 Sb., </w:t>
            </w:r>
            <w:r w:rsidRPr="00952F58">
              <w:rPr>
                <w:rStyle w:val="Hypertextovodkaz"/>
                <w:rFonts w:ascii="Arial" w:eastAsia="Times New Roman" w:hAnsi="Arial" w:cs="Arial"/>
                <w:b/>
                <w:bCs/>
                <w:color w:val="0F0D29" w:themeColor="text1"/>
                <w:kern w:val="36"/>
                <w:sz w:val="24"/>
                <w:szCs w:val="20"/>
                <w:u w:val="none"/>
                <w:lang w:eastAsia="cs-CZ"/>
              </w:rPr>
              <w:t>o sdružování v politických stranách a v politických hnutích</w:t>
            </w:r>
            <w:r w:rsidR="00000000">
              <w:rPr>
                <w:rStyle w:val="Hypertextovodkaz"/>
                <w:rFonts w:ascii="Arial" w:eastAsia="Times New Roman" w:hAnsi="Arial" w:cs="Arial"/>
                <w:b/>
                <w:bCs/>
                <w:color w:val="0F0D29" w:themeColor="text1"/>
                <w:kern w:val="36"/>
                <w:sz w:val="24"/>
                <w:szCs w:val="24"/>
                <w:u w:val="none"/>
                <w:lang w:eastAsia="cs-CZ"/>
              </w:rPr>
              <w:pict w14:anchorId="32314C35">
                <v:rect id="_x0000_i1037" style="width:0;height:1.5pt" o:hralign="center" o:hrstd="t" o:hr="t" fillcolor="#a0a0a0" stroked="f"/>
              </w:pict>
            </w:r>
          </w:p>
          <w:p w14:paraId="08ADD1F9" w14:textId="77777777" w:rsidR="009720AA" w:rsidRDefault="009720AA"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Sněmovní tisk 312</w:t>
            </w:r>
          </w:p>
          <w:p w14:paraId="56306A1A" w14:textId="6F9524C8" w:rsidR="004405C5" w:rsidRPr="004405C5" w:rsidRDefault="009720AA"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Předloženo Senátu</w:t>
            </w:r>
          </w:p>
          <w:p w14:paraId="1A635571" w14:textId="77777777" w:rsidR="004405C5" w:rsidRPr="004405C5" w:rsidRDefault="004405C5" w:rsidP="004405C5">
            <w:pPr>
              <w:pStyle w:val="Bezmezer"/>
              <w:jc w:val="right"/>
              <w:rPr>
                <w:rStyle w:val="Hypertextovodkaz"/>
                <w:rFonts w:ascii="Arial" w:hAnsi="Arial" w:cs="Arial"/>
                <w:color w:val="auto"/>
                <w:sz w:val="20"/>
                <w:szCs w:val="20"/>
                <w:u w:val="none"/>
                <w:lang w:eastAsia="cs-CZ"/>
              </w:rPr>
            </w:pPr>
          </w:p>
          <w:p w14:paraId="6FD19C66" w14:textId="77777777" w:rsidR="004405C5" w:rsidRPr="004405C5" w:rsidRDefault="004405C5" w:rsidP="004405C5">
            <w:pPr>
              <w:pStyle w:val="Bezmezer"/>
              <w:spacing w:line="360" w:lineRule="auto"/>
              <w:jc w:val="both"/>
              <w:rPr>
                <w:rStyle w:val="Hypertextovodkaz"/>
                <w:rFonts w:ascii="Arial" w:hAnsi="Arial" w:cs="Arial"/>
                <w:b/>
                <w:bCs/>
                <w:color w:val="auto"/>
                <w:sz w:val="20"/>
                <w:szCs w:val="20"/>
                <w:u w:val="none"/>
                <w:lang w:eastAsia="cs-CZ"/>
              </w:rPr>
            </w:pPr>
          </w:p>
          <w:p w14:paraId="0A638A89" w14:textId="0E5D40E0" w:rsidR="009720AA" w:rsidRDefault="009720AA" w:rsidP="009720AA">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Poslanecká s</w:t>
            </w:r>
            <w:r w:rsidRPr="009720AA">
              <w:rPr>
                <w:rStyle w:val="Hypertextovodkaz"/>
                <w:rFonts w:ascii="Arial" w:hAnsi="Arial" w:cs="Arial"/>
                <w:color w:val="auto"/>
                <w:sz w:val="20"/>
                <w:szCs w:val="20"/>
                <w:u w:val="none"/>
                <w:lang w:eastAsia="cs-CZ"/>
              </w:rPr>
              <w:t>němovna přijala novelu zákona o sdružování v politických stranách a v politických hnutích</w:t>
            </w:r>
            <w:r>
              <w:rPr>
                <w:rStyle w:val="Hypertextovodkaz"/>
                <w:rFonts w:ascii="Arial" w:hAnsi="Arial" w:cs="Arial"/>
                <w:color w:val="auto"/>
                <w:sz w:val="20"/>
                <w:szCs w:val="20"/>
                <w:u w:val="none"/>
                <w:lang w:eastAsia="cs-CZ"/>
              </w:rPr>
              <w:t xml:space="preserve">, </w:t>
            </w:r>
            <w:r>
              <w:t xml:space="preserve"> která </w:t>
            </w:r>
            <w:r w:rsidRPr="009720AA">
              <w:rPr>
                <w:rStyle w:val="Hypertextovodkaz"/>
                <w:rFonts w:ascii="Arial" w:hAnsi="Arial" w:cs="Arial"/>
                <w:color w:val="auto"/>
                <w:sz w:val="20"/>
                <w:szCs w:val="20"/>
                <w:u w:val="none"/>
                <w:lang w:eastAsia="cs-CZ"/>
              </w:rPr>
              <w:t>zpřís</w:t>
            </w:r>
            <w:r>
              <w:rPr>
                <w:rStyle w:val="Hypertextovodkaz"/>
                <w:rFonts w:ascii="Arial" w:hAnsi="Arial" w:cs="Arial"/>
                <w:color w:val="auto"/>
                <w:sz w:val="20"/>
                <w:szCs w:val="20"/>
                <w:u w:val="none"/>
                <w:lang w:eastAsia="cs-CZ"/>
              </w:rPr>
              <w:t>ňuje</w:t>
            </w:r>
            <w:r w:rsidRPr="009720AA">
              <w:rPr>
                <w:rStyle w:val="Hypertextovodkaz"/>
                <w:rFonts w:ascii="Arial" w:hAnsi="Arial" w:cs="Arial"/>
                <w:color w:val="auto"/>
                <w:sz w:val="20"/>
                <w:szCs w:val="20"/>
                <w:u w:val="none"/>
                <w:lang w:eastAsia="cs-CZ"/>
              </w:rPr>
              <w:t xml:space="preserve"> vlastnictví médií a přijímání dotací a investičních pobídek.</w:t>
            </w:r>
            <w:r>
              <w:rPr>
                <w:rStyle w:val="Hypertextovodkaz"/>
                <w:rFonts w:ascii="Arial" w:hAnsi="Arial" w:cs="Arial"/>
                <w:color w:val="auto"/>
                <w:sz w:val="20"/>
                <w:szCs w:val="20"/>
                <w:u w:val="none"/>
                <w:lang w:eastAsia="cs-CZ"/>
              </w:rPr>
              <w:t xml:space="preserve"> Formou přílepku byl rovněž novelizován zákon č. </w:t>
            </w:r>
            <w:r>
              <w:t xml:space="preserve"> </w:t>
            </w:r>
            <w:r w:rsidRPr="009720AA">
              <w:rPr>
                <w:rStyle w:val="Hypertextovodkaz"/>
                <w:rFonts w:ascii="Arial" w:hAnsi="Arial" w:cs="Arial"/>
                <w:color w:val="auto"/>
                <w:sz w:val="20"/>
                <w:szCs w:val="20"/>
                <w:u w:val="none"/>
                <w:lang w:eastAsia="cs-CZ"/>
              </w:rPr>
              <w:t>159/2006 Sb.</w:t>
            </w:r>
            <w:r>
              <w:rPr>
                <w:rStyle w:val="Hypertextovodkaz"/>
                <w:rFonts w:ascii="Arial" w:hAnsi="Arial" w:cs="Arial"/>
                <w:color w:val="auto"/>
                <w:sz w:val="20"/>
                <w:szCs w:val="20"/>
                <w:u w:val="none"/>
                <w:lang w:eastAsia="cs-CZ"/>
              </w:rPr>
              <w:t>,</w:t>
            </w:r>
            <w:r w:rsidRPr="009720AA">
              <w:rPr>
                <w:rStyle w:val="Hypertextovodkaz"/>
                <w:rFonts w:ascii="Arial" w:hAnsi="Arial" w:cs="Arial"/>
                <w:color w:val="auto"/>
                <w:sz w:val="20"/>
                <w:szCs w:val="20"/>
                <w:u w:val="none"/>
                <w:lang w:eastAsia="cs-CZ"/>
              </w:rPr>
              <w:t xml:space="preserve"> o střetu zájmů</w:t>
            </w:r>
            <w:r>
              <w:rPr>
                <w:rStyle w:val="Hypertextovodkaz"/>
                <w:rFonts w:ascii="Arial" w:hAnsi="Arial" w:cs="Arial"/>
                <w:color w:val="auto"/>
                <w:sz w:val="20"/>
                <w:szCs w:val="20"/>
                <w:u w:val="none"/>
                <w:lang w:eastAsia="cs-CZ"/>
              </w:rPr>
              <w:t xml:space="preserve">. </w:t>
            </w:r>
          </w:p>
          <w:p w14:paraId="2A8E9D21" w14:textId="3C2EC6F7" w:rsidR="009720AA" w:rsidRDefault="009720AA" w:rsidP="009720AA">
            <w:pPr>
              <w:pStyle w:val="Bezmezer"/>
              <w:spacing w:line="360" w:lineRule="auto"/>
              <w:jc w:val="both"/>
              <w:rPr>
                <w:rStyle w:val="Hypertextovodkaz"/>
                <w:rFonts w:ascii="Arial" w:hAnsi="Arial" w:cs="Arial"/>
                <w:color w:val="auto"/>
                <w:sz w:val="20"/>
                <w:szCs w:val="20"/>
                <w:u w:val="none"/>
                <w:lang w:eastAsia="cs-CZ"/>
              </w:rPr>
            </w:pPr>
          </w:p>
          <w:p w14:paraId="6703A58D" w14:textId="6D9F5C3D" w:rsidR="009720AA" w:rsidRPr="005078C0" w:rsidRDefault="009720AA" w:rsidP="009720A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1F30E3B" w14:textId="77777777" w:rsidR="009720AA" w:rsidRPr="005078C0" w:rsidRDefault="009720AA" w:rsidP="009720A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3475B883" w14:textId="44EFE754" w:rsidR="009720AA" w:rsidRPr="005078C0" w:rsidRDefault="009720AA" w:rsidP="009720AA">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31.8.2023</w:t>
            </w:r>
          </w:p>
          <w:p w14:paraId="6993D29C" w14:textId="77777777" w:rsidR="009720AA" w:rsidRPr="009720AA" w:rsidRDefault="009720AA" w:rsidP="009720AA">
            <w:pPr>
              <w:pStyle w:val="Bezmezer"/>
              <w:spacing w:line="360" w:lineRule="auto"/>
              <w:jc w:val="both"/>
              <w:rPr>
                <w:rStyle w:val="Hypertextovodkaz"/>
                <w:rFonts w:ascii="Arial" w:hAnsi="Arial" w:cs="Arial"/>
                <w:color w:val="auto"/>
                <w:sz w:val="20"/>
                <w:szCs w:val="20"/>
                <w:u w:val="none"/>
                <w:lang w:eastAsia="cs-CZ"/>
              </w:rPr>
            </w:pPr>
          </w:p>
          <w:p w14:paraId="25CD51DF" w14:textId="6A5264CF" w:rsidR="001A6DA8" w:rsidRDefault="001A6DA8" w:rsidP="00D856E2">
            <w:pPr>
              <w:pStyle w:val="Bezmezer"/>
              <w:spacing w:line="360" w:lineRule="auto"/>
              <w:jc w:val="both"/>
              <w:rPr>
                <w:rStyle w:val="Hypertextovodkaz"/>
                <w:rFonts w:asciiTheme="majorHAnsi" w:hAnsiTheme="majorHAnsi" w:cstheme="majorHAnsi"/>
                <w:color w:val="auto"/>
                <w:sz w:val="20"/>
                <w:szCs w:val="20"/>
                <w:u w:val="none"/>
                <w:lang w:eastAsia="cs-CZ"/>
              </w:rPr>
            </w:pPr>
          </w:p>
          <w:p w14:paraId="4B0A7036" w14:textId="2FB8A76E" w:rsidR="005B4170" w:rsidRPr="005B4170" w:rsidRDefault="005B4170" w:rsidP="005B4170">
            <w:pPr>
              <w:pStyle w:val="Bezmezer"/>
              <w:jc w:val="center"/>
              <w:rPr>
                <w:rStyle w:val="Hypertextovodkaz"/>
                <w:rFonts w:ascii="Arial" w:eastAsia="Times New Roman" w:hAnsi="Arial" w:cs="Arial"/>
                <w:b/>
                <w:bCs/>
                <w:color w:val="0F0D29" w:themeColor="text1"/>
                <w:kern w:val="36"/>
                <w:sz w:val="24"/>
                <w:szCs w:val="20"/>
                <w:u w:val="none"/>
                <w:lang w:eastAsia="cs-CZ"/>
              </w:rPr>
            </w:pPr>
            <w:r w:rsidRPr="005B4170">
              <w:rPr>
                <w:rStyle w:val="Hypertextovodkaz"/>
                <w:rFonts w:ascii="Arial" w:eastAsia="Times New Roman" w:hAnsi="Arial" w:cs="Arial"/>
                <w:b/>
                <w:bCs/>
                <w:color w:val="0F0D29" w:themeColor="text1"/>
                <w:kern w:val="36"/>
                <w:sz w:val="24"/>
                <w:szCs w:val="20"/>
                <w:u w:val="none"/>
                <w:lang w:eastAsia="cs-CZ"/>
              </w:rPr>
              <w:t>Návrh zákona o kybernetické bezpečnosti</w:t>
            </w:r>
            <w:r>
              <w:rPr>
                <w:rStyle w:val="Hypertextovodkaz"/>
                <w:rFonts w:ascii="Arial" w:eastAsia="Times New Roman" w:hAnsi="Arial" w:cs="Arial"/>
                <w:b/>
                <w:bCs/>
                <w:color w:val="0F0D29" w:themeColor="text1"/>
                <w:kern w:val="36"/>
                <w:sz w:val="24"/>
                <w:szCs w:val="20"/>
                <w:u w:val="none"/>
                <w:lang w:eastAsia="cs-CZ"/>
              </w:rPr>
              <w:t xml:space="preserve"> a </w:t>
            </w:r>
            <w:r w:rsidRPr="005B4170">
              <w:rPr>
                <w:rStyle w:val="Hypertextovodkaz"/>
                <w:rFonts w:ascii="Arial" w:eastAsia="Times New Roman" w:hAnsi="Arial" w:cs="Arial"/>
                <w:b/>
                <w:bCs/>
                <w:color w:val="0F0D29" w:themeColor="text1"/>
                <w:kern w:val="36"/>
                <w:sz w:val="24"/>
                <w:szCs w:val="20"/>
                <w:u w:val="none"/>
                <w:lang w:eastAsia="cs-CZ"/>
              </w:rPr>
              <w:t>Návrh zákona, kterým se mění některé zákony v souvislosti s přijetím zákona o kybernetické bezpečnosti</w:t>
            </w:r>
            <w:r w:rsidR="00000000">
              <w:rPr>
                <w:rStyle w:val="Hypertextovodkaz"/>
                <w:rFonts w:ascii="Arial" w:eastAsia="Times New Roman" w:hAnsi="Arial" w:cs="Arial"/>
                <w:b/>
                <w:bCs/>
                <w:color w:val="0F0D29" w:themeColor="text1"/>
                <w:kern w:val="36"/>
                <w:sz w:val="24"/>
                <w:szCs w:val="24"/>
                <w:u w:val="none"/>
                <w:lang w:eastAsia="cs-CZ"/>
              </w:rPr>
              <w:pict w14:anchorId="6DBB71D2">
                <v:rect id="_x0000_i1038" style="width:0;height:1.5pt" o:hralign="center" o:hrstd="t" o:hr="t" fillcolor="#a0a0a0" stroked="f"/>
              </w:pict>
            </w:r>
          </w:p>
          <w:p w14:paraId="6A7FA93F" w14:textId="0BCD2BBE" w:rsidR="005B4170" w:rsidRPr="00FD4C5B" w:rsidRDefault="005B4170" w:rsidP="005B4170">
            <w:pPr>
              <w:pStyle w:val="Bezmezer"/>
              <w:jc w:val="right"/>
              <w:rPr>
                <w:rStyle w:val="Hypertextovodkaz"/>
                <w:rFonts w:ascii="Arial" w:hAnsi="Arial" w:cs="Arial"/>
                <w:color w:val="auto"/>
                <w:sz w:val="20"/>
                <w:szCs w:val="20"/>
                <w:u w:val="none"/>
                <w:lang w:eastAsia="cs-CZ"/>
              </w:rPr>
            </w:pPr>
            <w:r w:rsidRPr="00FD4C5B">
              <w:rPr>
                <w:rStyle w:val="Hypertextovodkaz"/>
                <w:rFonts w:ascii="Arial" w:hAnsi="Arial" w:cs="Arial"/>
                <w:color w:val="auto"/>
                <w:sz w:val="20"/>
                <w:szCs w:val="20"/>
                <w:u w:val="none"/>
                <w:lang w:eastAsia="cs-CZ"/>
              </w:rPr>
              <w:t xml:space="preserve">EKLEP ALBSCSSFKU7S </w:t>
            </w:r>
          </w:p>
          <w:p w14:paraId="3E8CC9BA" w14:textId="15E0CE87" w:rsidR="005B4170" w:rsidRPr="004405C5" w:rsidRDefault="005B4170" w:rsidP="005B4170">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3A23B75E" w14:textId="77777777" w:rsidR="005B4170" w:rsidRPr="004405C5" w:rsidRDefault="005B4170" w:rsidP="005B4170">
            <w:pPr>
              <w:pStyle w:val="Bezmezer"/>
              <w:jc w:val="right"/>
              <w:rPr>
                <w:rStyle w:val="Hypertextovodkaz"/>
                <w:rFonts w:ascii="Arial" w:hAnsi="Arial" w:cs="Arial"/>
                <w:color w:val="auto"/>
                <w:sz w:val="20"/>
                <w:szCs w:val="20"/>
                <w:u w:val="none"/>
                <w:lang w:eastAsia="cs-CZ"/>
              </w:rPr>
            </w:pPr>
          </w:p>
          <w:p w14:paraId="073E5FFA" w14:textId="77777777" w:rsidR="005B4170" w:rsidRPr="004405C5" w:rsidRDefault="005B4170" w:rsidP="005B4170">
            <w:pPr>
              <w:pStyle w:val="Bezmezer"/>
              <w:spacing w:line="360" w:lineRule="auto"/>
              <w:jc w:val="both"/>
              <w:rPr>
                <w:rStyle w:val="Hypertextovodkaz"/>
                <w:rFonts w:ascii="Arial" w:hAnsi="Arial" w:cs="Arial"/>
                <w:b/>
                <w:bCs/>
                <w:color w:val="auto"/>
                <w:sz w:val="20"/>
                <w:szCs w:val="20"/>
                <w:u w:val="none"/>
                <w:lang w:eastAsia="cs-CZ"/>
              </w:rPr>
            </w:pPr>
          </w:p>
          <w:p w14:paraId="0C278898" w14:textId="1ED11740" w:rsidR="005B4170" w:rsidRDefault="005B4170" w:rsidP="005B4170">
            <w:pPr>
              <w:pStyle w:val="Bezmezer"/>
              <w:spacing w:line="360" w:lineRule="auto"/>
              <w:jc w:val="both"/>
              <w:rPr>
                <w:rStyle w:val="Hypertextovodkaz"/>
                <w:rFonts w:ascii="Arial" w:hAnsi="Arial" w:cs="Arial"/>
                <w:color w:val="auto"/>
                <w:sz w:val="20"/>
                <w:szCs w:val="20"/>
                <w:u w:val="none"/>
                <w:lang w:eastAsia="cs-CZ"/>
              </w:rPr>
            </w:pPr>
            <w:r w:rsidRPr="005B4170">
              <w:rPr>
                <w:rStyle w:val="Hypertextovodkaz"/>
                <w:rFonts w:ascii="Arial" w:hAnsi="Arial" w:cs="Arial"/>
                <w:color w:val="auto"/>
                <w:sz w:val="20"/>
                <w:szCs w:val="20"/>
                <w:u w:val="none"/>
                <w:lang w:eastAsia="cs-CZ"/>
              </w:rPr>
              <w:t>Národní úřad pro kybernetickou a informační bezpečnost před</w:t>
            </w:r>
            <w:r>
              <w:rPr>
                <w:rStyle w:val="Hypertextovodkaz"/>
                <w:rFonts w:ascii="Arial" w:hAnsi="Arial" w:cs="Arial"/>
                <w:color w:val="auto"/>
                <w:sz w:val="20"/>
                <w:szCs w:val="20"/>
                <w:u w:val="none"/>
                <w:lang w:eastAsia="cs-CZ"/>
              </w:rPr>
              <w:t xml:space="preserve">ložil </w:t>
            </w:r>
            <w:r w:rsidRPr="005B4170">
              <w:rPr>
                <w:rStyle w:val="Hypertextovodkaz"/>
                <w:rFonts w:ascii="Arial" w:hAnsi="Arial" w:cs="Arial"/>
                <w:color w:val="auto"/>
                <w:sz w:val="20"/>
                <w:szCs w:val="20"/>
                <w:u w:val="none"/>
                <w:lang w:eastAsia="cs-CZ"/>
              </w:rPr>
              <w:t xml:space="preserve"> </w:t>
            </w:r>
            <w:r w:rsidR="00FD4C5B">
              <w:rPr>
                <w:rStyle w:val="Hypertextovodkaz"/>
                <w:rFonts w:ascii="Arial" w:hAnsi="Arial" w:cs="Arial"/>
                <w:color w:val="auto"/>
                <w:sz w:val="20"/>
                <w:szCs w:val="20"/>
                <w:u w:val="none"/>
                <w:lang w:eastAsia="cs-CZ"/>
              </w:rPr>
              <w:t>návrh nového</w:t>
            </w:r>
            <w:r w:rsidRPr="005B4170">
              <w:rPr>
                <w:rStyle w:val="Hypertextovodkaz"/>
                <w:rFonts w:ascii="Arial" w:hAnsi="Arial" w:cs="Arial"/>
                <w:color w:val="auto"/>
                <w:sz w:val="20"/>
                <w:szCs w:val="20"/>
                <w:u w:val="none"/>
                <w:lang w:eastAsia="cs-CZ"/>
              </w:rPr>
              <w:t xml:space="preserve"> zákona o kybernetické bezpečnosti</w:t>
            </w:r>
            <w:r w:rsidR="00FD4C5B">
              <w:rPr>
                <w:rStyle w:val="Hypertextovodkaz"/>
                <w:rFonts w:ascii="Arial" w:hAnsi="Arial" w:cs="Arial"/>
                <w:color w:val="auto"/>
                <w:sz w:val="20"/>
                <w:szCs w:val="20"/>
                <w:u w:val="none"/>
                <w:lang w:eastAsia="cs-CZ"/>
              </w:rPr>
              <w:t xml:space="preserve">. </w:t>
            </w:r>
          </w:p>
          <w:p w14:paraId="5675AF51" w14:textId="7BD391AF" w:rsidR="00FD4C5B" w:rsidRDefault="00FD4C5B" w:rsidP="005B4170">
            <w:pPr>
              <w:pStyle w:val="Bezmezer"/>
              <w:spacing w:line="360" w:lineRule="auto"/>
              <w:jc w:val="both"/>
              <w:rPr>
                <w:rStyle w:val="Hypertextovodkaz"/>
                <w:rFonts w:ascii="Arial" w:hAnsi="Arial" w:cs="Arial"/>
                <w:color w:val="auto"/>
                <w:sz w:val="20"/>
                <w:szCs w:val="20"/>
                <w:u w:val="none"/>
                <w:lang w:eastAsia="cs-CZ"/>
              </w:rPr>
            </w:pPr>
          </w:p>
          <w:p w14:paraId="7E88EFEA" w14:textId="07F00678" w:rsidR="00FD4C5B" w:rsidRDefault="00FD4C5B" w:rsidP="005B4170">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lastRenderedPageBreak/>
              <w:t xml:space="preserve">Návrh </w:t>
            </w:r>
            <w:r w:rsidRPr="00FD4C5B">
              <w:rPr>
                <w:rStyle w:val="Hypertextovodkaz"/>
                <w:rFonts w:ascii="Arial" w:hAnsi="Arial" w:cs="Arial"/>
                <w:color w:val="auto"/>
                <w:sz w:val="20"/>
                <w:szCs w:val="20"/>
                <w:u w:val="none"/>
                <w:lang w:eastAsia="cs-CZ"/>
              </w:rPr>
              <w:t xml:space="preserve">zákona je transpozicí Směrnice Evropského parlamentu a Rady (EU) 2022/2555 ze dne 14. prosince 2022 o opatřeních k zajištění vysoké společné úrovně kybernetické bezpečnosti v Unii a o změně nařízení (EU) č. 910/2014 a směrnice (EU) 2018/1972 a o zrušení směrnice (EU) 2016/1148 (směrnice NIS 2). Nový zákon dále </w:t>
            </w:r>
            <w:r>
              <w:rPr>
                <w:rStyle w:val="Hypertextovodkaz"/>
                <w:rFonts w:ascii="Arial" w:hAnsi="Arial" w:cs="Arial"/>
                <w:color w:val="auto"/>
                <w:sz w:val="20"/>
                <w:szCs w:val="20"/>
                <w:u w:val="none"/>
                <w:lang w:eastAsia="cs-CZ"/>
              </w:rPr>
              <w:t xml:space="preserve">zohledňuje </w:t>
            </w:r>
            <w:r w:rsidRPr="00FD4C5B">
              <w:rPr>
                <w:rStyle w:val="Hypertextovodkaz"/>
                <w:rFonts w:ascii="Arial" w:hAnsi="Arial" w:cs="Arial"/>
                <w:color w:val="auto"/>
                <w:sz w:val="20"/>
                <w:szCs w:val="20"/>
                <w:u w:val="none"/>
                <w:lang w:eastAsia="cs-CZ"/>
              </w:rPr>
              <w:t>praxi nabytou Úřadem v rámci realizace stávajících právních předpisů.</w:t>
            </w:r>
            <w:r>
              <w:rPr>
                <w:rStyle w:val="Hypertextovodkaz"/>
                <w:rFonts w:ascii="Arial" w:hAnsi="Arial" w:cs="Arial"/>
                <w:color w:val="auto"/>
                <w:sz w:val="20"/>
                <w:szCs w:val="20"/>
                <w:u w:val="none"/>
                <w:lang w:eastAsia="cs-CZ"/>
              </w:rPr>
              <w:t xml:space="preserve">  </w:t>
            </w:r>
          </w:p>
          <w:p w14:paraId="1E34DBF3" w14:textId="6CE6AF26" w:rsidR="00FD4C5B" w:rsidRDefault="00FD4C5B" w:rsidP="005B4170">
            <w:pPr>
              <w:pStyle w:val="Bezmezer"/>
              <w:spacing w:line="360" w:lineRule="auto"/>
              <w:jc w:val="both"/>
              <w:rPr>
                <w:rStyle w:val="Hypertextovodkaz"/>
                <w:rFonts w:ascii="Arial" w:hAnsi="Arial" w:cs="Arial"/>
                <w:color w:val="auto"/>
                <w:sz w:val="20"/>
                <w:szCs w:val="20"/>
                <w:u w:val="none"/>
                <w:lang w:eastAsia="cs-CZ"/>
              </w:rPr>
            </w:pPr>
          </w:p>
          <w:p w14:paraId="68DA35A5" w14:textId="62F8FD6D" w:rsidR="00FD4C5B" w:rsidRDefault="00FD4C5B" w:rsidP="005B4170">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Společně s novým zákonem o kybernetické bezpečnosti je rovněž předkládán doprovodný zákon, </w:t>
            </w:r>
            <w:r w:rsidRPr="00FD4C5B">
              <w:rPr>
                <w:rStyle w:val="Hypertextovodkaz"/>
                <w:rFonts w:ascii="Arial" w:hAnsi="Arial" w:cs="Arial"/>
                <w:color w:val="auto"/>
                <w:sz w:val="20"/>
                <w:szCs w:val="20"/>
                <w:u w:val="none"/>
                <w:lang w:eastAsia="cs-CZ"/>
              </w:rPr>
              <w:t>kterým se mění některé zákony v souvislosti s přijetím zákona o kybernetické bezpečnosti</w:t>
            </w:r>
            <w:r>
              <w:rPr>
                <w:rStyle w:val="Hypertextovodkaz"/>
                <w:rFonts w:ascii="Arial" w:hAnsi="Arial" w:cs="Arial"/>
                <w:color w:val="auto"/>
                <w:sz w:val="20"/>
                <w:szCs w:val="20"/>
                <w:u w:val="none"/>
                <w:lang w:eastAsia="cs-CZ"/>
              </w:rPr>
              <w:t>.</w:t>
            </w:r>
          </w:p>
          <w:p w14:paraId="7CB32B52" w14:textId="77777777" w:rsidR="00FD4C5B" w:rsidRDefault="00FD4C5B" w:rsidP="005B4170">
            <w:pPr>
              <w:pStyle w:val="Bezmezer"/>
              <w:spacing w:line="360" w:lineRule="auto"/>
              <w:jc w:val="both"/>
              <w:rPr>
                <w:rStyle w:val="Hypertextovodkaz"/>
                <w:rFonts w:ascii="Arial" w:hAnsi="Arial" w:cs="Arial"/>
                <w:color w:val="auto"/>
                <w:sz w:val="20"/>
                <w:szCs w:val="20"/>
                <w:u w:val="none"/>
                <w:lang w:eastAsia="cs-CZ"/>
              </w:rPr>
            </w:pPr>
          </w:p>
          <w:p w14:paraId="63AFECE2" w14:textId="4E0763B3" w:rsidR="005B4170" w:rsidRPr="005078C0" w:rsidRDefault="005B4170" w:rsidP="005B417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Úkol:</w:t>
            </w:r>
            <w:r w:rsidR="00FD4C5B">
              <w:rPr>
                <w:rStyle w:val="Hypertextovodkaz"/>
                <w:rFonts w:ascii="Arial" w:eastAsia="Times New Roman" w:hAnsi="Arial" w:cs="Arial"/>
                <w:b/>
                <w:bCs/>
                <w:i/>
                <w:color w:val="0F0D29" w:themeColor="text1"/>
                <w:kern w:val="36"/>
                <w:sz w:val="20"/>
                <w:szCs w:val="20"/>
                <w:u w:val="none"/>
                <w:lang w:eastAsia="cs-CZ"/>
              </w:rPr>
              <w:t xml:space="preserve"> </w:t>
            </w:r>
            <w:r w:rsidR="00FD4C5B">
              <w:rPr>
                <w:rStyle w:val="Hypertextovodkaz"/>
                <w:rFonts w:ascii="Arial" w:eastAsia="Times New Roman" w:hAnsi="Arial" w:cs="Arial"/>
                <w:i/>
                <w:color w:val="0F0D29" w:themeColor="text1"/>
                <w:kern w:val="36"/>
                <w:sz w:val="20"/>
                <w:szCs w:val="20"/>
                <w:u w:val="none"/>
                <w:lang w:eastAsia="cs-CZ"/>
              </w:rPr>
              <w:t>Manažer kybernetické bezpečnosti ve spolupráci s</w:t>
            </w:r>
            <w:r w:rsidRPr="005078C0">
              <w:rPr>
                <w:rStyle w:val="Hypertextovodkaz"/>
                <w:rFonts w:ascii="Arial" w:eastAsia="Times New Roman" w:hAnsi="Arial" w:cs="Arial"/>
                <w:b/>
                <w:bCs/>
                <w:i/>
                <w:color w:val="0F0D29" w:themeColor="text1"/>
                <w:kern w:val="36"/>
                <w:sz w:val="20"/>
                <w:szCs w:val="20"/>
                <w:u w:val="none"/>
                <w:lang w:eastAsia="cs-CZ"/>
              </w:rPr>
              <w:t xml:space="preserve"> </w:t>
            </w:r>
            <w:r>
              <w:rPr>
                <w:rStyle w:val="Hypertextovodkaz"/>
                <w:rFonts w:ascii="Arial" w:eastAsia="Times New Roman" w:hAnsi="Arial" w:cs="Arial"/>
                <w:bCs/>
                <w:i/>
                <w:color w:val="0F0D29" w:themeColor="text1"/>
                <w:kern w:val="36"/>
                <w:sz w:val="20"/>
                <w:szCs w:val="20"/>
                <w:u w:val="none"/>
                <w:lang w:eastAsia="cs-CZ"/>
              </w:rPr>
              <w:t>OPS</w:t>
            </w:r>
            <w:r w:rsidR="00FD4C5B">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6F1F86BF" w14:textId="77777777" w:rsidR="005B4170" w:rsidRPr="005078C0" w:rsidRDefault="005B4170" w:rsidP="005B417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78135C3" w14:textId="54F64CE0" w:rsidR="005B4170" w:rsidRPr="005078C0" w:rsidRDefault="005B4170" w:rsidP="005B4170">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FD4C5B">
              <w:rPr>
                <w:rStyle w:val="Hypertextovodkaz"/>
                <w:rFonts w:ascii="Arial" w:eastAsia="Times New Roman" w:hAnsi="Arial" w:cs="Arial"/>
                <w:i/>
                <w:color w:val="0F0D29" w:themeColor="text1"/>
                <w:kern w:val="36"/>
                <w:sz w:val="20"/>
                <w:szCs w:val="20"/>
                <w:u w:val="none"/>
                <w:lang w:eastAsia="cs-CZ"/>
              </w:rPr>
              <w:t xml:space="preserve">ÚGŘ – Bc. Miroslav Rudolf,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w:t>
            </w:r>
            <w:r w:rsidR="00FD4C5B">
              <w:rPr>
                <w:rStyle w:val="Hypertextovodkaz"/>
                <w:rFonts w:ascii="Arial" w:eastAsia="Times New Roman" w:hAnsi="Arial" w:cs="Arial"/>
                <w:b/>
                <w:bCs/>
                <w:i/>
                <w:color w:val="0F0D29" w:themeColor="text1"/>
                <w:kern w:val="36"/>
                <w:sz w:val="20"/>
                <w:szCs w:val="20"/>
                <w:u w:val="none"/>
                <w:lang w:eastAsia="cs-CZ"/>
              </w:rPr>
              <w:t>0.9.2023</w:t>
            </w:r>
          </w:p>
          <w:p w14:paraId="75F25BDF" w14:textId="77777777" w:rsidR="005B4170" w:rsidRPr="001A6DA8" w:rsidRDefault="005B4170" w:rsidP="00D856E2">
            <w:pPr>
              <w:pStyle w:val="Bezmezer"/>
              <w:spacing w:line="360" w:lineRule="auto"/>
              <w:jc w:val="both"/>
              <w:rPr>
                <w:rStyle w:val="Hypertextovodkaz"/>
                <w:rFonts w:asciiTheme="majorHAnsi" w:hAnsiTheme="majorHAnsi" w:cstheme="majorHAnsi"/>
                <w:color w:val="auto"/>
                <w:sz w:val="20"/>
                <w:szCs w:val="20"/>
                <w:u w:val="none"/>
                <w:lang w:eastAsia="cs-CZ"/>
              </w:rPr>
            </w:pPr>
          </w:p>
          <w:p w14:paraId="3F7EACCA" w14:textId="4B7C0B92" w:rsidR="005E41D1" w:rsidRPr="005B4170" w:rsidRDefault="005E41D1" w:rsidP="005E41D1">
            <w:pPr>
              <w:pStyle w:val="Bezmezer"/>
              <w:jc w:val="center"/>
              <w:rPr>
                <w:rStyle w:val="Hypertextovodkaz"/>
                <w:rFonts w:ascii="Arial" w:eastAsia="Times New Roman" w:hAnsi="Arial" w:cs="Arial"/>
                <w:b/>
                <w:bCs/>
                <w:color w:val="0F0D29" w:themeColor="text1"/>
                <w:kern w:val="36"/>
                <w:sz w:val="24"/>
                <w:szCs w:val="20"/>
                <w:u w:val="none"/>
                <w:lang w:eastAsia="cs-CZ"/>
              </w:rPr>
            </w:pPr>
            <w:r w:rsidRPr="005E41D1">
              <w:rPr>
                <w:rStyle w:val="Hypertextovodkaz"/>
                <w:rFonts w:ascii="Arial" w:eastAsia="Times New Roman" w:hAnsi="Arial" w:cs="Arial"/>
                <w:b/>
                <w:bCs/>
                <w:color w:val="0F0D29" w:themeColor="text1"/>
                <w:kern w:val="36"/>
                <w:sz w:val="24"/>
                <w:szCs w:val="20"/>
                <w:u w:val="none"/>
                <w:lang w:eastAsia="cs-CZ"/>
              </w:rPr>
              <w:t xml:space="preserve">Směrnice </w:t>
            </w:r>
            <w:r>
              <w:rPr>
                <w:rStyle w:val="Hypertextovodkaz"/>
                <w:rFonts w:ascii="Arial" w:eastAsia="Times New Roman" w:hAnsi="Arial" w:cs="Arial"/>
                <w:b/>
                <w:bCs/>
                <w:color w:val="0F0D29" w:themeColor="text1"/>
                <w:kern w:val="36"/>
                <w:sz w:val="24"/>
                <w:szCs w:val="20"/>
                <w:u w:val="none"/>
                <w:lang w:eastAsia="cs-CZ"/>
              </w:rPr>
              <w:t xml:space="preserve">ke </w:t>
            </w:r>
            <w:r w:rsidRPr="005E41D1">
              <w:rPr>
                <w:rStyle w:val="Hypertextovodkaz"/>
                <w:rFonts w:ascii="Arial" w:eastAsia="Times New Roman" w:hAnsi="Arial" w:cs="Arial"/>
                <w:b/>
                <w:bCs/>
                <w:color w:val="0F0D29" w:themeColor="text1"/>
                <w:kern w:val="36"/>
                <w:sz w:val="24"/>
                <w:szCs w:val="20"/>
                <w:u w:val="none"/>
                <w:lang w:eastAsia="cs-CZ"/>
              </w:rPr>
              <w:t xml:space="preserve"> zdůvodňování tvrzení o environmentální výkonnosti výrobků a podniků</w:t>
            </w:r>
            <w:r w:rsidR="00000000">
              <w:rPr>
                <w:rStyle w:val="Hypertextovodkaz"/>
                <w:rFonts w:ascii="Arial" w:eastAsia="Times New Roman" w:hAnsi="Arial" w:cs="Arial"/>
                <w:b/>
                <w:bCs/>
                <w:color w:val="0F0D29" w:themeColor="text1"/>
                <w:kern w:val="36"/>
                <w:sz w:val="24"/>
                <w:szCs w:val="24"/>
                <w:u w:val="none"/>
                <w:lang w:eastAsia="cs-CZ"/>
              </w:rPr>
              <w:pict w14:anchorId="08F5244F">
                <v:rect id="_x0000_i1039" style="width:0;height:1.5pt" o:hralign="center" o:hrstd="t" o:hr="t" fillcolor="#a0a0a0" stroked="f"/>
              </w:pict>
            </w:r>
          </w:p>
          <w:p w14:paraId="10F4DC13" w14:textId="73288F42" w:rsidR="005E41D1" w:rsidRPr="004405C5" w:rsidRDefault="005E41D1" w:rsidP="005E41D1">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připomínkovém řízení</w:t>
            </w:r>
          </w:p>
          <w:p w14:paraId="1CAB802C" w14:textId="77777777" w:rsidR="005E41D1" w:rsidRPr="004405C5" w:rsidRDefault="005E41D1" w:rsidP="005E41D1">
            <w:pPr>
              <w:pStyle w:val="Bezmezer"/>
              <w:jc w:val="right"/>
              <w:rPr>
                <w:rStyle w:val="Hypertextovodkaz"/>
                <w:rFonts w:ascii="Arial" w:hAnsi="Arial" w:cs="Arial"/>
                <w:color w:val="auto"/>
                <w:sz w:val="20"/>
                <w:szCs w:val="20"/>
                <w:u w:val="none"/>
                <w:lang w:eastAsia="cs-CZ"/>
              </w:rPr>
            </w:pPr>
          </w:p>
          <w:p w14:paraId="7A60E575" w14:textId="77777777" w:rsidR="005E41D1" w:rsidRPr="004405C5" w:rsidRDefault="005E41D1" w:rsidP="005E41D1">
            <w:pPr>
              <w:pStyle w:val="Bezmezer"/>
              <w:spacing w:line="360" w:lineRule="auto"/>
              <w:jc w:val="both"/>
              <w:rPr>
                <w:rStyle w:val="Hypertextovodkaz"/>
                <w:rFonts w:ascii="Arial" w:hAnsi="Arial" w:cs="Arial"/>
                <w:b/>
                <w:bCs/>
                <w:color w:val="auto"/>
                <w:sz w:val="20"/>
                <w:szCs w:val="20"/>
                <w:u w:val="none"/>
                <w:lang w:eastAsia="cs-CZ"/>
              </w:rPr>
            </w:pPr>
          </w:p>
          <w:p w14:paraId="69AB4975" w14:textId="77777777" w:rsidR="005E41D1" w:rsidRPr="005E41D1" w:rsidRDefault="005E41D1" w:rsidP="005E41D1">
            <w:pPr>
              <w:pStyle w:val="Bezmezer"/>
              <w:spacing w:line="360" w:lineRule="auto"/>
              <w:jc w:val="both"/>
              <w:rPr>
                <w:rStyle w:val="Hypertextovodkaz"/>
                <w:rFonts w:ascii="Arial" w:hAnsi="Arial" w:cs="Arial"/>
                <w:color w:val="auto"/>
                <w:sz w:val="20"/>
                <w:szCs w:val="20"/>
                <w:u w:val="none"/>
                <w:lang w:eastAsia="cs-CZ"/>
              </w:rPr>
            </w:pPr>
            <w:r w:rsidRPr="005E41D1">
              <w:rPr>
                <w:rStyle w:val="Hypertextovodkaz"/>
                <w:rFonts w:ascii="Arial" w:hAnsi="Arial" w:cs="Arial"/>
                <w:color w:val="auto"/>
                <w:sz w:val="20"/>
                <w:szCs w:val="20"/>
                <w:u w:val="none"/>
                <w:lang w:eastAsia="cs-CZ"/>
              </w:rPr>
              <w:t>V rámci této iniciativy budou muset společnosti zdůvodnit svá tvrzení o tzv. environmentální stopě svých výrobků/služeb, a to pomocí standardních metod jejich kvantifikace.</w:t>
            </w:r>
          </w:p>
          <w:p w14:paraId="6B2E05D6" w14:textId="77777777" w:rsidR="005E41D1" w:rsidRPr="005E41D1" w:rsidRDefault="005E41D1" w:rsidP="005E41D1">
            <w:pPr>
              <w:pStyle w:val="Bezmezer"/>
              <w:spacing w:line="360" w:lineRule="auto"/>
              <w:jc w:val="both"/>
              <w:rPr>
                <w:rStyle w:val="Hypertextovodkaz"/>
                <w:rFonts w:ascii="Arial" w:hAnsi="Arial" w:cs="Arial"/>
                <w:color w:val="auto"/>
                <w:sz w:val="20"/>
                <w:szCs w:val="20"/>
                <w:u w:val="none"/>
                <w:lang w:eastAsia="cs-CZ"/>
              </w:rPr>
            </w:pPr>
          </w:p>
          <w:p w14:paraId="5FA2D801" w14:textId="77777777" w:rsidR="005E41D1" w:rsidRPr="005E41D1" w:rsidRDefault="005E41D1" w:rsidP="005E41D1">
            <w:pPr>
              <w:pStyle w:val="Bezmezer"/>
              <w:spacing w:line="360" w:lineRule="auto"/>
              <w:jc w:val="both"/>
              <w:rPr>
                <w:rStyle w:val="Hypertextovodkaz"/>
                <w:rFonts w:ascii="Arial" w:hAnsi="Arial" w:cs="Arial"/>
                <w:color w:val="auto"/>
                <w:sz w:val="20"/>
                <w:szCs w:val="20"/>
                <w:u w:val="none"/>
                <w:lang w:eastAsia="cs-CZ"/>
              </w:rPr>
            </w:pPr>
            <w:r w:rsidRPr="005E41D1">
              <w:rPr>
                <w:rStyle w:val="Hypertextovodkaz"/>
                <w:rFonts w:ascii="Arial" w:hAnsi="Arial" w:cs="Arial"/>
                <w:color w:val="auto"/>
                <w:sz w:val="20"/>
                <w:szCs w:val="20"/>
                <w:u w:val="none"/>
                <w:lang w:eastAsia="cs-CZ"/>
              </w:rPr>
              <w:t>Účelem je zajistit, aby tato tvrzení byla spolehlivá, srovnatelná a ověřitelná v celé EU a zabránilo se tak tzv. lakování nazeleno (společnosti vytvářejí falešný dojem o dopadu jejich činností na životní prostředí).</w:t>
            </w:r>
          </w:p>
          <w:p w14:paraId="0545828C" w14:textId="77777777" w:rsidR="005E41D1" w:rsidRPr="005E41D1" w:rsidRDefault="005E41D1" w:rsidP="005E41D1">
            <w:pPr>
              <w:pStyle w:val="Bezmezer"/>
              <w:spacing w:line="360" w:lineRule="auto"/>
              <w:jc w:val="both"/>
              <w:rPr>
                <w:rStyle w:val="Hypertextovodkaz"/>
                <w:rFonts w:ascii="Arial" w:hAnsi="Arial" w:cs="Arial"/>
                <w:color w:val="auto"/>
                <w:sz w:val="20"/>
                <w:szCs w:val="20"/>
                <w:u w:val="none"/>
                <w:lang w:eastAsia="cs-CZ"/>
              </w:rPr>
            </w:pPr>
          </w:p>
          <w:p w14:paraId="4E38CDD4" w14:textId="67DF669D" w:rsidR="005E41D1" w:rsidRDefault="005E41D1" w:rsidP="005E41D1">
            <w:pPr>
              <w:pStyle w:val="Bezmezer"/>
              <w:spacing w:line="360" w:lineRule="auto"/>
              <w:jc w:val="both"/>
              <w:rPr>
                <w:rStyle w:val="Hypertextovodkaz"/>
                <w:rFonts w:ascii="Arial" w:hAnsi="Arial" w:cs="Arial"/>
                <w:color w:val="auto"/>
                <w:sz w:val="20"/>
                <w:szCs w:val="20"/>
                <w:u w:val="none"/>
                <w:lang w:eastAsia="cs-CZ"/>
              </w:rPr>
            </w:pPr>
            <w:r w:rsidRPr="005E41D1">
              <w:rPr>
                <w:rStyle w:val="Hypertextovodkaz"/>
                <w:rFonts w:ascii="Arial" w:hAnsi="Arial" w:cs="Arial"/>
                <w:color w:val="auto"/>
                <w:sz w:val="20"/>
                <w:szCs w:val="20"/>
                <w:u w:val="none"/>
                <w:lang w:eastAsia="cs-CZ"/>
              </w:rPr>
              <w:t>To by mělo pomoci kupujícím a investorům činit ekologičtější rozhodnutí a zvýšit důvěru spotřebitelů v ekoznačky a informace o dopadu výrobku na životní prostředí.</w:t>
            </w:r>
          </w:p>
          <w:p w14:paraId="0070709A" w14:textId="77777777" w:rsidR="005E41D1" w:rsidRDefault="005E41D1" w:rsidP="005E41D1">
            <w:pPr>
              <w:pStyle w:val="Bezmezer"/>
              <w:spacing w:line="360" w:lineRule="auto"/>
              <w:jc w:val="both"/>
              <w:rPr>
                <w:rStyle w:val="Hypertextovodkaz"/>
                <w:rFonts w:ascii="Arial" w:hAnsi="Arial" w:cs="Arial"/>
                <w:color w:val="auto"/>
                <w:sz w:val="20"/>
                <w:szCs w:val="20"/>
                <w:u w:val="none"/>
                <w:lang w:eastAsia="cs-CZ"/>
              </w:rPr>
            </w:pPr>
          </w:p>
          <w:p w14:paraId="743D16E1" w14:textId="57538F9B" w:rsidR="005E41D1" w:rsidRPr="005078C0" w:rsidRDefault="005E41D1" w:rsidP="005E41D1">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Úkol:</w:t>
            </w:r>
            <w:r>
              <w:rPr>
                <w:rStyle w:val="Hypertextovodkaz"/>
                <w:rFonts w:ascii="Arial" w:eastAsia="Times New Roman" w:hAnsi="Arial" w:cs="Arial"/>
                <w:b/>
                <w:bCs/>
                <w:i/>
                <w:color w:val="0F0D29" w:themeColor="text1"/>
                <w:kern w:val="36"/>
                <w:sz w:val="20"/>
                <w:szCs w:val="20"/>
                <w:u w:val="none"/>
                <w:lang w:eastAsia="cs-CZ"/>
              </w:rPr>
              <w:t xml:space="preserve"> </w:t>
            </w:r>
            <w:r w:rsidR="00762D39">
              <w:rPr>
                <w:rStyle w:val="Hypertextovodkaz"/>
                <w:rFonts w:ascii="Arial" w:eastAsia="Times New Roman" w:hAnsi="Arial" w:cs="Arial"/>
                <w:i/>
                <w:color w:val="0F0D29" w:themeColor="text1"/>
                <w:kern w:val="36"/>
                <w:sz w:val="20"/>
                <w:szCs w:val="20"/>
                <w:u w:val="none"/>
                <w:lang w:eastAsia="cs-CZ"/>
              </w:rPr>
              <w:t xml:space="preserve">OPS bude monitorovat legislativní proces, následně </w:t>
            </w:r>
            <w:r>
              <w:rPr>
                <w:rStyle w:val="Hypertextovodkaz"/>
                <w:rFonts w:ascii="Arial" w:eastAsia="Times New Roman" w:hAnsi="Arial" w:cs="Arial"/>
                <w:bCs/>
                <w:i/>
                <w:color w:val="0F0D29" w:themeColor="text1"/>
                <w:kern w:val="36"/>
                <w:sz w:val="20"/>
                <w:szCs w:val="20"/>
                <w:u w:val="none"/>
                <w:lang w:eastAsia="cs-CZ"/>
              </w:rPr>
              <w:t>O</w:t>
            </w:r>
            <w:r w:rsidR="00666EE9">
              <w:rPr>
                <w:rStyle w:val="Hypertextovodkaz"/>
                <w:rFonts w:ascii="Arial" w:eastAsia="Times New Roman" w:hAnsi="Arial" w:cs="Arial"/>
                <w:bCs/>
                <w:i/>
                <w:color w:val="0F0D29" w:themeColor="text1"/>
                <w:kern w:val="36"/>
                <w:sz w:val="20"/>
                <w:szCs w:val="20"/>
                <w:u w:val="none"/>
                <w:lang w:eastAsia="cs-CZ"/>
              </w:rPr>
              <w:t>HSE</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66A39FE9" w14:textId="77777777" w:rsidR="005E41D1" w:rsidRPr="005078C0" w:rsidRDefault="005E41D1" w:rsidP="005E41D1">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E3A9652" w14:textId="5F685AA9" w:rsidR="005E41D1" w:rsidRPr="005078C0" w:rsidRDefault="005E41D1" w:rsidP="005E41D1">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w:t>
            </w:r>
            <w:r w:rsidR="00666EE9">
              <w:rPr>
                <w:rStyle w:val="Hypertextovodkaz"/>
                <w:rFonts w:ascii="Arial" w:eastAsia="Times New Roman" w:hAnsi="Arial" w:cs="Arial"/>
                <w:i/>
                <w:color w:val="0F0D29" w:themeColor="text1"/>
                <w:kern w:val="36"/>
                <w:sz w:val="20"/>
                <w:szCs w:val="20"/>
                <w:u w:val="none"/>
                <w:lang w:eastAsia="cs-CZ"/>
              </w:rPr>
              <w:t xml:space="preserve">HSE </w:t>
            </w:r>
            <w:r>
              <w:rPr>
                <w:rStyle w:val="Hypertextovodkaz"/>
                <w:rFonts w:ascii="Arial" w:eastAsia="Times New Roman" w:hAnsi="Arial" w:cs="Arial"/>
                <w:i/>
                <w:color w:val="0F0D29" w:themeColor="text1"/>
                <w:kern w:val="36"/>
                <w:sz w:val="20"/>
                <w:szCs w:val="20"/>
                <w:u w:val="none"/>
                <w:lang w:eastAsia="cs-CZ"/>
              </w:rPr>
              <w:t xml:space="preserve">– </w:t>
            </w:r>
            <w:r w:rsidR="00762D39">
              <w:rPr>
                <w:rStyle w:val="Hypertextovodkaz"/>
                <w:rFonts w:ascii="Arial" w:eastAsia="Times New Roman" w:hAnsi="Arial" w:cs="Arial"/>
                <w:i/>
                <w:color w:val="0F0D29" w:themeColor="text1"/>
                <w:kern w:val="36"/>
                <w:sz w:val="20"/>
                <w:szCs w:val="20"/>
                <w:u w:val="none"/>
                <w:lang w:eastAsia="cs-CZ"/>
              </w:rPr>
              <w:t>Ing. Zdeněk Stejskal</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31.10.2023</w:t>
            </w:r>
          </w:p>
          <w:p w14:paraId="6B0DA074" w14:textId="77777777" w:rsidR="00102FA4" w:rsidRDefault="00102FA4" w:rsidP="005E41D1">
            <w:pPr>
              <w:pStyle w:val="Bezmezer"/>
              <w:jc w:val="center"/>
              <w:rPr>
                <w:rStyle w:val="Hypertextovodkaz"/>
                <w:rFonts w:ascii="Arial" w:eastAsia="Times New Roman" w:hAnsi="Arial" w:cs="Arial"/>
                <w:b/>
                <w:bCs/>
                <w:color w:val="0F0D29" w:themeColor="text1"/>
                <w:kern w:val="36"/>
                <w:sz w:val="24"/>
                <w:szCs w:val="20"/>
                <w:u w:val="none"/>
                <w:lang w:eastAsia="cs-CZ"/>
              </w:rPr>
            </w:pPr>
          </w:p>
          <w:p w14:paraId="366F06C9" w14:textId="13BA3EF3" w:rsidR="005E41D1" w:rsidRPr="005B4170" w:rsidRDefault="005E41D1" w:rsidP="005E41D1">
            <w:pPr>
              <w:pStyle w:val="Bezmezer"/>
              <w:jc w:val="center"/>
              <w:rPr>
                <w:rStyle w:val="Hypertextovodkaz"/>
                <w:rFonts w:ascii="Arial" w:eastAsia="Times New Roman" w:hAnsi="Arial" w:cs="Arial"/>
                <w:b/>
                <w:bCs/>
                <w:color w:val="0F0D29" w:themeColor="text1"/>
                <w:kern w:val="36"/>
                <w:sz w:val="24"/>
                <w:szCs w:val="20"/>
                <w:u w:val="none"/>
                <w:lang w:eastAsia="cs-CZ"/>
              </w:rPr>
            </w:pPr>
            <w:r w:rsidRPr="005E41D1">
              <w:rPr>
                <w:rStyle w:val="Hypertextovodkaz"/>
                <w:rFonts w:ascii="Arial" w:eastAsia="Times New Roman" w:hAnsi="Arial" w:cs="Arial"/>
                <w:b/>
                <w:bCs/>
                <w:color w:val="0F0D29" w:themeColor="text1"/>
                <w:kern w:val="36"/>
                <w:sz w:val="24"/>
                <w:szCs w:val="20"/>
                <w:u w:val="none"/>
                <w:lang w:eastAsia="cs-CZ"/>
              </w:rPr>
              <w:t xml:space="preserve">Návrh vyhlášky, kterou se mění vyhláška č. 261/2016 Sb., o tabákových výrobcích </w:t>
            </w:r>
            <w:r w:rsidR="00000000">
              <w:rPr>
                <w:rStyle w:val="Hypertextovodkaz"/>
                <w:rFonts w:ascii="Arial" w:eastAsia="Times New Roman" w:hAnsi="Arial" w:cs="Arial"/>
                <w:b/>
                <w:bCs/>
                <w:color w:val="0F0D29" w:themeColor="text1"/>
                <w:kern w:val="36"/>
                <w:sz w:val="24"/>
                <w:szCs w:val="24"/>
                <w:u w:val="none"/>
                <w:lang w:eastAsia="cs-CZ"/>
              </w:rPr>
              <w:pict w14:anchorId="5A02BF3A">
                <v:rect id="_x0000_i1040" style="width:0;height:1.5pt" o:hralign="center" o:hrstd="t" o:hr="t" fillcolor="#a0a0a0" stroked="f"/>
              </w:pict>
            </w:r>
          </w:p>
          <w:p w14:paraId="52E94FF3" w14:textId="632AF492" w:rsidR="005E41D1" w:rsidRDefault="005E41D1" w:rsidP="005E41D1">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Pr="005E41D1">
              <w:rPr>
                <w:rStyle w:val="Hypertextovodkaz"/>
                <w:rFonts w:ascii="Arial" w:hAnsi="Arial" w:cs="Arial"/>
                <w:color w:val="auto"/>
                <w:sz w:val="20"/>
                <w:szCs w:val="20"/>
                <w:u w:val="none"/>
                <w:lang w:eastAsia="cs-CZ"/>
              </w:rPr>
              <w:t>KORNCSHDPAM3</w:t>
            </w:r>
            <w:r>
              <w:rPr>
                <w:rStyle w:val="Hypertextovodkaz"/>
                <w:rFonts w:ascii="Arial" w:hAnsi="Arial" w:cs="Arial"/>
                <w:color w:val="auto"/>
                <w:sz w:val="20"/>
                <w:szCs w:val="20"/>
                <w:u w:val="none"/>
                <w:lang w:eastAsia="cs-CZ"/>
              </w:rPr>
              <w:t xml:space="preserve"> </w:t>
            </w:r>
          </w:p>
          <w:p w14:paraId="5C642A61" w14:textId="38A95331" w:rsidR="005E41D1" w:rsidRDefault="005E41D1" w:rsidP="005E41D1">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Mezirezortní připomínkové řízení ukončeno</w:t>
            </w:r>
          </w:p>
          <w:p w14:paraId="2FC8F54C" w14:textId="77777777" w:rsidR="005E41D1" w:rsidRPr="004405C5" w:rsidRDefault="005E41D1" w:rsidP="005E41D1">
            <w:pPr>
              <w:pStyle w:val="Bezmezer"/>
              <w:jc w:val="right"/>
              <w:rPr>
                <w:rStyle w:val="Hypertextovodkaz"/>
                <w:rFonts w:ascii="Arial" w:hAnsi="Arial" w:cs="Arial"/>
                <w:color w:val="auto"/>
                <w:sz w:val="20"/>
                <w:szCs w:val="20"/>
                <w:u w:val="none"/>
                <w:lang w:eastAsia="cs-CZ"/>
              </w:rPr>
            </w:pPr>
          </w:p>
          <w:p w14:paraId="09BAB185" w14:textId="77777777" w:rsidR="005E41D1" w:rsidRPr="004405C5" w:rsidRDefault="005E41D1" w:rsidP="005E41D1">
            <w:pPr>
              <w:pStyle w:val="Bezmezer"/>
              <w:jc w:val="right"/>
              <w:rPr>
                <w:rStyle w:val="Hypertextovodkaz"/>
                <w:rFonts w:ascii="Arial" w:hAnsi="Arial" w:cs="Arial"/>
                <w:color w:val="auto"/>
                <w:sz w:val="20"/>
                <w:szCs w:val="20"/>
                <w:u w:val="none"/>
                <w:lang w:eastAsia="cs-CZ"/>
              </w:rPr>
            </w:pPr>
          </w:p>
          <w:p w14:paraId="17A1862E" w14:textId="35B12E72" w:rsidR="005E41D1" w:rsidRDefault="005E41D1" w:rsidP="005E41D1">
            <w:pPr>
              <w:pStyle w:val="Bezmezer"/>
              <w:spacing w:line="360" w:lineRule="auto"/>
              <w:jc w:val="both"/>
              <w:rPr>
                <w:rStyle w:val="Hypertextovodkaz"/>
                <w:rFonts w:ascii="Arial" w:hAnsi="Arial" w:cs="Arial"/>
                <w:color w:val="auto"/>
                <w:sz w:val="20"/>
                <w:szCs w:val="20"/>
                <w:u w:val="none"/>
                <w:lang w:eastAsia="cs-CZ"/>
              </w:rPr>
            </w:pPr>
            <w:r w:rsidRPr="005E41D1">
              <w:rPr>
                <w:rStyle w:val="Hypertextovodkaz"/>
                <w:rFonts w:ascii="Arial" w:hAnsi="Arial" w:cs="Arial"/>
                <w:color w:val="auto"/>
                <w:sz w:val="20"/>
                <w:szCs w:val="20"/>
                <w:u w:val="none"/>
                <w:lang w:eastAsia="cs-CZ"/>
              </w:rPr>
              <w:t>Cílem navrhované právní úpravy je především transpozice směrnice Komise v přenesené pravomoci (EU) 2022/2100 ze dne 29. června 2022, kterou se mění směrnice Evropského parlamentu a Rady 2014/40/EU, pokud jde o zrušení některých výjimek týkajících se zahřívaných tabákových výrobků.</w:t>
            </w:r>
          </w:p>
          <w:p w14:paraId="2AA540F1" w14:textId="40CE1556" w:rsidR="005E41D1" w:rsidRPr="005078C0" w:rsidRDefault="005E41D1" w:rsidP="005E41D1">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Úkol:</w:t>
            </w:r>
            <w:r>
              <w:rPr>
                <w:rStyle w:val="Hypertextovodkaz"/>
                <w:rFonts w:ascii="Arial" w:eastAsia="Times New Roman" w:hAnsi="Arial" w:cs="Arial"/>
                <w:b/>
                <w:bCs/>
                <w:i/>
                <w:color w:val="0F0D29" w:themeColor="text1"/>
                <w:kern w:val="36"/>
                <w:sz w:val="20"/>
                <w:szCs w:val="20"/>
                <w:u w:val="none"/>
                <w:lang w:eastAsia="cs-CZ"/>
              </w:rPr>
              <w:t xml:space="preserve"> </w:t>
            </w:r>
            <w:r>
              <w:rPr>
                <w:rStyle w:val="Hypertextovodkaz"/>
                <w:rFonts w:ascii="Arial" w:eastAsia="Times New Roman" w:hAnsi="Arial" w:cs="Arial"/>
                <w:bCs/>
                <w:i/>
                <w:color w:val="0F0D29" w:themeColor="text1"/>
                <w:kern w:val="36"/>
                <w:sz w:val="20"/>
                <w:szCs w:val="20"/>
                <w:u w:val="none"/>
                <w:lang w:eastAsia="cs-CZ"/>
              </w:rPr>
              <w:t xml:space="preserve">OČS </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20B93A2A" w14:textId="77777777" w:rsidR="005E41D1" w:rsidRPr="005078C0" w:rsidRDefault="005E41D1" w:rsidP="005E41D1">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7CF92436" w14:textId="3074E77B" w:rsidR="005E41D1" w:rsidRPr="005078C0" w:rsidRDefault="005E41D1" w:rsidP="005E41D1">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OČS – Ing. Otakar Krejsa</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31.8.2023</w:t>
            </w:r>
          </w:p>
          <w:p w14:paraId="7F4139FC" w14:textId="045A6F50" w:rsidR="006402B1" w:rsidRDefault="006402B1" w:rsidP="00932F08">
            <w:pPr>
              <w:pStyle w:val="Bezmezer"/>
              <w:tabs>
                <w:tab w:val="left" w:pos="6360"/>
              </w:tabs>
              <w:spacing w:line="360" w:lineRule="auto"/>
            </w:pPr>
          </w:p>
          <w:p w14:paraId="5055C7DE" w14:textId="70D0DA0F" w:rsidR="00C554CD" w:rsidRPr="005B4170" w:rsidRDefault="00C554CD" w:rsidP="00C554CD">
            <w:pPr>
              <w:pStyle w:val="Bezmezer"/>
              <w:jc w:val="center"/>
              <w:rPr>
                <w:rStyle w:val="Hypertextovodkaz"/>
                <w:rFonts w:ascii="Arial" w:eastAsia="Times New Roman" w:hAnsi="Arial" w:cs="Arial"/>
                <w:b/>
                <w:bCs/>
                <w:color w:val="0F0D29" w:themeColor="text1"/>
                <w:kern w:val="36"/>
                <w:sz w:val="24"/>
                <w:szCs w:val="20"/>
                <w:u w:val="none"/>
                <w:lang w:eastAsia="cs-CZ"/>
              </w:rPr>
            </w:pPr>
            <w:r w:rsidRPr="00C554CD">
              <w:rPr>
                <w:rStyle w:val="Hypertextovodkaz"/>
                <w:rFonts w:ascii="Arial" w:eastAsia="Times New Roman" w:hAnsi="Arial" w:cs="Arial"/>
                <w:b/>
                <w:bCs/>
                <w:color w:val="0F0D29" w:themeColor="text1"/>
                <w:kern w:val="36"/>
                <w:sz w:val="24"/>
                <w:szCs w:val="20"/>
                <w:u w:val="none"/>
                <w:lang w:eastAsia="cs-CZ"/>
              </w:rPr>
              <w:t>Návrh zákona, kterým se mění zákon č. 262/2006 Sb., zákoník práce</w:t>
            </w:r>
            <w:r w:rsidR="00000000">
              <w:rPr>
                <w:rStyle w:val="Hypertextovodkaz"/>
                <w:rFonts w:ascii="Arial" w:eastAsia="Times New Roman" w:hAnsi="Arial" w:cs="Arial"/>
                <w:b/>
                <w:bCs/>
                <w:color w:val="0F0D29" w:themeColor="text1"/>
                <w:kern w:val="36"/>
                <w:sz w:val="24"/>
                <w:szCs w:val="24"/>
                <w:u w:val="none"/>
                <w:lang w:eastAsia="cs-CZ"/>
              </w:rPr>
              <w:pict w14:anchorId="2168E63F">
                <v:rect id="_x0000_i1041" style="width:0;height:1.5pt" o:hralign="center" o:hrstd="t" o:hr="t" fillcolor="#a0a0a0" stroked="f"/>
              </w:pict>
            </w:r>
          </w:p>
          <w:p w14:paraId="05E16658" w14:textId="7BACAE6A" w:rsidR="00C554CD" w:rsidRDefault="00C554CD" w:rsidP="00C554CD">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Pr="00C554CD">
              <w:rPr>
                <w:rStyle w:val="Hypertextovodkaz"/>
                <w:rFonts w:ascii="Arial" w:hAnsi="Arial" w:cs="Arial"/>
                <w:color w:val="auto"/>
                <w:sz w:val="20"/>
                <w:szCs w:val="20"/>
                <w:u w:val="none"/>
                <w:lang w:eastAsia="cs-CZ"/>
              </w:rPr>
              <w:t>KORNCSJE29X0</w:t>
            </w:r>
            <w:r>
              <w:rPr>
                <w:rStyle w:val="Hypertextovodkaz"/>
                <w:rFonts w:ascii="Arial" w:hAnsi="Arial" w:cs="Arial"/>
                <w:color w:val="auto"/>
                <w:sz w:val="20"/>
                <w:szCs w:val="20"/>
                <w:u w:val="none"/>
                <w:lang w:eastAsia="cs-CZ"/>
              </w:rPr>
              <w:t xml:space="preserve"> </w:t>
            </w:r>
          </w:p>
          <w:p w14:paraId="331FF784" w14:textId="77777777" w:rsidR="00C554CD" w:rsidRDefault="00C554CD" w:rsidP="00C554CD">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Mezirezortní připomínkové řízení ukončeno</w:t>
            </w:r>
          </w:p>
          <w:p w14:paraId="6C67499C" w14:textId="77777777" w:rsidR="00C554CD" w:rsidRPr="004405C5" w:rsidRDefault="00C554CD" w:rsidP="00C554CD">
            <w:pPr>
              <w:pStyle w:val="Bezmezer"/>
              <w:jc w:val="right"/>
              <w:rPr>
                <w:rStyle w:val="Hypertextovodkaz"/>
                <w:rFonts w:ascii="Arial" w:hAnsi="Arial" w:cs="Arial"/>
                <w:color w:val="auto"/>
                <w:sz w:val="20"/>
                <w:szCs w:val="20"/>
                <w:u w:val="none"/>
                <w:lang w:eastAsia="cs-CZ"/>
              </w:rPr>
            </w:pPr>
          </w:p>
          <w:p w14:paraId="517FCA86" w14:textId="77777777" w:rsidR="00C554CD" w:rsidRPr="004405C5" w:rsidRDefault="00C554CD" w:rsidP="00C554CD">
            <w:pPr>
              <w:pStyle w:val="Bezmezer"/>
              <w:jc w:val="right"/>
              <w:rPr>
                <w:rStyle w:val="Hypertextovodkaz"/>
                <w:rFonts w:ascii="Arial" w:hAnsi="Arial" w:cs="Arial"/>
                <w:color w:val="auto"/>
                <w:sz w:val="20"/>
                <w:szCs w:val="20"/>
                <w:u w:val="none"/>
                <w:lang w:eastAsia="cs-CZ"/>
              </w:rPr>
            </w:pPr>
          </w:p>
          <w:p w14:paraId="67B72F65" w14:textId="3A15B9BA" w:rsidR="00C554CD" w:rsidRDefault="00C554CD" w:rsidP="00C554CD">
            <w:pPr>
              <w:pStyle w:val="Bezmezer"/>
              <w:spacing w:line="360" w:lineRule="auto"/>
              <w:jc w:val="both"/>
              <w:rPr>
                <w:rStyle w:val="Hypertextovodkaz"/>
                <w:rFonts w:ascii="Arial" w:hAnsi="Arial" w:cs="Arial"/>
                <w:color w:val="auto"/>
                <w:sz w:val="20"/>
                <w:szCs w:val="20"/>
                <w:u w:val="none"/>
                <w:lang w:eastAsia="cs-CZ"/>
              </w:rPr>
            </w:pPr>
            <w:r w:rsidRPr="00C554CD">
              <w:rPr>
                <w:rStyle w:val="Hypertextovodkaz"/>
                <w:rFonts w:ascii="Arial" w:hAnsi="Arial" w:cs="Arial"/>
                <w:color w:val="auto"/>
                <w:sz w:val="20"/>
                <w:szCs w:val="20"/>
                <w:u w:val="none"/>
                <w:lang w:eastAsia="cs-CZ"/>
              </w:rPr>
              <w:t>Návrh zákona byl připraven v souladu s Plánem legislativních prací vlády na rok 2023 a provádí transpozici čl. 12 směrnice Evropského parlamentu a Rady 2014/67/EU ze dne 15. května 2014 o prosazování směrnice 96/71/ES o vysílání pracovníků v rámci poskytování služeb a o změně nařízení (EU) č. 1024/2012 o správní spolupráci prostřednictvím systému pro výměnu informací o vnitřním trhu.</w:t>
            </w:r>
          </w:p>
          <w:p w14:paraId="6E82E557" w14:textId="77777777" w:rsidR="00C554CD" w:rsidRDefault="00C554CD" w:rsidP="00C554CD">
            <w:pPr>
              <w:pStyle w:val="Bezmezer"/>
              <w:spacing w:line="360" w:lineRule="auto"/>
              <w:jc w:val="both"/>
              <w:rPr>
                <w:rStyle w:val="Hypertextovodkaz"/>
                <w:rFonts w:ascii="Arial" w:hAnsi="Arial" w:cs="Arial"/>
                <w:color w:val="auto"/>
                <w:sz w:val="20"/>
                <w:szCs w:val="20"/>
                <w:u w:val="none"/>
                <w:lang w:eastAsia="cs-CZ"/>
              </w:rPr>
            </w:pPr>
          </w:p>
          <w:p w14:paraId="79A232BE" w14:textId="334CC293" w:rsidR="00C554CD" w:rsidRPr="005078C0" w:rsidRDefault="00C554CD" w:rsidP="00C554C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Úkol:</w:t>
            </w:r>
            <w:r>
              <w:rPr>
                <w:rStyle w:val="Hypertextovodkaz"/>
                <w:rFonts w:ascii="Arial" w:eastAsia="Times New Roman" w:hAnsi="Arial" w:cs="Arial"/>
                <w:b/>
                <w:bCs/>
                <w:i/>
                <w:color w:val="0F0D29" w:themeColor="text1"/>
                <w:kern w:val="36"/>
                <w:sz w:val="20"/>
                <w:szCs w:val="20"/>
                <w:u w:val="none"/>
                <w:lang w:eastAsia="cs-CZ"/>
              </w:rPr>
              <w:t xml:space="preserve"> </w:t>
            </w:r>
            <w:r w:rsidR="00EA4921">
              <w:rPr>
                <w:rStyle w:val="Hypertextovodkaz"/>
                <w:rFonts w:ascii="Arial" w:eastAsia="Times New Roman" w:hAnsi="Arial" w:cs="Arial"/>
                <w:i/>
                <w:color w:val="0F0D29" w:themeColor="text1"/>
                <w:kern w:val="36"/>
                <w:sz w:val="20"/>
                <w:szCs w:val="20"/>
                <w:u w:val="none"/>
                <w:lang w:eastAsia="cs-CZ"/>
              </w:rPr>
              <w:t xml:space="preserve">OŘLZ v kooperaci s </w:t>
            </w:r>
            <w:r>
              <w:rPr>
                <w:rStyle w:val="Hypertextovodkaz"/>
                <w:rFonts w:ascii="Arial" w:eastAsia="Times New Roman" w:hAnsi="Arial" w:cs="Arial"/>
                <w:bCs/>
                <w:i/>
                <w:color w:val="0F0D29" w:themeColor="text1"/>
                <w:kern w:val="36"/>
                <w:sz w:val="20"/>
                <w:szCs w:val="20"/>
                <w:u w:val="none"/>
                <w:lang w:eastAsia="cs-CZ"/>
              </w:rPr>
              <w:t xml:space="preserve">OPS </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5E81A94B" w14:textId="77777777" w:rsidR="00C554CD" w:rsidRPr="005078C0" w:rsidRDefault="00C554CD" w:rsidP="00C554C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F488F45" w14:textId="68B11EE2" w:rsidR="00C554CD" w:rsidRPr="00C554CD" w:rsidRDefault="00C554CD" w:rsidP="00C554CD">
            <w:pPr>
              <w:pStyle w:val="Bezmezer"/>
              <w:shd w:val="clear" w:color="auto" w:fill="D9D9D9" w:themeFill="background1" w:themeFillShade="D9"/>
              <w:spacing w:line="276" w:lineRule="auto"/>
              <w:rPr>
                <w:rStyle w:val="Hypertextovodkaz"/>
                <w:rFonts w:ascii="Arial" w:eastAsia="Times New Roman" w:hAnsi="Arial" w:cs="Arial"/>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EA4921">
              <w:rPr>
                <w:rStyle w:val="Hypertextovodkaz"/>
                <w:rFonts w:ascii="Arial" w:eastAsia="Times New Roman" w:hAnsi="Arial" w:cs="Arial"/>
                <w:i/>
                <w:color w:val="0F0D29" w:themeColor="text1"/>
                <w:kern w:val="36"/>
                <w:sz w:val="20"/>
                <w:szCs w:val="20"/>
                <w:u w:val="none"/>
                <w:lang w:eastAsia="cs-CZ"/>
              </w:rPr>
              <w:t xml:space="preserve">OŘLZ – Mgr. Šárka Šolcová,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31.10.2023</w:t>
            </w:r>
          </w:p>
          <w:p w14:paraId="0C96A811" w14:textId="0ABA422F" w:rsidR="006402B1" w:rsidRDefault="006402B1" w:rsidP="00932F08">
            <w:pPr>
              <w:pStyle w:val="Bezmezer"/>
              <w:tabs>
                <w:tab w:val="left" w:pos="6360"/>
              </w:tabs>
              <w:spacing w:line="360" w:lineRule="auto"/>
            </w:pPr>
          </w:p>
          <w:p w14:paraId="6F654E61" w14:textId="06FF8847" w:rsidR="004C50C3" w:rsidRPr="005B4170" w:rsidRDefault="004C50C3" w:rsidP="004C50C3">
            <w:pPr>
              <w:pStyle w:val="Bezmezer"/>
              <w:jc w:val="center"/>
              <w:rPr>
                <w:rStyle w:val="Hypertextovodkaz"/>
                <w:rFonts w:ascii="Arial" w:eastAsia="Times New Roman" w:hAnsi="Arial" w:cs="Arial"/>
                <w:b/>
                <w:bCs/>
                <w:color w:val="0F0D29" w:themeColor="text1"/>
                <w:kern w:val="36"/>
                <w:sz w:val="24"/>
                <w:szCs w:val="20"/>
                <w:u w:val="none"/>
                <w:lang w:eastAsia="cs-CZ"/>
              </w:rPr>
            </w:pPr>
            <w:r w:rsidRPr="004C50C3">
              <w:rPr>
                <w:rStyle w:val="Hypertextovodkaz"/>
                <w:rFonts w:ascii="Arial" w:eastAsia="Times New Roman" w:hAnsi="Arial" w:cs="Arial"/>
                <w:b/>
                <w:bCs/>
                <w:color w:val="0F0D29" w:themeColor="text1"/>
                <w:kern w:val="36"/>
                <w:sz w:val="24"/>
                <w:szCs w:val="20"/>
                <w:u w:val="none"/>
                <w:lang w:eastAsia="cs-CZ"/>
              </w:rPr>
              <w:t>Návrh nařízení vlády, kterým se mění nařízení vlády č. 361/2007 Sb., kterým se stanoví podmínky ochrany zdraví při práci, ve znění pozdějších předpisů</w:t>
            </w:r>
            <w:r w:rsidR="00000000">
              <w:rPr>
                <w:rStyle w:val="Hypertextovodkaz"/>
                <w:rFonts w:ascii="Arial" w:eastAsia="Times New Roman" w:hAnsi="Arial" w:cs="Arial"/>
                <w:b/>
                <w:bCs/>
                <w:color w:val="0F0D29" w:themeColor="text1"/>
                <w:kern w:val="36"/>
                <w:sz w:val="24"/>
                <w:szCs w:val="24"/>
                <w:u w:val="none"/>
                <w:lang w:eastAsia="cs-CZ"/>
              </w:rPr>
              <w:pict w14:anchorId="77255CC8">
                <v:rect id="_x0000_i1042" style="width:0;height:1.5pt" o:hralign="center" o:hrstd="t" o:hr="t" fillcolor="#a0a0a0" stroked="f"/>
              </w:pict>
            </w:r>
          </w:p>
          <w:p w14:paraId="1C7CC478" w14:textId="6B69B130" w:rsidR="004C50C3" w:rsidRDefault="004C50C3" w:rsidP="004C50C3">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Pr="004C50C3">
              <w:rPr>
                <w:rStyle w:val="Hypertextovodkaz"/>
                <w:rFonts w:ascii="Arial" w:hAnsi="Arial" w:cs="Arial"/>
                <w:color w:val="auto"/>
                <w:sz w:val="20"/>
                <w:szCs w:val="20"/>
                <w:u w:val="none"/>
                <w:lang w:eastAsia="cs-CZ"/>
              </w:rPr>
              <w:t>KORNCSSBM930</w:t>
            </w:r>
            <w:r>
              <w:rPr>
                <w:rStyle w:val="Hypertextovodkaz"/>
                <w:rFonts w:ascii="Arial" w:hAnsi="Arial" w:cs="Arial"/>
                <w:color w:val="auto"/>
                <w:sz w:val="20"/>
                <w:szCs w:val="20"/>
                <w:u w:val="none"/>
                <w:lang w:eastAsia="cs-CZ"/>
              </w:rPr>
              <w:t xml:space="preserve">  </w:t>
            </w:r>
          </w:p>
          <w:p w14:paraId="7989F25A" w14:textId="77777777" w:rsidR="004C50C3" w:rsidRDefault="004C50C3" w:rsidP="004C50C3">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Mezirezortní připomínkové řízení ukončeno</w:t>
            </w:r>
          </w:p>
          <w:p w14:paraId="3C2360D4" w14:textId="77777777" w:rsidR="004C50C3" w:rsidRPr="004405C5" w:rsidRDefault="004C50C3" w:rsidP="004C50C3">
            <w:pPr>
              <w:pStyle w:val="Bezmezer"/>
              <w:jc w:val="right"/>
              <w:rPr>
                <w:rStyle w:val="Hypertextovodkaz"/>
                <w:rFonts w:ascii="Arial" w:hAnsi="Arial" w:cs="Arial"/>
                <w:color w:val="auto"/>
                <w:sz w:val="20"/>
                <w:szCs w:val="20"/>
                <w:u w:val="none"/>
                <w:lang w:eastAsia="cs-CZ"/>
              </w:rPr>
            </w:pPr>
          </w:p>
          <w:p w14:paraId="344681DA" w14:textId="77777777" w:rsidR="004C50C3" w:rsidRPr="004405C5" w:rsidRDefault="004C50C3" w:rsidP="004C50C3">
            <w:pPr>
              <w:pStyle w:val="Bezmezer"/>
              <w:jc w:val="right"/>
              <w:rPr>
                <w:rStyle w:val="Hypertextovodkaz"/>
                <w:rFonts w:ascii="Arial" w:hAnsi="Arial" w:cs="Arial"/>
                <w:color w:val="auto"/>
                <w:sz w:val="20"/>
                <w:szCs w:val="20"/>
                <w:u w:val="none"/>
                <w:lang w:eastAsia="cs-CZ"/>
              </w:rPr>
            </w:pPr>
          </w:p>
          <w:p w14:paraId="143B6174" w14:textId="2CFA3670" w:rsidR="004C50C3" w:rsidRDefault="004C50C3" w:rsidP="004C50C3">
            <w:pPr>
              <w:pStyle w:val="Bezmezer"/>
              <w:spacing w:line="360" w:lineRule="auto"/>
              <w:jc w:val="both"/>
              <w:rPr>
                <w:rStyle w:val="Hypertextovodkaz"/>
                <w:rFonts w:ascii="Arial" w:hAnsi="Arial" w:cs="Arial"/>
                <w:color w:val="auto"/>
                <w:sz w:val="20"/>
                <w:szCs w:val="20"/>
                <w:u w:val="none"/>
                <w:lang w:eastAsia="cs-CZ"/>
              </w:rPr>
            </w:pPr>
            <w:r w:rsidRPr="004C50C3">
              <w:rPr>
                <w:rStyle w:val="Hypertextovodkaz"/>
                <w:rFonts w:ascii="Arial" w:hAnsi="Arial" w:cs="Arial"/>
                <w:color w:val="auto"/>
                <w:sz w:val="20"/>
                <w:szCs w:val="20"/>
                <w:u w:val="none"/>
                <w:lang w:eastAsia="cs-CZ"/>
              </w:rPr>
              <w:t xml:space="preserve">Důvodem předložení novely nařízení vlády je transpozice směrnice Evropského parlamentu a Rady (EU) 2022/431, kterou se mění směrnice 2004/37/ES o ochraně zaměstnanců před riziky spojenými s expozicí karcinogenům nebo mutagenům při práci. Dalším důvodem předložení novely nařízení vlády (ve vztahu k EU Pilot 9918 a EU PILOT 10178/2022) je doplnění jednotek </w:t>
            </w:r>
            <w:proofErr w:type="spellStart"/>
            <w:r w:rsidRPr="004C50C3">
              <w:rPr>
                <w:rStyle w:val="Hypertextovodkaz"/>
                <w:rFonts w:ascii="Arial" w:hAnsi="Arial" w:cs="Arial"/>
                <w:color w:val="auto"/>
                <w:sz w:val="20"/>
                <w:szCs w:val="20"/>
                <w:u w:val="none"/>
                <w:lang w:eastAsia="cs-CZ"/>
              </w:rPr>
              <w:t>ppm</w:t>
            </w:r>
            <w:proofErr w:type="spellEnd"/>
            <w:r w:rsidRPr="004C50C3">
              <w:rPr>
                <w:rStyle w:val="Hypertextovodkaz"/>
                <w:rFonts w:ascii="Arial" w:hAnsi="Arial" w:cs="Arial"/>
                <w:color w:val="auto"/>
                <w:sz w:val="20"/>
                <w:szCs w:val="20"/>
                <w:u w:val="none"/>
                <w:lang w:eastAsia="cs-CZ"/>
              </w:rPr>
              <w:t xml:space="preserve"> (</w:t>
            </w:r>
            <w:proofErr w:type="spellStart"/>
            <w:r w:rsidRPr="004C50C3">
              <w:rPr>
                <w:rStyle w:val="Hypertextovodkaz"/>
                <w:rFonts w:ascii="Arial" w:hAnsi="Arial" w:cs="Arial"/>
                <w:color w:val="auto"/>
                <w:sz w:val="20"/>
                <w:szCs w:val="20"/>
                <w:u w:val="none"/>
                <w:lang w:eastAsia="cs-CZ"/>
              </w:rPr>
              <w:t>parts</w:t>
            </w:r>
            <w:proofErr w:type="spellEnd"/>
            <w:r w:rsidRPr="004C50C3">
              <w:rPr>
                <w:rStyle w:val="Hypertextovodkaz"/>
                <w:rFonts w:ascii="Arial" w:hAnsi="Arial" w:cs="Arial"/>
                <w:color w:val="auto"/>
                <w:sz w:val="20"/>
                <w:szCs w:val="20"/>
                <w:u w:val="none"/>
                <w:lang w:eastAsia="cs-CZ"/>
              </w:rPr>
              <w:t xml:space="preserve"> per </w:t>
            </w:r>
            <w:proofErr w:type="spellStart"/>
            <w:r w:rsidRPr="004C50C3">
              <w:rPr>
                <w:rStyle w:val="Hypertextovodkaz"/>
                <w:rFonts w:ascii="Arial" w:hAnsi="Arial" w:cs="Arial"/>
                <w:color w:val="auto"/>
                <w:sz w:val="20"/>
                <w:szCs w:val="20"/>
                <w:u w:val="none"/>
                <w:lang w:eastAsia="cs-CZ"/>
              </w:rPr>
              <w:t>million</w:t>
            </w:r>
            <w:proofErr w:type="spellEnd"/>
            <w:r w:rsidRPr="004C50C3">
              <w:rPr>
                <w:rStyle w:val="Hypertextovodkaz"/>
                <w:rFonts w:ascii="Arial" w:hAnsi="Arial" w:cs="Arial"/>
                <w:color w:val="auto"/>
                <w:sz w:val="20"/>
                <w:szCs w:val="20"/>
                <w:u w:val="none"/>
                <w:lang w:eastAsia="cs-CZ"/>
              </w:rPr>
              <w:t xml:space="preserve"> – objemový poměr v ml na m3 vzduchu (ml/m3) u chemických činitelů stanovených v příloze č. 2 části A. Dále dochází k upřesněním textu a legislativně-technickým úpravám.</w:t>
            </w:r>
          </w:p>
          <w:p w14:paraId="451655FD" w14:textId="2797AE1D" w:rsidR="004C50C3" w:rsidRPr="005078C0" w:rsidRDefault="004C50C3" w:rsidP="004C50C3">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Úkol:</w:t>
            </w:r>
            <w:r>
              <w:rPr>
                <w:rStyle w:val="Hypertextovodkaz"/>
                <w:rFonts w:ascii="Arial" w:eastAsia="Times New Roman" w:hAnsi="Arial" w:cs="Arial"/>
                <w:b/>
                <w:bCs/>
                <w:i/>
                <w:color w:val="0F0D29" w:themeColor="text1"/>
                <w:kern w:val="36"/>
                <w:sz w:val="20"/>
                <w:szCs w:val="20"/>
                <w:u w:val="none"/>
                <w:lang w:eastAsia="cs-CZ"/>
              </w:rPr>
              <w:t xml:space="preserve"> </w:t>
            </w:r>
            <w:r>
              <w:rPr>
                <w:rStyle w:val="Hypertextovodkaz"/>
                <w:rFonts w:ascii="Arial" w:eastAsia="Times New Roman" w:hAnsi="Arial" w:cs="Arial"/>
                <w:bCs/>
                <w:i/>
                <w:color w:val="0F0D29" w:themeColor="text1"/>
                <w:kern w:val="36"/>
                <w:sz w:val="20"/>
                <w:szCs w:val="20"/>
                <w:u w:val="none"/>
                <w:lang w:eastAsia="cs-CZ"/>
              </w:rPr>
              <w:t>OHSE</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04EDA341" w14:textId="77777777" w:rsidR="004C50C3" w:rsidRPr="005078C0" w:rsidRDefault="004C50C3" w:rsidP="004C50C3">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B9CAE03" w14:textId="16921675" w:rsidR="004C50C3" w:rsidRPr="00C554CD" w:rsidRDefault="004C50C3" w:rsidP="004C50C3">
            <w:pPr>
              <w:pStyle w:val="Bezmezer"/>
              <w:shd w:val="clear" w:color="auto" w:fill="D9D9D9" w:themeFill="background1" w:themeFillShade="D9"/>
              <w:spacing w:line="276" w:lineRule="auto"/>
              <w:rPr>
                <w:rStyle w:val="Hypertextovodkaz"/>
                <w:rFonts w:ascii="Arial" w:eastAsia="Times New Roman" w:hAnsi="Arial" w:cs="Arial"/>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OHSE – Ing. Zdeněk Stejskal</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31.8.2023</w:t>
            </w:r>
          </w:p>
          <w:p w14:paraId="2689CCC8" w14:textId="0F81E7FB" w:rsidR="006402B1" w:rsidRDefault="006402B1" w:rsidP="00932F08">
            <w:pPr>
              <w:pStyle w:val="Bezmezer"/>
              <w:tabs>
                <w:tab w:val="left" w:pos="6360"/>
              </w:tabs>
              <w:spacing w:line="360" w:lineRule="auto"/>
            </w:pPr>
          </w:p>
          <w:p w14:paraId="39FF2990" w14:textId="675237A5" w:rsidR="009C4D72" w:rsidRPr="005B4170" w:rsidRDefault="009C4D72" w:rsidP="009C4D72">
            <w:pPr>
              <w:pStyle w:val="Bezmezer"/>
              <w:jc w:val="center"/>
              <w:rPr>
                <w:rStyle w:val="Hypertextovodkaz"/>
                <w:rFonts w:ascii="Arial" w:eastAsia="Times New Roman" w:hAnsi="Arial" w:cs="Arial"/>
                <w:b/>
                <w:bCs/>
                <w:color w:val="0F0D29" w:themeColor="text1"/>
                <w:kern w:val="36"/>
                <w:sz w:val="24"/>
                <w:szCs w:val="20"/>
                <w:u w:val="none"/>
                <w:lang w:eastAsia="cs-CZ"/>
              </w:rPr>
            </w:pPr>
            <w:r w:rsidRPr="009C4D72">
              <w:rPr>
                <w:rStyle w:val="Hypertextovodkaz"/>
                <w:rFonts w:ascii="Arial" w:eastAsia="Times New Roman" w:hAnsi="Arial" w:cs="Arial"/>
                <w:b/>
                <w:bCs/>
                <w:color w:val="0F0D29" w:themeColor="text1"/>
                <w:kern w:val="36"/>
                <w:sz w:val="24"/>
                <w:szCs w:val="20"/>
                <w:u w:val="none"/>
                <w:lang w:eastAsia="cs-CZ"/>
              </w:rPr>
              <w:t>Návrh vyhlášky o požadavcích na výstavbu</w:t>
            </w:r>
            <w:r w:rsidR="00000000">
              <w:rPr>
                <w:rStyle w:val="Hypertextovodkaz"/>
                <w:rFonts w:ascii="Arial" w:eastAsia="Times New Roman" w:hAnsi="Arial" w:cs="Arial"/>
                <w:b/>
                <w:bCs/>
                <w:color w:val="0F0D29" w:themeColor="text1"/>
                <w:kern w:val="36"/>
                <w:sz w:val="24"/>
                <w:szCs w:val="24"/>
                <w:u w:val="none"/>
                <w:lang w:eastAsia="cs-CZ"/>
              </w:rPr>
              <w:pict w14:anchorId="2511E15B">
                <v:rect id="_x0000_i1043" style="width:0;height:1.5pt" o:hralign="center" o:hrstd="t" o:hr="t" fillcolor="#a0a0a0" stroked="f"/>
              </w:pict>
            </w:r>
          </w:p>
          <w:p w14:paraId="0CEA5A6C" w14:textId="6AB40A5C" w:rsidR="009C4D72" w:rsidRDefault="009C4D72" w:rsidP="009C4D72">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Pr="009C4D72">
              <w:rPr>
                <w:rStyle w:val="Hypertextovodkaz"/>
                <w:rFonts w:ascii="Arial" w:hAnsi="Arial" w:cs="Arial"/>
                <w:color w:val="auto"/>
                <w:sz w:val="20"/>
                <w:szCs w:val="20"/>
                <w:u w:val="none"/>
                <w:lang w:eastAsia="cs-CZ"/>
              </w:rPr>
              <w:t>KORNCT3JM6I5</w:t>
            </w:r>
            <w:r>
              <w:rPr>
                <w:rStyle w:val="Hypertextovodkaz"/>
                <w:rFonts w:ascii="Arial" w:hAnsi="Arial" w:cs="Arial"/>
                <w:color w:val="auto"/>
                <w:sz w:val="20"/>
                <w:szCs w:val="20"/>
                <w:u w:val="none"/>
                <w:lang w:eastAsia="cs-CZ"/>
              </w:rPr>
              <w:t xml:space="preserve">  </w:t>
            </w:r>
          </w:p>
          <w:p w14:paraId="159BA44C" w14:textId="39B1A754" w:rsidR="009C4D72" w:rsidRDefault="009C4D72" w:rsidP="009C4D72">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V mezirezortním připomínkovém řízení </w:t>
            </w:r>
          </w:p>
          <w:p w14:paraId="0EFAC0E4" w14:textId="77777777" w:rsidR="009C4D72" w:rsidRPr="004405C5" w:rsidRDefault="009C4D72" w:rsidP="009C4D72">
            <w:pPr>
              <w:pStyle w:val="Bezmezer"/>
              <w:jc w:val="right"/>
              <w:rPr>
                <w:rStyle w:val="Hypertextovodkaz"/>
                <w:rFonts w:ascii="Arial" w:hAnsi="Arial" w:cs="Arial"/>
                <w:color w:val="auto"/>
                <w:sz w:val="20"/>
                <w:szCs w:val="20"/>
                <w:u w:val="none"/>
                <w:lang w:eastAsia="cs-CZ"/>
              </w:rPr>
            </w:pPr>
          </w:p>
          <w:p w14:paraId="44C6B708" w14:textId="77777777" w:rsidR="009C4D72" w:rsidRPr="004405C5" w:rsidRDefault="009C4D72" w:rsidP="009C4D72">
            <w:pPr>
              <w:pStyle w:val="Bezmezer"/>
              <w:jc w:val="right"/>
              <w:rPr>
                <w:rStyle w:val="Hypertextovodkaz"/>
                <w:rFonts w:ascii="Arial" w:hAnsi="Arial" w:cs="Arial"/>
                <w:color w:val="auto"/>
                <w:sz w:val="20"/>
                <w:szCs w:val="20"/>
                <w:u w:val="none"/>
                <w:lang w:eastAsia="cs-CZ"/>
              </w:rPr>
            </w:pPr>
          </w:p>
          <w:p w14:paraId="6387127B" w14:textId="04DCC019" w:rsidR="009C4D72" w:rsidRDefault="009C4D72" w:rsidP="009C4D72">
            <w:pPr>
              <w:pStyle w:val="Bezmezer"/>
              <w:spacing w:line="360" w:lineRule="auto"/>
              <w:jc w:val="both"/>
              <w:rPr>
                <w:rStyle w:val="Hypertextovodkaz"/>
                <w:rFonts w:ascii="Arial" w:hAnsi="Arial" w:cs="Arial"/>
                <w:color w:val="auto"/>
                <w:sz w:val="20"/>
                <w:szCs w:val="20"/>
                <w:u w:val="none"/>
                <w:lang w:eastAsia="cs-CZ"/>
              </w:rPr>
            </w:pPr>
            <w:r w:rsidRPr="009C4D72">
              <w:rPr>
                <w:rStyle w:val="Hypertextovodkaz"/>
                <w:rFonts w:ascii="Arial" w:hAnsi="Arial" w:cs="Arial"/>
                <w:color w:val="auto"/>
                <w:sz w:val="20"/>
                <w:szCs w:val="20"/>
                <w:u w:val="none"/>
                <w:lang w:eastAsia="cs-CZ"/>
              </w:rPr>
              <w:t>K přípravě návrhu této vyhlášky bylo přistoupeno v souvislosti se schváleným zákonem č. 283/2021 Sb., stavební zákon, ve znění pozdějších předpisů (dále jen „stavební zákon“), a zákonem č. 284/2021 Sb., kterým se mění některé zákony v souvislosti s přijetím stavebního zákona, ve znění pozdějších předpisů.</w:t>
            </w:r>
          </w:p>
          <w:p w14:paraId="23C23A94" w14:textId="77777777" w:rsidR="009C4D72" w:rsidRPr="009C4D72" w:rsidRDefault="009C4D72" w:rsidP="009C4D72">
            <w:pPr>
              <w:pStyle w:val="Bezmezer"/>
              <w:spacing w:line="360" w:lineRule="auto"/>
              <w:jc w:val="both"/>
              <w:rPr>
                <w:rStyle w:val="Hypertextovodkaz"/>
                <w:rFonts w:ascii="Arial" w:hAnsi="Arial" w:cs="Arial"/>
                <w:color w:val="auto"/>
                <w:sz w:val="20"/>
                <w:szCs w:val="20"/>
                <w:u w:val="none"/>
                <w:lang w:eastAsia="cs-CZ"/>
              </w:rPr>
            </w:pPr>
          </w:p>
          <w:p w14:paraId="4FDCD418" w14:textId="77777777" w:rsidR="009C4D72" w:rsidRPr="009C4D72" w:rsidRDefault="009C4D72" w:rsidP="009C4D72">
            <w:pPr>
              <w:pStyle w:val="Bezmezer"/>
              <w:spacing w:line="360" w:lineRule="auto"/>
              <w:jc w:val="both"/>
              <w:rPr>
                <w:rStyle w:val="Hypertextovodkaz"/>
                <w:rFonts w:ascii="Arial" w:hAnsi="Arial" w:cs="Arial"/>
                <w:color w:val="auto"/>
                <w:sz w:val="20"/>
                <w:szCs w:val="20"/>
                <w:u w:val="none"/>
                <w:lang w:eastAsia="cs-CZ"/>
              </w:rPr>
            </w:pPr>
            <w:r w:rsidRPr="009C4D72">
              <w:rPr>
                <w:rStyle w:val="Hypertextovodkaz"/>
                <w:rFonts w:ascii="Arial" w:hAnsi="Arial" w:cs="Arial"/>
                <w:color w:val="auto"/>
                <w:sz w:val="20"/>
                <w:szCs w:val="20"/>
                <w:u w:val="none"/>
                <w:lang w:eastAsia="cs-CZ"/>
              </w:rPr>
              <w:t>Hlavní principy vyhlášky o požadavcích na výstavbu lze stručně charakterizovat následovně:</w:t>
            </w:r>
          </w:p>
          <w:p w14:paraId="65C18DA2" w14:textId="77777777" w:rsidR="009C4D72" w:rsidRPr="009C4D72" w:rsidRDefault="009C4D72" w:rsidP="009C4D72">
            <w:pPr>
              <w:pStyle w:val="Bezmezer"/>
              <w:spacing w:line="360" w:lineRule="auto"/>
              <w:jc w:val="both"/>
              <w:rPr>
                <w:rStyle w:val="Hypertextovodkaz"/>
                <w:rFonts w:ascii="Arial" w:hAnsi="Arial" w:cs="Arial"/>
                <w:color w:val="auto"/>
                <w:sz w:val="20"/>
                <w:szCs w:val="20"/>
                <w:u w:val="none"/>
                <w:lang w:eastAsia="cs-CZ"/>
              </w:rPr>
            </w:pPr>
            <w:r w:rsidRPr="009C4D72">
              <w:rPr>
                <w:rStyle w:val="Hypertextovodkaz"/>
                <w:rFonts w:ascii="Arial" w:hAnsi="Arial" w:cs="Arial"/>
                <w:color w:val="auto"/>
                <w:sz w:val="20"/>
                <w:szCs w:val="20"/>
                <w:u w:val="none"/>
                <w:lang w:eastAsia="cs-CZ"/>
              </w:rPr>
              <w:t>-</w:t>
            </w:r>
            <w:r w:rsidRPr="009C4D72">
              <w:rPr>
                <w:rStyle w:val="Hypertextovodkaz"/>
                <w:rFonts w:ascii="Arial" w:hAnsi="Arial" w:cs="Arial"/>
                <w:color w:val="auto"/>
                <w:sz w:val="20"/>
                <w:szCs w:val="20"/>
                <w:u w:val="none"/>
                <w:lang w:eastAsia="cs-CZ"/>
              </w:rPr>
              <w:tab/>
              <w:t xml:space="preserve">maximálně komplexní řešení problematiky požadavků na výstavbu pro celé území České republiky, </w:t>
            </w:r>
          </w:p>
          <w:p w14:paraId="4D6375CA" w14:textId="77777777" w:rsidR="009C4D72" w:rsidRPr="009C4D72" w:rsidRDefault="009C4D72" w:rsidP="009C4D72">
            <w:pPr>
              <w:pStyle w:val="Bezmezer"/>
              <w:spacing w:line="360" w:lineRule="auto"/>
              <w:jc w:val="both"/>
              <w:rPr>
                <w:rStyle w:val="Hypertextovodkaz"/>
                <w:rFonts w:ascii="Arial" w:hAnsi="Arial" w:cs="Arial"/>
                <w:color w:val="auto"/>
                <w:sz w:val="20"/>
                <w:szCs w:val="20"/>
                <w:u w:val="none"/>
                <w:lang w:eastAsia="cs-CZ"/>
              </w:rPr>
            </w:pPr>
            <w:r w:rsidRPr="009C4D72">
              <w:rPr>
                <w:rStyle w:val="Hypertextovodkaz"/>
                <w:rFonts w:ascii="Arial" w:hAnsi="Arial" w:cs="Arial"/>
                <w:color w:val="auto"/>
                <w:sz w:val="20"/>
                <w:szCs w:val="20"/>
                <w:u w:val="none"/>
                <w:lang w:eastAsia="cs-CZ"/>
              </w:rPr>
              <w:lastRenderedPageBreak/>
              <w:t>-</w:t>
            </w:r>
            <w:r w:rsidRPr="009C4D72">
              <w:rPr>
                <w:rStyle w:val="Hypertextovodkaz"/>
                <w:rFonts w:ascii="Arial" w:hAnsi="Arial" w:cs="Arial"/>
                <w:color w:val="auto"/>
                <w:sz w:val="20"/>
                <w:szCs w:val="20"/>
                <w:u w:val="none"/>
                <w:lang w:eastAsia="cs-CZ"/>
              </w:rPr>
              <w:tab/>
              <w:t>ucelenost požadavků na výstavbu v jednom právním předpisu,</w:t>
            </w:r>
          </w:p>
          <w:p w14:paraId="463D871F" w14:textId="77777777" w:rsidR="009C4D72" w:rsidRDefault="009C4D72" w:rsidP="009C4D72">
            <w:pPr>
              <w:pStyle w:val="Bezmezer"/>
              <w:spacing w:line="360" w:lineRule="auto"/>
              <w:jc w:val="both"/>
              <w:rPr>
                <w:rStyle w:val="Hypertextovodkaz"/>
                <w:rFonts w:ascii="Arial" w:hAnsi="Arial" w:cs="Arial"/>
                <w:color w:val="auto"/>
                <w:sz w:val="20"/>
                <w:szCs w:val="20"/>
                <w:u w:val="none"/>
                <w:lang w:eastAsia="cs-CZ"/>
              </w:rPr>
            </w:pPr>
            <w:r w:rsidRPr="009C4D72">
              <w:rPr>
                <w:rStyle w:val="Hypertextovodkaz"/>
                <w:rFonts w:ascii="Arial" w:hAnsi="Arial" w:cs="Arial"/>
                <w:color w:val="auto"/>
                <w:sz w:val="20"/>
                <w:szCs w:val="20"/>
                <w:u w:val="none"/>
                <w:lang w:eastAsia="cs-CZ"/>
              </w:rPr>
              <w:t>-</w:t>
            </w:r>
            <w:r w:rsidRPr="009C4D72">
              <w:rPr>
                <w:rStyle w:val="Hypertextovodkaz"/>
                <w:rFonts w:ascii="Arial" w:hAnsi="Arial" w:cs="Arial"/>
                <w:color w:val="auto"/>
                <w:sz w:val="20"/>
                <w:szCs w:val="20"/>
                <w:u w:val="none"/>
                <w:lang w:eastAsia="cs-CZ"/>
              </w:rPr>
              <w:tab/>
              <w:t>zohlednění přístupnosti staveb pro osoby s omezenou schopností pohybu nebo orientace,</w:t>
            </w:r>
          </w:p>
          <w:p w14:paraId="55D55264" w14:textId="77777777" w:rsidR="009C4D72" w:rsidRDefault="009C4D72" w:rsidP="009C4D72">
            <w:pPr>
              <w:pStyle w:val="Bezmezer"/>
              <w:spacing w:line="360" w:lineRule="auto"/>
              <w:jc w:val="both"/>
              <w:rPr>
                <w:rStyle w:val="Hypertextovodkaz"/>
                <w:rFonts w:ascii="Arial" w:hAnsi="Arial" w:cs="Arial"/>
                <w:color w:val="auto"/>
                <w:sz w:val="20"/>
                <w:szCs w:val="20"/>
                <w:u w:val="none"/>
                <w:lang w:eastAsia="cs-CZ"/>
              </w:rPr>
            </w:pPr>
            <w:r w:rsidRPr="009C4D72">
              <w:rPr>
                <w:rStyle w:val="Hypertextovodkaz"/>
                <w:rFonts w:ascii="Arial" w:hAnsi="Arial" w:cs="Arial"/>
                <w:color w:val="auto"/>
                <w:sz w:val="20"/>
                <w:szCs w:val="20"/>
                <w:u w:val="none"/>
                <w:lang w:eastAsia="cs-CZ"/>
              </w:rPr>
              <w:t>řešení vazeb této vyhlášky na technické normy.</w:t>
            </w:r>
          </w:p>
          <w:p w14:paraId="284B88A7" w14:textId="77777777" w:rsidR="009C4D72" w:rsidRDefault="009C4D72" w:rsidP="009C4D72">
            <w:pPr>
              <w:pStyle w:val="Bezmezer"/>
              <w:spacing w:line="360" w:lineRule="auto"/>
              <w:jc w:val="both"/>
              <w:rPr>
                <w:rStyle w:val="Hypertextovodkaz"/>
                <w:rFonts w:ascii="Arial" w:hAnsi="Arial" w:cs="Arial"/>
                <w:color w:val="auto"/>
                <w:sz w:val="20"/>
                <w:szCs w:val="20"/>
                <w:u w:val="none"/>
                <w:lang w:eastAsia="cs-CZ"/>
              </w:rPr>
            </w:pPr>
          </w:p>
          <w:p w14:paraId="7467675A" w14:textId="57709819" w:rsidR="009C4D72" w:rsidRPr="005078C0" w:rsidRDefault="009C4D72" w:rsidP="009C4D72">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Úkol:</w:t>
            </w:r>
            <w:r>
              <w:rPr>
                <w:rStyle w:val="Hypertextovodkaz"/>
                <w:rFonts w:ascii="Arial" w:eastAsia="Times New Roman" w:hAnsi="Arial" w:cs="Arial"/>
                <w:b/>
                <w:bCs/>
                <w:i/>
                <w:color w:val="0F0D29" w:themeColor="text1"/>
                <w:kern w:val="36"/>
                <w:sz w:val="20"/>
                <w:szCs w:val="20"/>
                <w:u w:val="none"/>
                <w:lang w:eastAsia="cs-CZ"/>
              </w:rPr>
              <w:t xml:space="preserve">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3DF4EFEA" w14:textId="77777777" w:rsidR="009C4D72" w:rsidRPr="005078C0" w:rsidRDefault="009C4D72" w:rsidP="009C4D72">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78A4C689" w14:textId="25844B3E" w:rsidR="009C4D72" w:rsidRPr="00C554CD" w:rsidRDefault="009C4D72" w:rsidP="009C4D72">
            <w:pPr>
              <w:pStyle w:val="Bezmezer"/>
              <w:shd w:val="clear" w:color="auto" w:fill="D9D9D9" w:themeFill="background1" w:themeFillShade="D9"/>
              <w:spacing w:line="276" w:lineRule="auto"/>
              <w:rPr>
                <w:rStyle w:val="Hypertextovodkaz"/>
                <w:rFonts w:ascii="Arial" w:eastAsia="Times New Roman" w:hAnsi="Arial" w:cs="Arial"/>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30.9.2023</w:t>
            </w:r>
          </w:p>
          <w:p w14:paraId="05AD3B10" w14:textId="61BF9519" w:rsidR="006402B1" w:rsidRDefault="006402B1" w:rsidP="00932F08">
            <w:pPr>
              <w:pStyle w:val="Bezmezer"/>
              <w:tabs>
                <w:tab w:val="left" w:pos="6360"/>
              </w:tabs>
              <w:spacing w:line="360" w:lineRule="auto"/>
            </w:pPr>
          </w:p>
          <w:p w14:paraId="47130636" w14:textId="15EE32DF" w:rsidR="003B02AC" w:rsidRPr="005B4170" w:rsidRDefault="003B02AC" w:rsidP="003B02AC">
            <w:pPr>
              <w:pStyle w:val="Bezmezer"/>
              <w:jc w:val="center"/>
              <w:rPr>
                <w:rStyle w:val="Hypertextovodkaz"/>
                <w:rFonts w:ascii="Arial" w:eastAsia="Times New Roman" w:hAnsi="Arial" w:cs="Arial"/>
                <w:b/>
                <w:bCs/>
                <w:color w:val="0F0D29" w:themeColor="text1"/>
                <w:kern w:val="36"/>
                <w:sz w:val="24"/>
                <w:szCs w:val="20"/>
                <w:u w:val="none"/>
                <w:lang w:eastAsia="cs-CZ"/>
              </w:rPr>
            </w:pPr>
            <w:r w:rsidRPr="003B02AC">
              <w:rPr>
                <w:rStyle w:val="Hypertextovodkaz"/>
                <w:rFonts w:ascii="Arial" w:eastAsia="Times New Roman" w:hAnsi="Arial" w:cs="Arial"/>
                <w:b/>
                <w:bCs/>
                <w:color w:val="0F0D29" w:themeColor="text1"/>
                <w:kern w:val="36"/>
                <w:sz w:val="24"/>
                <w:szCs w:val="20"/>
                <w:u w:val="none"/>
                <w:lang w:eastAsia="cs-CZ"/>
              </w:rPr>
              <w:t>Směrnice Evropského parlamentu a Rady 2023/959 ze dne 10. května 2023 (EU ETS)</w:t>
            </w:r>
            <w:r w:rsidR="00000000">
              <w:rPr>
                <w:rStyle w:val="Hypertextovodkaz"/>
                <w:rFonts w:ascii="Arial" w:eastAsia="Times New Roman" w:hAnsi="Arial" w:cs="Arial"/>
                <w:b/>
                <w:bCs/>
                <w:color w:val="0F0D29" w:themeColor="text1"/>
                <w:kern w:val="36"/>
                <w:sz w:val="24"/>
                <w:szCs w:val="24"/>
                <w:u w:val="none"/>
                <w:lang w:eastAsia="cs-CZ"/>
              </w:rPr>
              <w:pict w14:anchorId="184FC3B0">
                <v:rect id="_x0000_i1044" style="width:0;height:1.5pt" o:hralign="center" o:hrstd="t" o:hr="t" fillcolor="#a0a0a0" stroked="f"/>
              </w:pict>
            </w:r>
          </w:p>
          <w:p w14:paraId="27108AB6" w14:textId="77777777" w:rsidR="00DA111A" w:rsidRPr="00DA111A" w:rsidRDefault="00DA111A" w:rsidP="003B02AC">
            <w:pPr>
              <w:pStyle w:val="Bezmezer"/>
              <w:jc w:val="right"/>
              <w:rPr>
                <w:rStyle w:val="Hypertextovodkaz"/>
                <w:rFonts w:ascii="Arial" w:hAnsi="Arial" w:cs="Arial"/>
                <w:color w:val="auto"/>
                <w:sz w:val="20"/>
                <w:szCs w:val="20"/>
                <w:u w:val="none"/>
                <w:lang w:eastAsia="cs-CZ"/>
              </w:rPr>
            </w:pPr>
            <w:proofErr w:type="spellStart"/>
            <w:r w:rsidRPr="00DA111A">
              <w:rPr>
                <w:rStyle w:val="Hypertextovodkaz"/>
                <w:rFonts w:ascii="Arial" w:hAnsi="Arial" w:cs="Arial"/>
                <w:color w:val="auto"/>
                <w:sz w:val="20"/>
                <w:szCs w:val="20"/>
                <w:u w:val="none"/>
                <w:lang w:eastAsia="cs-CZ"/>
              </w:rPr>
              <w:t>Document</w:t>
            </w:r>
            <w:proofErr w:type="spellEnd"/>
            <w:r w:rsidRPr="00DA111A">
              <w:rPr>
                <w:rStyle w:val="Hypertextovodkaz"/>
                <w:rFonts w:ascii="Arial" w:hAnsi="Arial" w:cs="Arial"/>
                <w:color w:val="auto"/>
                <w:sz w:val="20"/>
                <w:szCs w:val="20"/>
                <w:u w:val="none"/>
                <w:lang w:eastAsia="cs-CZ"/>
              </w:rPr>
              <w:t> 32023L0959</w:t>
            </w:r>
          </w:p>
          <w:p w14:paraId="61E05189" w14:textId="2888E6F2" w:rsidR="003B02AC" w:rsidRDefault="00DA111A" w:rsidP="003B02AC">
            <w:pPr>
              <w:pStyle w:val="Bezmezer"/>
              <w:jc w:val="right"/>
              <w:rPr>
                <w:rStyle w:val="Hypertextovodkaz"/>
                <w:rFonts w:ascii="Arial" w:hAnsi="Arial" w:cs="Arial"/>
                <w:color w:val="auto"/>
                <w:sz w:val="20"/>
                <w:szCs w:val="20"/>
                <w:u w:val="none"/>
                <w:lang w:eastAsia="cs-CZ"/>
              </w:rPr>
            </w:pPr>
            <w:r w:rsidRPr="00DA111A">
              <w:rPr>
                <w:rStyle w:val="Hypertextovodkaz"/>
                <w:rFonts w:ascii="Arial" w:hAnsi="Arial" w:cs="Arial"/>
                <w:color w:val="auto"/>
                <w:sz w:val="20"/>
                <w:szCs w:val="20"/>
                <w:u w:val="none"/>
                <w:lang w:eastAsia="cs-CZ"/>
              </w:rPr>
              <w:t>5/2023 uveřejněno schválené znění ve věstníku EU</w:t>
            </w:r>
            <w:r w:rsidR="003B02AC">
              <w:rPr>
                <w:rStyle w:val="Hypertextovodkaz"/>
                <w:rFonts w:ascii="Arial" w:hAnsi="Arial" w:cs="Arial"/>
                <w:color w:val="auto"/>
                <w:sz w:val="20"/>
                <w:szCs w:val="20"/>
                <w:u w:val="none"/>
                <w:lang w:eastAsia="cs-CZ"/>
              </w:rPr>
              <w:t xml:space="preserve"> </w:t>
            </w:r>
          </w:p>
          <w:p w14:paraId="43C84126" w14:textId="77777777" w:rsidR="003B02AC" w:rsidRPr="004405C5" w:rsidRDefault="003B02AC" w:rsidP="003B02AC">
            <w:pPr>
              <w:pStyle w:val="Bezmezer"/>
              <w:jc w:val="right"/>
              <w:rPr>
                <w:rStyle w:val="Hypertextovodkaz"/>
                <w:rFonts w:ascii="Arial" w:hAnsi="Arial" w:cs="Arial"/>
                <w:color w:val="auto"/>
                <w:sz w:val="20"/>
                <w:szCs w:val="20"/>
                <w:u w:val="none"/>
                <w:lang w:eastAsia="cs-CZ"/>
              </w:rPr>
            </w:pPr>
          </w:p>
          <w:p w14:paraId="74782532" w14:textId="77777777" w:rsidR="003B02AC" w:rsidRPr="004405C5" w:rsidRDefault="003B02AC" w:rsidP="003B02AC">
            <w:pPr>
              <w:pStyle w:val="Bezmezer"/>
              <w:jc w:val="right"/>
              <w:rPr>
                <w:rStyle w:val="Hypertextovodkaz"/>
                <w:rFonts w:ascii="Arial" w:hAnsi="Arial" w:cs="Arial"/>
                <w:color w:val="auto"/>
                <w:sz w:val="20"/>
                <w:szCs w:val="20"/>
                <w:u w:val="none"/>
                <w:lang w:eastAsia="cs-CZ"/>
              </w:rPr>
            </w:pPr>
          </w:p>
          <w:p w14:paraId="497C54D7" w14:textId="0821DD69" w:rsidR="00714C98" w:rsidRDefault="00714C98" w:rsidP="00714C98">
            <w:pPr>
              <w:pStyle w:val="Bezmezer"/>
              <w:spacing w:line="360" w:lineRule="auto"/>
              <w:jc w:val="both"/>
              <w:rPr>
                <w:rStyle w:val="Hypertextovodkaz"/>
                <w:rFonts w:ascii="Arial" w:hAnsi="Arial" w:cs="Arial"/>
                <w:color w:val="auto"/>
                <w:sz w:val="20"/>
                <w:szCs w:val="20"/>
                <w:u w:val="none"/>
                <w:lang w:eastAsia="cs-CZ"/>
              </w:rPr>
            </w:pPr>
            <w:r w:rsidRPr="00714C98">
              <w:rPr>
                <w:rStyle w:val="Hypertextovodkaz"/>
                <w:rFonts w:ascii="Arial" w:hAnsi="Arial" w:cs="Arial"/>
                <w:color w:val="auto"/>
                <w:sz w:val="20"/>
                <w:szCs w:val="20"/>
                <w:u w:val="none"/>
                <w:lang w:eastAsia="cs-CZ"/>
              </w:rPr>
              <w:t xml:space="preserve">V červnu 2021 Evropská komise představila v rámci legislativního balíčku „Fit </w:t>
            </w:r>
            <w:proofErr w:type="spellStart"/>
            <w:r w:rsidRPr="00714C98">
              <w:rPr>
                <w:rStyle w:val="Hypertextovodkaz"/>
                <w:rFonts w:ascii="Arial" w:hAnsi="Arial" w:cs="Arial"/>
                <w:color w:val="auto"/>
                <w:sz w:val="20"/>
                <w:szCs w:val="20"/>
                <w:u w:val="none"/>
                <w:lang w:eastAsia="cs-CZ"/>
              </w:rPr>
              <w:t>for</w:t>
            </w:r>
            <w:proofErr w:type="spellEnd"/>
            <w:r w:rsidRPr="00714C98">
              <w:rPr>
                <w:rStyle w:val="Hypertextovodkaz"/>
                <w:rFonts w:ascii="Arial" w:hAnsi="Arial" w:cs="Arial"/>
                <w:color w:val="auto"/>
                <w:sz w:val="20"/>
                <w:szCs w:val="20"/>
                <w:u w:val="none"/>
                <w:lang w:eastAsia="cs-CZ"/>
              </w:rPr>
              <w:t xml:space="preserve"> 55“ návrh reforem, jejichž záměr je sladit politiky EU s ambicemi </w:t>
            </w:r>
            <w:proofErr w:type="gramStart"/>
            <w:r w:rsidRPr="00714C98">
              <w:rPr>
                <w:rStyle w:val="Hypertextovodkaz"/>
                <w:rFonts w:ascii="Arial" w:hAnsi="Arial" w:cs="Arial"/>
                <w:color w:val="auto"/>
                <w:sz w:val="20"/>
                <w:szCs w:val="20"/>
                <w:u w:val="none"/>
                <w:lang w:eastAsia="cs-CZ"/>
              </w:rPr>
              <w:t>Zelené</w:t>
            </w:r>
            <w:proofErr w:type="gramEnd"/>
            <w:r w:rsidRPr="00714C98">
              <w:rPr>
                <w:rStyle w:val="Hypertextovodkaz"/>
                <w:rFonts w:ascii="Arial" w:hAnsi="Arial" w:cs="Arial"/>
                <w:color w:val="auto"/>
                <w:sz w:val="20"/>
                <w:szCs w:val="20"/>
                <w:u w:val="none"/>
                <w:lang w:eastAsia="cs-CZ"/>
              </w:rPr>
              <w:t xml:space="preserve"> dohody pro Evropu. Jedním z klíčových návrhů k dosažení snížení emisí skleníkových plynů bylo rozšíření působnosti systému EU pro obchodování s emisními povolenkami (dále používána anglická zkratka EU ETS) na další sektory, včetně sektoru dopravy. </w:t>
            </w:r>
          </w:p>
          <w:p w14:paraId="1637B660" w14:textId="77777777" w:rsidR="00714C98" w:rsidRDefault="00714C98" w:rsidP="00714C98">
            <w:pPr>
              <w:pStyle w:val="Bezmezer"/>
              <w:spacing w:line="360" w:lineRule="auto"/>
              <w:jc w:val="both"/>
              <w:rPr>
                <w:rStyle w:val="Hypertextovodkaz"/>
                <w:rFonts w:ascii="Arial" w:hAnsi="Arial" w:cs="Arial"/>
                <w:color w:val="auto"/>
                <w:sz w:val="20"/>
                <w:szCs w:val="20"/>
                <w:u w:val="none"/>
                <w:lang w:eastAsia="cs-CZ"/>
              </w:rPr>
            </w:pPr>
          </w:p>
          <w:p w14:paraId="51B2CDDD" w14:textId="33A3A44F" w:rsidR="00714C98" w:rsidRDefault="00714C98" w:rsidP="00714C98">
            <w:pPr>
              <w:pStyle w:val="Bezmezer"/>
              <w:spacing w:line="360" w:lineRule="auto"/>
              <w:jc w:val="both"/>
              <w:rPr>
                <w:rStyle w:val="Hypertextovodkaz"/>
                <w:rFonts w:ascii="Arial" w:hAnsi="Arial" w:cs="Arial"/>
                <w:color w:val="auto"/>
                <w:sz w:val="20"/>
                <w:szCs w:val="20"/>
                <w:u w:val="none"/>
                <w:lang w:eastAsia="cs-CZ"/>
              </w:rPr>
            </w:pPr>
            <w:r w:rsidRPr="00714C98">
              <w:rPr>
                <w:rStyle w:val="Hypertextovodkaz"/>
                <w:rFonts w:ascii="Arial" w:hAnsi="Arial" w:cs="Arial"/>
                <w:color w:val="auto"/>
                <w:sz w:val="20"/>
                <w:szCs w:val="20"/>
                <w:u w:val="none"/>
                <w:lang w:eastAsia="cs-CZ"/>
              </w:rPr>
              <w:t>Směrnice ukládá členským státům, aby od 1. ledna 2025 zajistily, že žádný regulovaný subjekt neprovozoval činnost uvedenou v příloze III, pokud mu nebylo uděleno povolení příslušným orgánem v souladu s odstavci 2 a 3 tohoto článku . Ustanovení směrnice se dle přílohy III. i definice regulovaného subjektu vztahují na dodavatele (prodejce PHM). Členský stát bude muset rovněž definovat příslušný orgán státní správy, který bude registrovat žádosti o povolení činnosti, následně je posoudit a udělit povolení pro vypouštění emisí skleníkových plynů. Předpokladem je schopnost registrovaného subjektu monitorovat a podávat zprávu o produkovaných emisích odpovídající množství prodaných paliv.</w:t>
            </w:r>
          </w:p>
          <w:p w14:paraId="27E336E7" w14:textId="52BE0B57" w:rsidR="00714C98" w:rsidRDefault="00714C98" w:rsidP="00714C98">
            <w:pPr>
              <w:pStyle w:val="Bezmezer"/>
              <w:spacing w:line="360" w:lineRule="auto"/>
              <w:jc w:val="both"/>
              <w:rPr>
                <w:rStyle w:val="Hypertextovodkaz"/>
                <w:rFonts w:ascii="Arial" w:hAnsi="Arial" w:cs="Arial"/>
                <w:color w:val="auto"/>
                <w:sz w:val="20"/>
                <w:szCs w:val="20"/>
                <w:u w:val="none"/>
                <w:lang w:eastAsia="cs-CZ"/>
              </w:rPr>
            </w:pPr>
          </w:p>
          <w:p w14:paraId="5FC5F720" w14:textId="37138EA1" w:rsidR="00714C98" w:rsidRDefault="00714C98" w:rsidP="00714C98">
            <w:pPr>
              <w:pStyle w:val="Bezmezer"/>
              <w:spacing w:line="360" w:lineRule="auto"/>
              <w:jc w:val="both"/>
              <w:rPr>
                <w:rStyle w:val="Hypertextovodkaz"/>
                <w:rFonts w:ascii="Arial" w:hAnsi="Arial" w:cs="Arial"/>
                <w:color w:val="auto"/>
                <w:sz w:val="20"/>
                <w:szCs w:val="20"/>
                <w:u w:val="none"/>
                <w:lang w:eastAsia="cs-CZ"/>
              </w:rPr>
            </w:pPr>
            <w:r w:rsidRPr="00714C98">
              <w:rPr>
                <w:rStyle w:val="Hypertextovodkaz"/>
                <w:rFonts w:ascii="Arial" w:hAnsi="Arial" w:cs="Arial"/>
                <w:color w:val="auto"/>
                <w:sz w:val="20"/>
                <w:szCs w:val="20"/>
                <w:u w:val="none"/>
                <w:lang w:eastAsia="cs-CZ"/>
              </w:rPr>
              <w:t>Následnou povinností regulovaného subjektu je předkládat ke schválení příslušnému orgánu státní správy monitorovací plány.</w:t>
            </w:r>
            <w:r>
              <w:rPr>
                <w:rStyle w:val="Hypertextovodkaz"/>
                <w:rFonts w:ascii="Arial" w:hAnsi="Arial" w:cs="Arial"/>
                <w:color w:val="auto"/>
                <w:sz w:val="20"/>
                <w:szCs w:val="20"/>
                <w:u w:val="none"/>
                <w:lang w:eastAsia="cs-CZ"/>
              </w:rPr>
              <w:t xml:space="preserve"> </w:t>
            </w:r>
            <w:r w:rsidRPr="00714C98">
              <w:rPr>
                <w:rStyle w:val="Hypertextovodkaz"/>
                <w:rFonts w:ascii="Arial" w:hAnsi="Arial" w:cs="Arial"/>
                <w:color w:val="auto"/>
                <w:sz w:val="20"/>
                <w:szCs w:val="20"/>
                <w:u w:val="none"/>
                <w:lang w:eastAsia="cs-CZ"/>
              </w:rPr>
              <w:t>Členské státy rovněž budou povinné zajistit monitoring naplňování podmínek směrnice.</w:t>
            </w:r>
          </w:p>
          <w:p w14:paraId="04537A01" w14:textId="117C1EBB" w:rsidR="00714C98" w:rsidRDefault="00714C98" w:rsidP="00714C98">
            <w:pPr>
              <w:pStyle w:val="Bezmezer"/>
              <w:spacing w:line="360" w:lineRule="auto"/>
              <w:jc w:val="both"/>
              <w:rPr>
                <w:rStyle w:val="Hypertextovodkaz"/>
                <w:rFonts w:ascii="Arial" w:hAnsi="Arial" w:cs="Arial"/>
                <w:color w:val="auto"/>
                <w:sz w:val="20"/>
                <w:szCs w:val="20"/>
                <w:u w:val="none"/>
                <w:lang w:eastAsia="cs-CZ"/>
              </w:rPr>
            </w:pPr>
          </w:p>
          <w:p w14:paraId="61B39F68" w14:textId="52BC82F2" w:rsidR="00714C98" w:rsidRDefault="00714C98" w:rsidP="00714C98">
            <w:pPr>
              <w:pStyle w:val="Bezmezer"/>
              <w:spacing w:line="360" w:lineRule="auto"/>
              <w:jc w:val="both"/>
              <w:rPr>
                <w:rStyle w:val="Hypertextovodkaz"/>
                <w:rFonts w:ascii="Arial" w:hAnsi="Arial" w:cs="Arial"/>
                <w:color w:val="auto"/>
                <w:sz w:val="20"/>
                <w:szCs w:val="20"/>
                <w:u w:val="none"/>
                <w:lang w:eastAsia="cs-CZ"/>
              </w:rPr>
            </w:pPr>
            <w:r w:rsidRPr="00714C98">
              <w:rPr>
                <w:rStyle w:val="Hypertextovodkaz"/>
                <w:rFonts w:ascii="Arial" w:hAnsi="Arial" w:cs="Arial"/>
                <w:color w:val="auto"/>
                <w:sz w:val="20"/>
                <w:szCs w:val="20"/>
                <w:u w:val="none"/>
                <w:lang w:eastAsia="cs-CZ"/>
              </w:rPr>
              <w:t>Členské státy budou dle Směrnice povinné uvést v účinnost právní a správní předpisy nezbytné pro dosažení souladu s článkem 1 dotčené Směrnice do 31. prosince 2023, tj. na transpozici budou mít členské státy cca 7 měsíců. Následně tato opatření ode dne 1. ledna 2024 mají být používány. Pro některá opatření nicméně termín transpozice do vnitrostátních předpisů je stanoven na 30. červen 2024. Jedná se právě o opatření dotýkajících se regulovaných subjektů v rámci EU ETS II.</w:t>
            </w:r>
          </w:p>
          <w:p w14:paraId="649AC7A4" w14:textId="20E9C828" w:rsidR="00714C98" w:rsidRDefault="00714C98" w:rsidP="00714C98">
            <w:pPr>
              <w:pStyle w:val="Bezmezer"/>
              <w:spacing w:line="360" w:lineRule="auto"/>
              <w:jc w:val="both"/>
              <w:rPr>
                <w:rStyle w:val="Hypertextovodkaz"/>
                <w:rFonts w:ascii="Arial" w:hAnsi="Arial" w:cs="Arial"/>
                <w:color w:val="auto"/>
                <w:sz w:val="20"/>
                <w:szCs w:val="20"/>
                <w:u w:val="none"/>
                <w:lang w:eastAsia="cs-CZ"/>
              </w:rPr>
            </w:pPr>
          </w:p>
          <w:p w14:paraId="43B05762" w14:textId="77777777" w:rsidR="00714C98" w:rsidRDefault="00714C98" w:rsidP="00714C98">
            <w:pPr>
              <w:pStyle w:val="Bezmezer"/>
              <w:spacing w:line="360" w:lineRule="auto"/>
              <w:jc w:val="both"/>
              <w:rPr>
                <w:rStyle w:val="Hypertextovodkaz"/>
                <w:rFonts w:ascii="Arial" w:hAnsi="Arial" w:cs="Arial"/>
                <w:color w:val="auto"/>
                <w:sz w:val="20"/>
                <w:szCs w:val="20"/>
                <w:u w:val="none"/>
                <w:lang w:eastAsia="cs-CZ"/>
              </w:rPr>
            </w:pPr>
          </w:p>
          <w:p w14:paraId="598AD143" w14:textId="659C4207" w:rsidR="003B02AC" w:rsidRPr="005078C0" w:rsidRDefault="003B02AC" w:rsidP="003B02A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Úkol:</w:t>
            </w:r>
            <w:r w:rsidR="00714C98">
              <w:rPr>
                <w:rStyle w:val="Hypertextovodkaz"/>
                <w:rFonts w:ascii="Arial" w:eastAsia="Times New Roman" w:hAnsi="Arial" w:cs="Arial"/>
                <w:b/>
                <w:bCs/>
                <w:i/>
                <w:color w:val="0F0D29" w:themeColor="text1"/>
                <w:kern w:val="36"/>
                <w:sz w:val="20"/>
                <w:szCs w:val="20"/>
                <w:u w:val="none"/>
                <w:lang w:eastAsia="cs-CZ"/>
              </w:rPr>
              <w:t xml:space="preserve"> </w:t>
            </w:r>
            <w:r w:rsidR="00714C98">
              <w:rPr>
                <w:rStyle w:val="Hypertextovodkaz"/>
                <w:rFonts w:ascii="Arial" w:eastAsia="Times New Roman" w:hAnsi="Arial" w:cs="Arial"/>
                <w:i/>
                <w:color w:val="0F0D29" w:themeColor="text1"/>
                <w:kern w:val="36"/>
                <w:sz w:val="20"/>
                <w:szCs w:val="20"/>
                <w:u w:val="none"/>
                <w:lang w:eastAsia="cs-CZ"/>
              </w:rPr>
              <w:t xml:space="preserve">OÚ v kooperaci s </w:t>
            </w:r>
            <w:r>
              <w:rPr>
                <w:rStyle w:val="Hypertextovodkaz"/>
                <w:rFonts w:ascii="Arial" w:eastAsia="Times New Roman" w:hAnsi="Arial" w:cs="Arial"/>
                <w:b/>
                <w:bCs/>
                <w:i/>
                <w:color w:val="0F0D29" w:themeColor="text1"/>
                <w:kern w:val="36"/>
                <w:sz w:val="20"/>
                <w:szCs w:val="20"/>
                <w:u w:val="none"/>
                <w:lang w:eastAsia="cs-CZ"/>
              </w:rPr>
              <w:t xml:space="preserve">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3D8AE76F" w14:textId="77777777" w:rsidR="003B02AC" w:rsidRPr="005078C0" w:rsidRDefault="003B02AC" w:rsidP="003B02A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4DD5CFA" w14:textId="044FD5E1" w:rsidR="003B02AC" w:rsidRPr="00C554CD" w:rsidRDefault="003B02AC" w:rsidP="003B02AC">
            <w:pPr>
              <w:pStyle w:val="Bezmezer"/>
              <w:shd w:val="clear" w:color="auto" w:fill="D9D9D9" w:themeFill="background1" w:themeFillShade="D9"/>
              <w:spacing w:line="276" w:lineRule="auto"/>
              <w:rPr>
                <w:rStyle w:val="Hypertextovodkaz"/>
                <w:rFonts w:ascii="Arial" w:eastAsia="Times New Roman" w:hAnsi="Arial" w:cs="Arial"/>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Odpovědný útvar:</w:t>
            </w:r>
            <w:r w:rsidR="00714C98">
              <w:rPr>
                <w:rStyle w:val="Hypertextovodkaz"/>
                <w:rFonts w:ascii="Arial" w:eastAsia="Times New Roman" w:hAnsi="Arial" w:cs="Arial"/>
                <w:b/>
                <w:bCs/>
                <w:i/>
                <w:color w:val="0F0D29" w:themeColor="text1"/>
                <w:kern w:val="36"/>
                <w:sz w:val="20"/>
                <w:szCs w:val="20"/>
                <w:u w:val="none"/>
                <w:lang w:eastAsia="cs-CZ"/>
              </w:rPr>
              <w:t xml:space="preserve"> </w:t>
            </w:r>
            <w:r w:rsidR="00714C98">
              <w:rPr>
                <w:rStyle w:val="Hypertextovodkaz"/>
                <w:rFonts w:ascii="Arial" w:eastAsia="Times New Roman" w:hAnsi="Arial" w:cs="Arial"/>
                <w:i/>
                <w:color w:val="0F0D29" w:themeColor="text1"/>
                <w:kern w:val="36"/>
                <w:sz w:val="20"/>
                <w:szCs w:val="20"/>
                <w:u w:val="none"/>
                <w:lang w:eastAsia="cs-CZ"/>
              </w:rPr>
              <w:t>OÚ – Ing. Martin Vojtíšek,</w:t>
            </w:r>
            <w:r w:rsidRPr="005078C0">
              <w:rPr>
                <w:rStyle w:val="Hypertextovodkaz"/>
                <w:rFonts w:ascii="Arial" w:eastAsia="Times New Roman" w:hAnsi="Arial" w:cs="Arial"/>
                <w:b/>
                <w:bCs/>
                <w:i/>
                <w:color w:val="0F0D29" w:themeColor="text1"/>
                <w:kern w:val="36"/>
                <w:sz w:val="20"/>
                <w:szCs w:val="20"/>
                <w:u w:val="none"/>
                <w:lang w:eastAsia="cs-CZ"/>
              </w:rPr>
              <w:t xml:space="preserve">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30.9.2023</w:t>
            </w:r>
          </w:p>
          <w:p w14:paraId="0DC7DA71" w14:textId="672CF22F" w:rsidR="006402B1" w:rsidRDefault="006402B1" w:rsidP="00932F08">
            <w:pPr>
              <w:pStyle w:val="Bezmezer"/>
              <w:tabs>
                <w:tab w:val="left" w:pos="6360"/>
              </w:tabs>
              <w:spacing w:line="360" w:lineRule="auto"/>
            </w:pPr>
          </w:p>
          <w:p w14:paraId="757FE912" w14:textId="0E3D081C" w:rsidR="00D73626" w:rsidRPr="005B4170" w:rsidRDefault="00D73626" w:rsidP="00D73626">
            <w:pPr>
              <w:pStyle w:val="Bezmezer"/>
              <w:jc w:val="center"/>
              <w:rPr>
                <w:rStyle w:val="Hypertextovodkaz"/>
                <w:rFonts w:ascii="Arial" w:eastAsia="Times New Roman" w:hAnsi="Arial" w:cs="Arial"/>
                <w:b/>
                <w:bCs/>
                <w:color w:val="0F0D29" w:themeColor="text1"/>
                <w:kern w:val="36"/>
                <w:sz w:val="24"/>
                <w:szCs w:val="20"/>
                <w:u w:val="none"/>
                <w:lang w:eastAsia="cs-CZ"/>
              </w:rPr>
            </w:pPr>
            <w:r w:rsidRPr="00D73626">
              <w:rPr>
                <w:rStyle w:val="Hypertextovodkaz"/>
                <w:rFonts w:ascii="Arial" w:eastAsia="Times New Roman" w:hAnsi="Arial" w:cs="Arial"/>
                <w:b/>
                <w:bCs/>
                <w:color w:val="0F0D29" w:themeColor="text1"/>
                <w:kern w:val="36"/>
                <w:sz w:val="24"/>
                <w:szCs w:val="20"/>
                <w:u w:val="none"/>
                <w:lang w:eastAsia="cs-CZ"/>
              </w:rPr>
              <w:lastRenderedPageBreak/>
              <w:t>Návrh nařízení vlády, kterým se mění nařízení vlády č. 189/2022 Sb., o vymezení rozvoje podporovaných zdrojů energie</w:t>
            </w:r>
            <w:r w:rsidR="00000000">
              <w:rPr>
                <w:rStyle w:val="Hypertextovodkaz"/>
                <w:rFonts w:ascii="Arial" w:eastAsia="Times New Roman" w:hAnsi="Arial" w:cs="Arial"/>
                <w:b/>
                <w:bCs/>
                <w:color w:val="0F0D29" w:themeColor="text1"/>
                <w:kern w:val="36"/>
                <w:sz w:val="24"/>
                <w:szCs w:val="24"/>
                <w:u w:val="none"/>
                <w:lang w:eastAsia="cs-CZ"/>
              </w:rPr>
              <w:pict w14:anchorId="4890C91B">
                <v:rect id="_x0000_i1045" style="width:0;height:1.5pt" o:hralign="center" o:hrstd="t" o:hr="t" fillcolor="#a0a0a0" stroked="f"/>
              </w:pict>
            </w:r>
          </w:p>
          <w:p w14:paraId="471D56B1" w14:textId="2742BB54" w:rsidR="00D73626" w:rsidRDefault="00D73626" w:rsidP="00D73626">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DA111A" w:rsidRPr="00DA111A">
              <w:rPr>
                <w:rStyle w:val="Hypertextovodkaz"/>
                <w:rFonts w:ascii="Arial" w:hAnsi="Arial" w:cs="Arial"/>
                <w:color w:val="auto"/>
                <w:sz w:val="20"/>
                <w:szCs w:val="20"/>
                <w:u w:val="none"/>
                <w:lang w:eastAsia="cs-CZ"/>
              </w:rPr>
              <w:t>KORNCSLDAAQL</w:t>
            </w:r>
            <w:r>
              <w:rPr>
                <w:rStyle w:val="Hypertextovodkaz"/>
                <w:rFonts w:ascii="Arial" w:hAnsi="Arial" w:cs="Arial"/>
                <w:color w:val="auto"/>
                <w:sz w:val="20"/>
                <w:szCs w:val="20"/>
                <w:u w:val="none"/>
                <w:lang w:eastAsia="cs-CZ"/>
              </w:rPr>
              <w:t xml:space="preserve">  </w:t>
            </w:r>
          </w:p>
          <w:p w14:paraId="4B93A795" w14:textId="7AF524FC" w:rsidR="00D73626" w:rsidRDefault="00DA111A" w:rsidP="00D73626">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m</w:t>
            </w:r>
            <w:r w:rsidR="00D73626">
              <w:rPr>
                <w:rStyle w:val="Hypertextovodkaz"/>
                <w:rFonts w:ascii="Arial" w:hAnsi="Arial" w:cs="Arial"/>
                <w:color w:val="auto"/>
                <w:sz w:val="20"/>
                <w:szCs w:val="20"/>
                <w:u w:val="none"/>
                <w:lang w:eastAsia="cs-CZ"/>
              </w:rPr>
              <w:t>ezirezortní připomínkové řízení</w:t>
            </w:r>
            <w:r>
              <w:rPr>
                <w:rStyle w:val="Hypertextovodkaz"/>
                <w:rFonts w:ascii="Arial" w:hAnsi="Arial" w:cs="Arial"/>
                <w:color w:val="auto"/>
                <w:sz w:val="20"/>
                <w:szCs w:val="20"/>
                <w:u w:val="none"/>
                <w:lang w:eastAsia="cs-CZ"/>
              </w:rPr>
              <w:t xml:space="preserve"> ukončeno</w:t>
            </w:r>
            <w:r w:rsidR="00D73626">
              <w:rPr>
                <w:rStyle w:val="Hypertextovodkaz"/>
                <w:rFonts w:ascii="Arial" w:hAnsi="Arial" w:cs="Arial"/>
                <w:color w:val="auto"/>
                <w:sz w:val="20"/>
                <w:szCs w:val="20"/>
                <w:u w:val="none"/>
                <w:lang w:eastAsia="cs-CZ"/>
              </w:rPr>
              <w:t xml:space="preserve"> </w:t>
            </w:r>
          </w:p>
          <w:p w14:paraId="7A90CC74" w14:textId="77777777" w:rsidR="00D73626" w:rsidRPr="004405C5" w:rsidRDefault="00D73626" w:rsidP="00D73626">
            <w:pPr>
              <w:pStyle w:val="Bezmezer"/>
              <w:jc w:val="right"/>
              <w:rPr>
                <w:rStyle w:val="Hypertextovodkaz"/>
                <w:rFonts w:ascii="Arial" w:hAnsi="Arial" w:cs="Arial"/>
                <w:color w:val="auto"/>
                <w:sz w:val="20"/>
                <w:szCs w:val="20"/>
                <w:u w:val="none"/>
                <w:lang w:eastAsia="cs-CZ"/>
              </w:rPr>
            </w:pPr>
          </w:p>
          <w:p w14:paraId="2000695E" w14:textId="77777777" w:rsidR="00D73626" w:rsidRPr="004405C5" w:rsidRDefault="00D73626" w:rsidP="00D73626">
            <w:pPr>
              <w:pStyle w:val="Bezmezer"/>
              <w:jc w:val="right"/>
              <w:rPr>
                <w:rStyle w:val="Hypertextovodkaz"/>
                <w:rFonts w:ascii="Arial" w:hAnsi="Arial" w:cs="Arial"/>
                <w:color w:val="auto"/>
                <w:sz w:val="20"/>
                <w:szCs w:val="20"/>
                <w:u w:val="none"/>
                <w:lang w:eastAsia="cs-CZ"/>
              </w:rPr>
            </w:pPr>
          </w:p>
          <w:p w14:paraId="46EA302E" w14:textId="2A82E27E" w:rsidR="00D73626" w:rsidRDefault="00DA111A" w:rsidP="00DA111A">
            <w:pPr>
              <w:pStyle w:val="Bezmezer"/>
              <w:spacing w:line="360" w:lineRule="auto"/>
              <w:jc w:val="both"/>
              <w:rPr>
                <w:rStyle w:val="Hypertextovodkaz"/>
                <w:rFonts w:ascii="Arial" w:hAnsi="Arial" w:cs="Arial"/>
                <w:color w:val="auto"/>
                <w:sz w:val="20"/>
                <w:szCs w:val="20"/>
                <w:u w:val="none"/>
                <w:lang w:eastAsia="cs-CZ"/>
              </w:rPr>
            </w:pPr>
            <w:r w:rsidRPr="00DA111A">
              <w:rPr>
                <w:rStyle w:val="Hypertextovodkaz"/>
                <w:rFonts w:ascii="Arial" w:hAnsi="Arial" w:cs="Arial"/>
                <w:color w:val="auto"/>
                <w:sz w:val="20"/>
                <w:szCs w:val="20"/>
                <w:u w:val="none"/>
                <w:lang w:eastAsia="cs-CZ"/>
              </w:rPr>
              <w:t>Návrh nařízení vlády stanoví druhy podpory a formy podpory, které jsou využity pro podporu a druhy podporovaných zdrojů, velikost elektrického instalovaného výkonu výroben elektřiny, tepelného instalovaného výkonu výroben tepla a energetického výkonu výroben biometanu, které jsou předmětem podpory.</w:t>
            </w:r>
          </w:p>
          <w:p w14:paraId="4469D688" w14:textId="77777777" w:rsidR="00D73626" w:rsidRDefault="00D73626" w:rsidP="00D73626">
            <w:pPr>
              <w:pStyle w:val="Bezmezer"/>
              <w:spacing w:line="360" w:lineRule="auto"/>
              <w:jc w:val="both"/>
              <w:rPr>
                <w:rStyle w:val="Hypertextovodkaz"/>
                <w:rFonts w:ascii="Arial" w:hAnsi="Arial" w:cs="Arial"/>
                <w:color w:val="auto"/>
                <w:sz w:val="20"/>
                <w:szCs w:val="20"/>
                <w:u w:val="none"/>
                <w:lang w:eastAsia="cs-CZ"/>
              </w:rPr>
            </w:pPr>
          </w:p>
          <w:p w14:paraId="2B57EF0E" w14:textId="284B46FD" w:rsidR="00D73626" w:rsidRPr="005078C0" w:rsidRDefault="00D73626" w:rsidP="00D73626">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Úkol:</w:t>
            </w:r>
            <w:r>
              <w:rPr>
                <w:rStyle w:val="Hypertextovodkaz"/>
                <w:rFonts w:ascii="Arial" w:eastAsia="Times New Roman" w:hAnsi="Arial" w:cs="Arial"/>
                <w:b/>
                <w:bCs/>
                <w:i/>
                <w:color w:val="0F0D29" w:themeColor="text1"/>
                <w:kern w:val="36"/>
                <w:sz w:val="20"/>
                <w:szCs w:val="20"/>
                <w:u w:val="none"/>
                <w:lang w:eastAsia="cs-CZ"/>
              </w:rPr>
              <w:t xml:space="preserve"> </w:t>
            </w:r>
            <w:r w:rsidR="00DA111A">
              <w:rPr>
                <w:rStyle w:val="Hypertextovodkaz"/>
                <w:rFonts w:ascii="Arial" w:eastAsia="Times New Roman" w:hAnsi="Arial" w:cs="Arial"/>
                <w:i/>
                <w:color w:val="0F0D29" w:themeColor="text1"/>
                <w:kern w:val="36"/>
                <w:sz w:val="20"/>
                <w:szCs w:val="20"/>
                <w:u w:val="none"/>
                <w:lang w:eastAsia="cs-CZ"/>
              </w:rPr>
              <w:t>OAE</w:t>
            </w:r>
            <w:r>
              <w:rPr>
                <w:rStyle w:val="Hypertextovodkaz"/>
                <w:rFonts w:ascii="Arial" w:eastAsia="Times New Roman" w:hAnsi="Arial" w:cs="Arial"/>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677AC925" w14:textId="77777777" w:rsidR="00D73626" w:rsidRPr="005078C0" w:rsidRDefault="00D73626" w:rsidP="00D73626">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6C838135" w14:textId="1EF04FAD" w:rsidR="00D73626" w:rsidRPr="00C554CD" w:rsidRDefault="00D73626" w:rsidP="00D73626">
            <w:pPr>
              <w:pStyle w:val="Bezmezer"/>
              <w:shd w:val="clear" w:color="auto" w:fill="D9D9D9" w:themeFill="background1" w:themeFillShade="D9"/>
              <w:spacing w:line="276" w:lineRule="auto"/>
              <w:rPr>
                <w:rStyle w:val="Hypertextovodkaz"/>
                <w:rFonts w:ascii="Arial" w:eastAsia="Times New Roman" w:hAnsi="Arial" w:cs="Arial"/>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Odpovědný útvar:</w:t>
            </w:r>
            <w:r>
              <w:rPr>
                <w:rStyle w:val="Hypertextovodkaz"/>
                <w:rFonts w:ascii="Arial" w:eastAsia="Times New Roman" w:hAnsi="Arial" w:cs="Arial"/>
                <w:b/>
                <w:bCs/>
                <w:i/>
                <w:color w:val="0F0D29" w:themeColor="text1"/>
                <w:kern w:val="36"/>
                <w:sz w:val="20"/>
                <w:szCs w:val="20"/>
                <w:u w:val="none"/>
                <w:lang w:eastAsia="cs-CZ"/>
              </w:rPr>
              <w:t xml:space="preserve"> </w:t>
            </w:r>
            <w:r w:rsidR="00DA111A">
              <w:rPr>
                <w:rStyle w:val="Hypertextovodkaz"/>
                <w:rFonts w:ascii="Arial" w:eastAsia="Times New Roman" w:hAnsi="Arial" w:cs="Arial"/>
                <w:i/>
                <w:color w:val="0F0D29" w:themeColor="text1"/>
                <w:kern w:val="36"/>
                <w:sz w:val="20"/>
                <w:szCs w:val="20"/>
                <w:u w:val="none"/>
                <w:lang w:eastAsia="cs-CZ"/>
              </w:rPr>
              <w:t>OAE – Ing. Petr Lux</w:t>
            </w:r>
            <w:r w:rsidRPr="005078C0">
              <w:rPr>
                <w:rStyle w:val="Hypertextovodkaz"/>
                <w:rFonts w:ascii="Arial" w:eastAsia="Times New Roman" w:hAnsi="Arial" w:cs="Arial"/>
                <w:bCs/>
                <w:i/>
                <w:color w:val="0F0D29" w:themeColor="text1"/>
                <w:kern w:val="36"/>
                <w:sz w:val="20"/>
                <w:szCs w:val="20"/>
                <w:u w:val="none"/>
                <w:lang w:eastAsia="cs-CZ"/>
              </w:rPr>
              <w:tab/>
            </w:r>
            <w:r w:rsidR="007A2B64">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DA111A">
              <w:rPr>
                <w:rStyle w:val="Hypertextovodkaz"/>
                <w:rFonts w:ascii="Arial" w:eastAsia="Times New Roman" w:hAnsi="Arial" w:cs="Arial"/>
                <w:b/>
                <w:bCs/>
                <w:i/>
                <w:color w:val="0F0D29" w:themeColor="text1"/>
                <w:kern w:val="36"/>
                <w:sz w:val="20"/>
                <w:szCs w:val="20"/>
                <w:u w:val="none"/>
                <w:lang w:eastAsia="cs-CZ"/>
              </w:rPr>
              <w:t>31.8.2023</w:t>
            </w:r>
          </w:p>
          <w:p w14:paraId="4253F49A" w14:textId="77777777" w:rsidR="00D73626" w:rsidRDefault="00D73626" w:rsidP="00932F08">
            <w:pPr>
              <w:pStyle w:val="Bezmezer"/>
              <w:tabs>
                <w:tab w:val="left" w:pos="6360"/>
              </w:tabs>
              <w:spacing w:line="360" w:lineRule="auto"/>
            </w:pPr>
          </w:p>
          <w:p w14:paraId="62E38BE4" w14:textId="64DE97BA" w:rsidR="0030165A" w:rsidRPr="005B4170" w:rsidRDefault="003A1E17" w:rsidP="0030165A">
            <w:pPr>
              <w:pStyle w:val="Bezmezer"/>
              <w:jc w:val="center"/>
              <w:rPr>
                <w:rStyle w:val="Hypertextovodkaz"/>
                <w:rFonts w:ascii="Arial" w:eastAsia="Times New Roman" w:hAnsi="Arial" w:cs="Arial"/>
                <w:b/>
                <w:bCs/>
                <w:color w:val="0F0D29" w:themeColor="text1"/>
                <w:kern w:val="36"/>
                <w:sz w:val="24"/>
                <w:szCs w:val="20"/>
                <w:u w:val="none"/>
                <w:lang w:eastAsia="cs-CZ"/>
              </w:rPr>
            </w:pPr>
            <w:r w:rsidRPr="003A1E17">
              <w:rPr>
                <w:rStyle w:val="Hypertextovodkaz"/>
                <w:rFonts w:ascii="Arial" w:eastAsia="Times New Roman" w:hAnsi="Arial" w:cs="Arial"/>
                <w:b/>
                <w:bCs/>
                <w:color w:val="0F0D29" w:themeColor="text1"/>
                <w:kern w:val="36"/>
                <w:sz w:val="24"/>
                <w:szCs w:val="20"/>
                <w:u w:val="none"/>
                <w:lang w:eastAsia="cs-CZ"/>
              </w:rPr>
              <w:t>Návrh nařízení vlády o stanovení prostředků státního rozpočtu podle § 28 odst. 3 zákona o podporovaných zdrojích energie pro rok 2024</w:t>
            </w:r>
            <w:r w:rsidR="00000000">
              <w:rPr>
                <w:rStyle w:val="Hypertextovodkaz"/>
                <w:rFonts w:ascii="Arial" w:eastAsia="Times New Roman" w:hAnsi="Arial" w:cs="Arial"/>
                <w:b/>
                <w:bCs/>
                <w:color w:val="0F0D29" w:themeColor="text1"/>
                <w:kern w:val="36"/>
                <w:sz w:val="24"/>
                <w:szCs w:val="24"/>
                <w:u w:val="none"/>
                <w:lang w:eastAsia="cs-CZ"/>
              </w:rPr>
              <w:pict w14:anchorId="38B71669">
                <v:rect id="_x0000_i1046" style="width:0;height:1.5pt" o:hralign="center" o:hrstd="t" o:hr="t" fillcolor="#a0a0a0" stroked="f"/>
              </w:pict>
            </w:r>
          </w:p>
          <w:p w14:paraId="4E7A8A2F" w14:textId="5209E0D9" w:rsidR="0030165A" w:rsidRDefault="0030165A" w:rsidP="0030165A">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3A1E17" w:rsidRPr="003A1E17">
              <w:rPr>
                <w:rStyle w:val="Hypertextovodkaz"/>
                <w:rFonts w:ascii="Arial" w:hAnsi="Arial" w:cs="Arial"/>
                <w:color w:val="auto"/>
                <w:sz w:val="20"/>
                <w:szCs w:val="20"/>
                <w:u w:val="none"/>
                <w:lang w:eastAsia="cs-CZ"/>
              </w:rPr>
              <w:t>KORNCSXAUB3K</w:t>
            </w:r>
            <w:r>
              <w:rPr>
                <w:rStyle w:val="Hypertextovodkaz"/>
                <w:rFonts w:ascii="Arial" w:hAnsi="Arial" w:cs="Arial"/>
                <w:color w:val="auto"/>
                <w:sz w:val="20"/>
                <w:szCs w:val="20"/>
                <w:u w:val="none"/>
                <w:lang w:eastAsia="cs-CZ"/>
              </w:rPr>
              <w:t xml:space="preserve">  </w:t>
            </w:r>
          </w:p>
          <w:p w14:paraId="4E141D8B" w14:textId="39994C9F" w:rsidR="0030165A" w:rsidRDefault="003A1E17" w:rsidP="0030165A">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připomínkovém řízení</w:t>
            </w:r>
          </w:p>
          <w:p w14:paraId="74BE299F" w14:textId="77777777" w:rsidR="0030165A" w:rsidRPr="004405C5" w:rsidRDefault="0030165A" w:rsidP="0030165A">
            <w:pPr>
              <w:pStyle w:val="Bezmezer"/>
              <w:jc w:val="right"/>
              <w:rPr>
                <w:rStyle w:val="Hypertextovodkaz"/>
                <w:rFonts w:ascii="Arial" w:hAnsi="Arial" w:cs="Arial"/>
                <w:color w:val="auto"/>
                <w:sz w:val="20"/>
                <w:szCs w:val="20"/>
                <w:u w:val="none"/>
                <w:lang w:eastAsia="cs-CZ"/>
              </w:rPr>
            </w:pPr>
          </w:p>
          <w:p w14:paraId="3E4FA795" w14:textId="77777777" w:rsidR="0030165A" w:rsidRPr="004405C5" w:rsidRDefault="0030165A" w:rsidP="0030165A">
            <w:pPr>
              <w:pStyle w:val="Bezmezer"/>
              <w:jc w:val="right"/>
              <w:rPr>
                <w:rStyle w:val="Hypertextovodkaz"/>
                <w:rFonts w:ascii="Arial" w:hAnsi="Arial" w:cs="Arial"/>
                <w:color w:val="auto"/>
                <w:sz w:val="20"/>
                <w:szCs w:val="20"/>
                <w:u w:val="none"/>
                <w:lang w:eastAsia="cs-CZ"/>
              </w:rPr>
            </w:pPr>
          </w:p>
          <w:p w14:paraId="01770B0C" w14:textId="1EA13407" w:rsidR="0030165A" w:rsidRDefault="003A1E17" w:rsidP="0030165A">
            <w:pPr>
              <w:pStyle w:val="Bezmezer"/>
              <w:spacing w:line="360" w:lineRule="auto"/>
              <w:jc w:val="both"/>
              <w:rPr>
                <w:rStyle w:val="Hypertextovodkaz"/>
                <w:rFonts w:ascii="Arial" w:hAnsi="Arial" w:cs="Arial"/>
                <w:color w:val="auto"/>
                <w:sz w:val="20"/>
                <w:szCs w:val="20"/>
                <w:u w:val="none"/>
                <w:lang w:eastAsia="cs-CZ"/>
              </w:rPr>
            </w:pPr>
            <w:r w:rsidRPr="003A1E17">
              <w:rPr>
                <w:rStyle w:val="Hypertextovodkaz"/>
                <w:rFonts w:ascii="Arial" w:hAnsi="Arial" w:cs="Arial"/>
                <w:color w:val="auto"/>
                <w:sz w:val="20"/>
                <w:szCs w:val="20"/>
                <w:u w:val="none"/>
                <w:lang w:eastAsia="cs-CZ"/>
              </w:rPr>
              <w:t>Nařízení vlády stanoví výši prostředků státního rozpočtu pro poskytnutí dotace, nestanoví podmínky použití dotace, protože podmínky pro použití a administraci dotace stanoví přímo zákon č. 165/2012 Sb. a zákon č. 218/2000 Sb., o rozpočtových pravidlech a o změně některých souvisejících zákonů (rozpočtová pravidla), ve znění pozdějších předpisů.</w:t>
            </w:r>
          </w:p>
          <w:p w14:paraId="2955AE10" w14:textId="77777777" w:rsidR="003A1E17" w:rsidRDefault="003A1E17" w:rsidP="0030165A">
            <w:pPr>
              <w:pStyle w:val="Bezmezer"/>
              <w:spacing w:line="360" w:lineRule="auto"/>
              <w:jc w:val="both"/>
              <w:rPr>
                <w:rStyle w:val="Hypertextovodkaz"/>
                <w:rFonts w:ascii="Arial" w:hAnsi="Arial" w:cs="Arial"/>
                <w:color w:val="auto"/>
                <w:sz w:val="20"/>
                <w:szCs w:val="20"/>
                <w:u w:val="none"/>
                <w:lang w:eastAsia="cs-CZ"/>
              </w:rPr>
            </w:pPr>
          </w:p>
          <w:p w14:paraId="4EEF8B46" w14:textId="1D6A533C" w:rsidR="0030165A" w:rsidRPr="005078C0" w:rsidRDefault="0030165A" w:rsidP="0030165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Úkol:</w:t>
            </w:r>
            <w:r w:rsidR="003A1E17">
              <w:rPr>
                <w:rStyle w:val="Hypertextovodkaz"/>
                <w:rFonts w:ascii="Arial" w:eastAsia="Times New Roman" w:hAnsi="Arial" w:cs="Arial"/>
                <w:b/>
                <w:bCs/>
                <w:i/>
                <w:color w:val="0F0D29" w:themeColor="text1"/>
                <w:kern w:val="36"/>
                <w:sz w:val="20"/>
                <w:szCs w:val="20"/>
                <w:u w:val="none"/>
                <w:lang w:eastAsia="cs-CZ"/>
              </w:rPr>
              <w:t xml:space="preserve"> </w:t>
            </w:r>
            <w:r w:rsidR="003A1E17">
              <w:rPr>
                <w:rStyle w:val="Hypertextovodkaz"/>
                <w:rFonts w:ascii="Arial" w:eastAsia="Times New Roman" w:hAnsi="Arial" w:cs="Arial"/>
                <w:i/>
                <w:color w:val="0F0D29" w:themeColor="text1"/>
                <w:kern w:val="36"/>
                <w:sz w:val="20"/>
                <w:szCs w:val="20"/>
                <w:u w:val="none"/>
                <w:lang w:eastAsia="cs-CZ"/>
              </w:rPr>
              <w:t>Na vědomí POŘ a</w:t>
            </w:r>
            <w:r>
              <w:rPr>
                <w:rStyle w:val="Hypertextovodkaz"/>
                <w:rFonts w:ascii="Arial" w:eastAsia="Times New Roman" w:hAnsi="Arial" w:cs="Arial"/>
                <w:b/>
                <w:bCs/>
                <w:i/>
                <w:color w:val="0F0D29" w:themeColor="text1"/>
                <w:kern w:val="36"/>
                <w:sz w:val="20"/>
                <w:szCs w:val="20"/>
                <w:u w:val="none"/>
                <w:lang w:eastAsia="cs-CZ"/>
              </w:rPr>
              <w:t xml:space="preserve"> </w:t>
            </w:r>
            <w:r>
              <w:rPr>
                <w:rStyle w:val="Hypertextovodkaz"/>
                <w:rFonts w:ascii="Arial" w:eastAsia="Times New Roman" w:hAnsi="Arial" w:cs="Arial"/>
                <w:i/>
                <w:color w:val="0F0D29" w:themeColor="text1"/>
                <w:kern w:val="36"/>
                <w:sz w:val="20"/>
                <w:szCs w:val="20"/>
                <w:u w:val="none"/>
                <w:lang w:eastAsia="cs-CZ"/>
              </w:rPr>
              <w:t>OAE</w:t>
            </w:r>
            <w:r w:rsidR="003A1E17">
              <w:rPr>
                <w:rStyle w:val="Hypertextovodkaz"/>
                <w:rFonts w:ascii="Arial" w:eastAsia="Times New Roman" w:hAnsi="Arial" w:cs="Arial"/>
                <w:bCs/>
                <w:i/>
                <w:color w:val="0F0D29" w:themeColor="text1"/>
                <w:kern w:val="36"/>
                <w:sz w:val="20"/>
                <w:szCs w:val="20"/>
                <w:u w:val="none"/>
                <w:lang w:eastAsia="cs-CZ"/>
              </w:rPr>
              <w:t>.</w:t>
            </w:r>
          </w:p>
          <w:p w14:paraId="625C47B7" w14:textId="09383537" w:rsidR="006402B1" w:rsidRDefault="006402B1" w:rsidP="00932F08">
            <w:pPr>
              <w:pStyle w:val="Bezmezer"/>
              <w:tabs>
                <w:tab w:val="left" w:pos="6360"/>
              </w:tabs>
              <w:spacing w:line="360" w:lineRule="auto"/>
            </w:pPr>
          </w:p>
          <w:p w14:paraId="427DD5EC" w14:textId="35CC5EAA" w:rsidR="00791ED0" w:rsidRPr="005B4170" w:rsidRDefault="00791ED0" w:rsidP="00791ED0">
            <w:pPr>
              <w:pStyle w:val="Bezmezer"/>
              <w:jc w:val="center"/>
              <w:rPr>
                <w:rStyle w:val="Hypertextovodkaz"/>
                <w:rFonts w:ascii="Arial" w:eastAsia="Times New Roman" w:hAnsi="Arial" w:cs="Arial"/>
                <w:b/>
                <w:bCs/>
                <w:color w:val="0F0D29" w:themeColor="text1"/>
                <w:kern w:val="36"/>
                <w:sz w:val="24"/>
                <w:szCs w:val="20"/>
                <w:u w:val="none"/>
                <w:lang w:eastAsia="cs-CZ"/>
              </w:rPr>
            </w:pPr>
            <w:r w:rsidRPr="00791ED0">
              <w:rPr>
                <w:rStyle w:val="Hypertextovodkaz"/>
                <w:rFonts w:ascii="Arial" w:eastAsia="Times New Roman" w:hAnsi="Arial" w:cs="Arial"/>
                <w:b/>
                <w:bCs/>
                <w:color w:val="0F0D29" w:themeColor="text1"/>
                <w:kern w:val="36"/>
                <w:sz w:val="24"/>
                <w:szCs w:val="20"/>
                <w:u w:val="none"/>
                <w:lang w:eastAsia="cs-CZ"/>
              </w:rPr>
              <w:t>Směrnice o zdanění energií</w:t>
            </w:r>
            <w:r w:rsidR="00000000">
              <w:rPr>
                <w:rStyle w:val="Hypertextovodkaz"/>
                <w:rFonts w:ascii="Arial" w:eastAsia="Times New Roman" w:hAnsi="Arial" w:cs="Arial"/>
                <w:b/>
                <w:bCs/>
                <w:color w:val="0F0D29" w:themeColor="text1"/>
                <w:kern w:val="36"/>
                <w:sz w:val="24"/>
                <w:szCs w:val="24"/>
                <w:u w:val="none"/>
                <w:lang w:eastAsia="cs-CZ"/>
              </w:rPr>
              <w:pict w14:anchorId="5A171497">
                <v:rect id="_x0000_i1047" style="width:0;height:1.5pt" o:hralign="center" o:hrstd="t" o:hr="t" fillcolor="#a0a0a0" stroked="f"/>
              </w:pict>
            </w:r>
          </w:p>
          <w:p w14:paraId="70849C3E" w14:textId="04D9D379" w:rsidR="00791ED0" w:rsidRDefault="00791ED0" w:rsidP="00791ED0">
            <w:pPr>
              <w:pStyle w:val="Bezmezer"/>
              <w:jc w:val="right"/>
              <w:rPr>
                <w:rStyle w:val="Hypertextovodkaz"/>
                <w:rFonts w:ascii="Arial" w:hAnsi="Arial" w:cs="Arial"/>
                <w:color w:val="auto"/>
                <w:sz w:val="20"/>
                <w:szCs w:val="20"/>
                <w:u w:val="none"/>
                <w:lang w:eastAsia="cs-CZ"/>
              </w:rPr>
            </w:pPr>
            <w:proofErr w:type="spellStart"/>
            <w:r w:rsidRPr="00791ED0">
              <w:rPr>
                <w:rStyle w:val="Hypertextovodkaz"/>
                <w:rFonts w:ascii="Arial" w:hAnsi="Arial" w:cs="Arial"/>
                <w:color w:val="auto"/>
                <w:sz w:val="20"/>
                <w:szCs w:val="20"/>
                <w:u w:val="none"/>
                <w:lang w:eastAsia="cs-CZ"/>
              </w:rPr>
              <w:t>Document</w:t>
            </w:r>
            <w:proofErr w:type="spellEnd"/>
            <w:r w:rsidRPr="00791ED0">
              <w:rPr>
                <w:rStyle w:val="Hypertextovodkaz"/>
                <w:rFonts w:ascii="Arial" w:hAnsi="Arial" w:cs="Arial"/>
                <w:color w:val="auto"/>
                <w:sz w:val="20"/>
                <w:szCs w:val="20"/>
                <w:u w:val="none"/>
                <w:lang w:eastAsia="cs-CZ"/>
              </w:rPr>
              <w:t xml:space="preserve"> 52021PC0563</w:t>
            </w:r>
          </w:p>
          <w:p w14:paraId="2A6AEABD" w14:textId="3576D321" w:rsidR="00791ED0" w:rsidRDefault="00791ED0" w:rsidP="00791ED0">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Projednáno v Radě EU</w:t>
            </w:r>
          </w:p>
          <w:p w14:paraId="62BC2402" w14:textId="77777777" w:rsidR="00791ED0" w:rsidRPr="004405C5" w:rsidRDefault="00791ED0" w:rsidP="00791ED0">
            <w:pPr>
              <w:pStyle w:val="Bezmezer"/>
              <w:jc w:val="right"/>
              <w:rPr>
                <w:rStyle w:val="Hypertextovodkaz"/>
                <w:rFonts w:ascii="Arial" w:hAnsi="Arial" w:cs="Arial"/>
                <w:color w:val="auto"/>
                <w:sz w:val="20"/>
                <w:szCs w:val="20"/>
                <w:u w:val="none"/>
                <w:lang w:eastAsia="cs-CZ"/>
              </w:rPr>
            </w:pPr>
          </w:p>
          <w:p w14:paraId="66BE4847" w14:textId="77777777" w:rsidR="00791ED0" w:rsidRPr="004405C5" w:rsidRDefault="00791ED0" w:rsidP="00791ED0">
            <w:pPr>
              <w:pStyle w:val="Bezmezer"/>
              <w:jc w:val="right"/>
              <w:rPr>
                <w:rStyle w:val="Hypertextovodkaz"/>
                <w:rFonts w:ascii="Arial" w:hAnsi="Arial" w:cs="Arial"/>
                <w:color w:val="auto"/>
                <w:sz w:val="20"/>
                <w:szCs w:val="20"/>
                <w:u w:val="none"/>
                <w:lang w:eastAsia="cs-CZ"/>
              </w:rPr>
            </w:pPr>
          </w:p>
          <w:p w14:paraId="4DF247B6" w14:textId="0B636234" w:rsidR="00791ED0" w:rsidRDefault="00791ED0" w:rsidP="00791ED0">
            <w:pPr>
              <w:pStyle w:val="Bezmezer"/>
              <w:spacing w:line="360" w:lineRule="auto"/>
              <w:jc w:val="both"/>
              <w:rPr>
                <w:rStyle w:val="Hypertextovodkaz"/>
                <w:rFonts w:ascii="Arial" w:hAnsi="Arial" w:cs="Arial"/>
                <w:color w:val="auto"/>
                <w:sz w:val="20"/>
                <w:szCs w:val="20"/>
                <w:u w:val="none"/>
                <w:lang w:eastAsia="cs-CZ"/>
              </w:rPr>
            </w:pPr>
            <w:r w:rsidRPr="00791ED0">
              <w:rPr>
                <w:rStyle w:val="Hypertextovodkaz"/>
                <w:rFonts w:ascii="Arial" w:hAnsi="Arial" w:cs="Arial"/>
                <w:color w:val="auto"/>
                <w:sz w:val="20"/>
                <w:szCs w:val="20"/>
                <w:u w:val="none"/>
                <w:lang w:eastAsia="cs-CZ"/>
              </w:rPr>
              <w:t xml:space="preserve">Návrh revize Směrnice je součástí balíčku „Fit </w:t>
            </w:r>
            <w:proofErr w:type="spellStart"/>
            <w:r w:rsidRPr="00791ED0">
              <w:rPr>
                <w:rStyle w:val="Hypertextovodkaz"/>
                <w:rFonts w:ascii="Arial" w:hAnsi="Arial" w:cs="Arial"/>
                <w:color w:val="auto"/>
                <w:sz w:val="20"/>
                <w:szCs w:val="20"/>
                <w:u w:val="none"/>
                <w:lang w:eastAsia="cs-CZ"/>
              </w:rPr>
              <w:t>for</w:t>
            </w:r>
            <w:proofErr w:type="spellEnd"/>
            <w:r w:rsidRPr="00791ED0">
              <w:rPr>
                <w:rStyle w:val="Hypertextovodkaz"/>
                <w:rFonts w:ascii="Arial" w:hAnsi="Arial" w:cs="Arial"/>
                <w:color w:val="auto"/>
                <w:sz w:val="20"/>
                <w:szCs w:val="20"/>
                <w:u w:val="none"/>
                <w:lang w:eastAsia="cs-CZ"/>
              </w:rPr>
              <w:t xml:space="preserve"> 55“ a má několik základních cílů, která mají podepřít další klimatická opatření EU. V první řadě je cílem zajistit, aby zdanění motorových a topných paliv, stejně jako elektrické energie, plně zohlednilo jejich dopad na životní prostředí, zdraví a klima. Druhý deklarovaným záměrem je podpořit členské státy, aby významnější část daňové zátěže přenesly na produkty přispívající ke klimatické změně a které mají nepříznivý dopad na zdraví a životní prostředí. Členským zemím by to mělo umožnit jednak získat prostředky nutné k investicím do zelené tranzice, ale také by to mělo vést k snížení daňové zátěže práce. V neposlední řadě má návrh revize podpořit rozvoj prostředí, které bude stimulovat investice do udržitelných a čistých technologií.</w:t>
            </w:r>
          </w:p>
          <w:p w14:paraId="7EBB118B" w14:textId="699D0B96" w:rsidR="00791ED0" w:rsidRDefault="00791ED0" w:rsidP="00791ED0">
            <w:pPr>
              <w:pStyle w:val="Bezmezer"/>
              <w:spacing w:line="360" w:lineRule="auto"/>
              <w:jc w:val="both"/>
              <w:rPr>
                <w:rStyle w:val="Hypertextovodkaz"/>
                <w:rFonts w:ascii="Arial" w:hAnsi="Arial" w:cs="Arial"/>
                <w:color w:val="auto"/>
                <w:sz w:val="20"/>
                <w:szCs w:val="20"/>
                <w:u w:val="none"/>
                <w:lang w:eastAsia="cs-CZ"/>
              </w:rPr>
            </w:pPr>
          </w:p>
          <w:p w14:paraId="68AE7BF2" w14:textId="58AF7645" w:rsidR="00791ED0" w:rsidRPr="00791ED0" w:rsidRDefault="00791ED0" w:rsidP="00791ED0">
            <w:pPr>
              <w:pStyle w:val="Bezmezer"/>
              <w:spacing w:line="360" w:lineRule="auto"/>
              <w:jc w:val="both"/>
              <w:rPr>
                <w:rStyle w:val="Hypertextovodkaz"/>
                <w:rFonts w:ascii="Arial" w:hAnsi="Arial" w:cs="Arial"/>
                <w:color w:val="auto"/>
                <w:sz w:val="20"/>
                <w:szCs w:val="20"/>
                <w:u w:val="none"/>
                <w:lang w:eastAsia="cs-CZ"/>
              </w:rPr>
            </w:pPr>
            <w:r w:rsidRPr="00791ED0">
              <w:rPr>
                <w:rStyle w:val="Hypertextovodkaz"/>
                <w:rFonts w:ascii="Arial" w:hAnsi="Arial" w:cs="Arial"/>
                <w:color w:val="auto"/>
                <w:sz w:val="20"/>
                <w:szCs w:val="20"/>
                <w:u w:val="none"/>
                <w:lang w:eastAsia="cs-CZ"/>
              </w:rPr>
              <w:t>Novela  přináší několik klíčových změn:</w:t>
            </w:r>
          </w:p>
          <w:p w14:paraId="00511550" w14:textId="77777777" w:rsidR="00791ED0" w:rsidRPr="00791ED0" w:rsidRDefault="00791ED0" w:rsidP="00791ED0">
            <w:pPr>
              <w:pStyle w:val="Bezmezer"/>
              <w:numPr>
                <w:ilvl w:val="0"/>
                <w:numId w:val="13"/>
              </w:numPr>
              <w:spacing w:line="360" w:lineRule="auto"/>
              <w:jc w:val="both"/>
              <w:rPr>
                <w:rStyle w:val="Hypertextovodkaz"/>
                <w:rFonts w:ascii="Arial" w:hAnsi="Arial" w:cs="Arial"/>
                <w:color w:val="0F0D29" w:themeColor="text1"/>
                <w:sz w:val="20"/>
                <w:szCs w:val="20"/>
                <w:u w:val="none"/>
                <w:lang w:eastAsia="cs-CZ"/>
              </w:rPr>
            </w:pPr>
            <w:r w:rsidRPr="00791ED0">
              <w:rPr>
                <w:rStyle w:val="Hypertextovodkaz"/>
                <w:rFonts w:ascii="Arial" w:hAnsi="Arial" w:cs="Arial"/>
                <w:color w:val="auto"/>
                <w:sz w:val="20"/>
                <w:szCs w:val="20"/>
                <w:u w:val="none"/>
                <w:lang w:eastAsia="cs-CZ"/>
              </w:rPr>
              <w:lastRenderedPageBreak/>
              <w:t xml:space="preserve">zavádí daňové sazby, které jsou vyjádřeny v EUR/gigajoul – sazby jsou stanoveny s ohledem na </w:t>
            </w:r>
            <w:r w:rsidRPr="00791ED0">
              <w:rPr>
                <w:rStyle w:val="Hypertextovodkaz"/>
                <w:rFonts w:ascii="Arial" w:hAnsi="Arial" w:cs="Arial"/>
                <w:color w:val="0F0D29" w:themeColor="text1"/>
                <w:sz w:val="20"/>
                <w:szCs w:val="20"/>
                <w:u w:val="none"/>
                <w:lang w:eastAsia="cs-CZ"/>
              </w:rPr>
              <w:t>energetický obsah paliv a environmentální dopad</w:t>
            </w:r>
          </w:p>
          <w:p w14:paraId="61A84EC4" w14:textId="77777777" w:rsidR="00791ED0" w:rsidRPr="00791ED0" w:rsidRDefault="00791ED0" w:rsidP="00791ED0">
            <w:pPr>
              <w:pStyle w:val="Bezmezer"/>
              <w:numPr>
                <w:ilvl w:val="0"/>
                <w:numId w:val="13"/>
              </w:numPr>
              <w:spacing w:line="360" w:lineRule="auto"/>
              <w:jc w:val="both"/>
              <w:rPr>
                <w:rStyle w:val="Hypertextovodkaz"/>
                <w:rFonts w:ascii="Arial" w:hAnsi="Arial" w:cs="Arial"/>
                <w:color w:val="0F0D29" w:themeColor="text1"/>
                <w:sz w:val="20"/>
                <w:szCs w:val="20"/>
                <w:u w:val="none"/>
                <w:lang w:eastAsia="cs-CZ"/>
              </w:rPr>
            </w:pPr>
            <w:r w:rsidRPr="00791ED0">
              <w:rPr>
                <w:rStyle w:val="Hypertextovodkaz"/>
                <w:rFonts w:ascii="Arial" w:hAnsi="Arial" w:cs="Arial"/>
                <w:color w:val="0F0D29" w:themeColor="text1"/>
                <w:sz w:val="20"/>
                <w:szCs w:val="20"/>
                <w:u w:val="none"/>
                <w:lang w:eastAsia="cs-CZ"/>
              </w:rPr>
              <w:t>rozšiřuje se daňová základna o energetický obsah a procesy, které nebyly doposud zahrnuty</w:t>
            </w:r>
          </w:p>
          <w:p w14:paraId="0D00F3AD" w14:textId="77777777" w:rsidR="00791ED0" w:rsidRPr="00791ED0" w:rsidRDefault="00791ED0" w:rsidP="00791ED0">
            <w:pPr>
              <w:pStyle w:val="Bezmezer"/>
              <w:numPr>
                <w:ilvl w:val="0"/>
                <w:numId w:val="13"/>
              </w:numPr>
              <w:spacing w:line="360" w:lineRule="auto"/>
              <w:jc w:val="both"/>
              <w:rPr>
                <w:rStyle w:val="Hypertextovodkaz"/>
                <w:rFonts w:ascii="Arial" w:hAnsi="Arial" w:cs="Arial"/>
                <w:color w:val="0F0D29" w:themeColor="text1"/>
                <w:sz w:val="20"/>
                <w:szCs w:val="20"/>
                <w:u w:val="none"/>
                <w:lang w:eastAsia="cs-CZ"/>
              </w:rPr>
            </w:pPr>
            <w:r w:rsidRPr="00791ED0">
              <w:rPr>
                <w:rStyle w:val="Hypertextovodkaz"/>
                <w:rFonts w:ascii="Arial" w:hAnsi="Arial" w:cs="Arial"/>
                <w:color w:val="0F0D29" w:themeColor="text1"/>
                <w:sz w:val="20"/>
                <w:szCs w:val="20"/>
                <w:u w:val="none"/>
                <w:lang w:eastAsia="cs-CZ"/>
              </w:rPr>
              <w:t>nová paliva, zejména vodík, s ohledem na daňová pravidla</w:t>
            </w:r>
          </w:p>
          <w:p w14:paraId="4F5F40DE" w14:textId="77777777" w:rsidR="00791ED0" w:rsidRPr="00791ED0" w:rsidRDefault="00791ED0" w:rsidP="00791ED0">
            <w:pPr>
              <w:pStyle w:val="Bezmezer"/>
              <w:numPr>
                <w:ilvl w:val="0"/>
                <w:numId w:val="13"/>
              </w:numPr>
              <w:spacing w:line="360" w:lineRule="auto"/>
              <w:jc w:val="both"/>
              <w:rPr>
                <w:rStyle w:val="Hypertextovodkaz"/>
                <w:rFonts w:ascii="Arial" w:hAnsi="Arial" w:cs="Arial"/>
                <w:color w:val="0F0D29" w:themeColor="text1"/>
                <w:sz w:val="20"/>
                <w:szCs w:val="20"/>
                <w:u w:val="none"/>
                <w:lang w:eastAsia="cs-CZ"/>
              </w:rPr>
            </w:pPr>
            <w:r w:rsidRPr="00791ED0">
              <w:rPr>
                <w:rStyle w:val="Hypertextovodkaz"/>
                <w:rFonts w:ascii="Arial" w:hAnsi="Arial" w:cs="Arial"/>
                <w:color w:val="0F0D29" w:themeColor="text1"/>
                <w:sz w:val="20"/>
                <w:szCs w:val="20"/>
                <w:u w:val="none"/>
                <w:lang w:eastAsia="cs-CZ"/>
              </w:rPr>
              <w:t>zabránění dvojímu zdanění uskladněné elektrické energie</w:t>
            </w:r>
          </w:p>
          <w:p w14:paraId="7D2C93B5" w14:textId="77777777" w:rsidR="00791ED0" w:rsidRPr="00791ED0" w:rsidRDefault="00791ED0" w:rsidP="00791ED0">
            <w:pPr>
              <w:pStyle w:val="Bezmezer"/>
              <w:numPr>
                <w:ilvl w:val="0"/>
                <w:numId w:val="13"/>
              </w:numPr>
              <w:spacing w:line="360" w:lineRule="auto"/>
              <w:jc w:val="both"/>
              <w:rPr>
                <w:rStyle w:val="Hypertextovodkaz"/>
                <w:rFonts w:ascii="Arial" w:hAnsi="Arial" w:cs="Arial"/>
                <w:color w:val="0F0D29" w:themeColor="text1"/>
                <w:sz w:val="20"/>
                <w:szCs w:val="20"/>
                <w:u w:val="none"/>
                <w:lang w:eastAsia="cs-CZ"/>
              </w:rPr>
            </w:pPr>
            <w:r w:rsidRPr="00791ED0">
              <w:rPr>
                <w:rStyle w:val="Hypertextovodkaz"/>
                <w:rFonts w:ascii="Arial" w:hAnsi="Arial" w:cs="Arial"/>
                <w:color w:val="0F0D29" w:themeColor="text1"/>
                <w:sz w:val="20"/>
                <w:szCs w:val="20"/>
                <w:u w:val="none"/>
                <w:lang w:eastAsia="cs-CZ"/>
              </w:rPr>
              <w:t>omezení možnosti členských zemí používat výjimky či snižovat sazby pro energetické produkty, procesy a sektory</w:t>
            </w:r>
          </w:p>
          <w:p w14:paraId="0BBFC384" w14:textId="77777777" w:rsidR="00791ED0" w:rsidRPr="00791ED0" w:rsidRDefault="00791ED0" w:rsidP="00791ED0">
            <w:pPr>
              <w:pStyle w:val="Bezmezer"/>
              <w:numPr>
                <w:ilvl w:val="0"/>
                <w:numId w:val="13"/>
              </w:numPr>
              <w:spacing w:line="360" w:lineRule="auto"/>
              <w:jc w:val="both"/>
              <w:rPr>
                <w:rStyle w:val="Hypertextovodkaz"/>
                <w:rFonts w:ascii="Arial" w:hAnsi="Arial" w:cs="Arial"/>
                <w:color w:val="0F0D29" w:themeColor="text1"/>
                <w:sz w:val="20"/>
                <w:szCs w:val="20"/>
                <w:u w:val="none"/>
                <w:lang w:eastAsia="cs-CZ"/>
              </w:rPr>
            </w:pPr>
            <w:r w:rsidRPr="00791ED0">
              <w:rPr>
                <w:rStyle w:val="Hypertextovodkaz"/>
                <w:rFonts w:ascii="Arial" w:hAnsi="Arial" w:cs="Arial"/>
                <w:color w:val="0F0D29" w:themeColor="text1"/>
                <w:sz w:val="20"/>
                <w:szCs w:val="20"/>
                <w:u w:val="none"/>
                <w:lang w:eastAsia="cs-CZ"/>
              </w:rPr>
              <w:t>zvýšení sazeb s ohledem na současnou cenotvorbu</w:t>
            </w:r>
          </w:p>
          <w:p w14:paraId="48D270B4" w14:textId="5F3B9493" w:rsidR="00791ED0" w:rsidRPr="00791ED0" w:rsidRDefault="00791ED0" w:rsidP="00791ED0">
            <w:pPr>
              <w:pStyle w:val="Bezmezer"/>
              <w:numPr>
                <w:ilvl w:val="0"/>
                <w:numId w:val="13"/>
              </w:numPr>
              <w:spacing w:line="360" w:lineRule="auto"/>
              <w:jc w:val="both"/>
              <w:rPr>
                <w:rStyle w:val="Hypertextovodkaz"/>
                <w:rFonts w:ascii="Arial" w:hAnsi="Arial" w:cs="Arial"/>
                <w:color w:val="0F0D29" w:themeColor="text1"/>
                <w:sz w:val="20"/>
                <w:szCs w:val="20"/>
                <w:u w:val="none"/>
                <w:lang w:eastAsia="cs-CZ"/>
              </w:rPr>
            </w:pPr>
            <w:r w:rsidRPr="00791ED0">
              <w:rPr>
                <w:rStyle w:val="Hypertextovodkaz"/>
                <w:rFonts w:ascii="Arial" w:hAnsi="Arial" w:cs="Arial"/>
                <w:color w:val="0F0D29" w:themeColor="text1"/>
                <w:sz w:val="20"/>
                <w:szCs w:val="20"/>
                <w:u w:val="none"/>
                <w:lang w:eastAsia="cs-CZ"/>
              </w:rPr>
              <w:t>zavedení pětiletého přezkumu</w:t>
            </w:r>
          </w:p>
          <w:p w14:paraId="770F3711" w14:textId="29820F65" w:rsidR="00791ED0" w:rsidRPr="00791ED0" w:rsidRDefault="00791ED0" w:rsidP="00791ED0">
            <w:pPr>
              <w:pStyle w:val="Bezmezer"/>
              <w:spacing w:line="360" w:lineRule="auto"/>
              <w:jc w:val="both"/>
              <w:rPr>
                <w:rStyle w:val="Hypertextovodkaz"/>
                <w:rFonts w:ascii="Arial" w:hAnsi="Arial" w:cs="Arial"/>
                <w:color w:val="0F0D29" w:themeColor="text1"/>
                <w:sz w:val="20"/>
                <w:szCs w:val="20"/>
                <w:u w:val="none"/>
                <w:lang w:eastAsia="cs-CZ"/>
              </w:rPr>
            </w:pPr>
          </w:p>
          <w:p w14:paraId="1EF5CF63" w14:textId="77777777" w:rsidR="00791ED0" w:rsidRPr="00791ED0" w:rsidRDefault="00791ED0" w:rsidP="00791ED0">
            <w:pPr>
              <w:spacing w:before="100" w:beforeAutospacing="1" w:line="360" w:lineRule="auto"/>
              <w:jc w:val="both"/>
              <w:rPr>
                <w:rFonts w:ascii="Arial" w:hAnsi="Arial" w:cs="Arial"/>
                <w:b w:val="0"/>
                <w:color w:val="0F0D29" w:themeColor="text1"/>
                <w:sz w:val="20"/>
                <w:szCs w:val="20"/>
              </w:rPr>
            </w:pPr>
            <w:r w:rsidRPr="00791ED0">
              <w:rPr>
                <w:rFonts w:ascii="Arial" w:hAnsi="Arial" w:cs="Arial"/>
                <w:b w:val="0"/>
                <w:color w:val="0F0D29" w:themeColor="text1"/>
                <w:sz w:val="20"/>
                <w:szCs w:val="20"/>
              </w:rPr>
              <w:t>Směrnice zavádí především kategorizaci paliv podle jejich environmentální výkonnosti a stanovuje jejich pořadí, dle kterého jsou nastaveny rovněž jednotlivé sazby. Nejvyšší sazbou mají být zdaněny konvenční fosilní paliva, jako je plynový olej, nafta, benzín. Další kategorií budou tranzitní paliva, které mohou přispět k dekarbonizaci, ale u kterých se očekává, že ve střednědobém až dlouhodobém horizontu bude jejich užívání omezeno. Jedná se především o LPG, zemní plyn a fosilní vodík. U těchto paliv bude uplatňována sazba na úrovni 2/3 referenční sazby. Třetí kategorií budou obnovitelná, nicméně nikoliv pokročilá, biopaliva, u kterých bude uplatněna ½ referenční sazby. Poslední kategorií bude elektřina, pokročilá biopaliva, bioplyny a vodík z obnovitelných zdrojů. U těchto typů vstupů bude použita výrazně nižší sazba, než je referenční sazba. Uvedené pořadí paliv je koncipováno jako obecná zásada, která se uplatňuje obdobně, kdykoliv to umožňuje rozlišení sazby.</w:t>
            </w:r>
          </w:p>
          <w:p w14:paraId="5721DE75" w14:textId="2D2D7C02" w:rsidR="00791ED0" w:rsidRDefault="00791ED0" w:rsidP="00791ED0">
            <w:pPr>
              <w:spacing w:before="100" w:beforeAutospacing="1" w:line="360" w:lineRule="auto"/>
              <w:jc w:val="both"/>
              <w:rPr>
                <w:rFonts w:ascii="Arial" w:hAnsi="Arial" w:cs="Arial"/>
                <w:b w:val="0"/>
                <w:color w:val="0F0D29" w:themeColor="text1"/>
                <w:sz w:val="20"/>
                <w:szCs w:val="20"/>
              </w:rPr>
            </w:pPr>
            <w:r w:rsidRPr="00791ED0">
              <w:rPr>
                <w:rFonts w:ascii="Arial" w:hAnsi="Arial" w:cs="Arial"/>
                <w:b w:val="0"/>
                <w:color w:val="0F0D29" w:themeColor="text1"/>
                <w:sz w:val="20"/>
                <w:szCs w:val="20"/>
              </w:rPr>
              <w:t>Návrh směrnice zavádí konkrétní minimální sazby v příloze č. I., které stanoví následují výši sazeb pro pohonné hmoty v EUR/gigajoul:</w:t>
            </w:r>
          </w:p>
          <w:p w14:paraId="49601202" w14:textId="77777777" w:rsidR="00791ED0" w:rsidRPr="00791ED0" w:rsidRDefault="00791ED0" w:rsidP="00791ED0">
            <w:pPr>
              <w:spacing w:before="100" w:beforeAutospacing="1" w:line="360" w:lineRule="auto"/>
              <w:jc w:val="both"/>
              <w:rPr>
                <w:rFonts w:ascii="Arial" w:hAnsi="Arial" w:cs="Arial"/>
                <w:b w:val="0"/>
                <w:color w:val="0F0D29" w:themeColor="text1"/>
                <w:sz w:val="20"/>
                <w:szCs w:val="20"/>
                <w:u w:val="single"/>
              </w:rPr>
            </w:pPr>
            <w:r w:rsidRPr="00791ED0">
              <w:rPr>
                <w:rFonts w:ascii="Arial" w:hAnsi="Arial" w:cs="Arial"/>
                <w:b w:val="0"/>
                <w:color w:val="0F0D29" w:themeColor="text1"/>
                <w:sz w:val="20"/>
                <w:szCs w:val="20"/>
                <w:u w:val="single"/>
              </w:rPr>
              <w:t>Přehled minimálních sazeb</w:t>
            </w:r>
          </w:p>
          <w:tbl>
            <w:tblPr>
              <w:tblStyle w:val="Mkatabulky"/>
              <w:tblW w:w="0" w:type="auto"/>
              <w:tblLook w:val="04A0" w:firstRow="1" w:lastRow="0" w:firstColumn="1" w:lastColumn="0" w:noHBand="0" w:noVBand="1"/>
            </w:tblPr>
            <w:tblGrid>
              <w:gridCol w:w="2972"/>
              <w:gridCol w:w="5522"/>
            </w:tblGrid>
            <w:tr w:rsidR="00791ED0" w:rsidRPr="00791ED0" w14:paraId="758E8F79" w14:textId="77777777" w:rsidTr="006D674D">
              <w:tc>
                <w:tcPr>
                  <w:tcW w:w="2972" w:type="dxa"/>
                </w:tcPr>
                <w:p w14:paraId="059FB8F6" w14:textId="77777777" w:rsidR="00791ED0" w:rsidRPr="00791ED0" w:rsidRDefault="00791ED0" w:rsidP="00861E7B">
                  <w:pPr>
                    <w:framePr w:hSpace="141" w:wrap="around" w:vAnchor="text" w:hAnchor="text" w:y="1"/>
                    <w:spacing w:before="100" w:beforeAutospacing="1" w:line="360" w:lineRule="auto"/>
                    <w:suppressOverlap/>
                    <w:jc w:val="both"/>
                    <w:rPr>
                      <w:rFonts w:ascii="Arial" w:hAnsi="Arial" w:cs="Arial"/>
                      <w:b w:val="0"/>
                      <w:color w:val="0F0D29" w:themeColor="text1"/>
                      <w:sz w:val="20"/>
                      <w:szCs w:val="20"/>
                    </w:rPr>
                  </w:pPr>
                  <w:r w:rsidRPr="00791ED0">
                    <w:rPr>
                      <w:rFonts w:ascii="Arial" w:hAnsi="Arial" w:cs="Arial"/>
                      <w:b w:val="0"/>
                      <w:color w:val="0F0D29" w:themeColor="text1"/>
                      <w:sz w:val="20"/>
                      <w:szCs w:val="20"/>
                    </w:rPr>
                    <w:t>benzín</w:t>
                  </w:r>
                  <w:r w:rsidRPr="00791ED0">
                    <w:rPr>
                      <w:rStyle w:val="Znakapoznpodarou"/>
                      <w:rFonts w:ascii="Arial" w:hAnsi="Arial" w:cs="Arial"/>
                      <w:b w:val="0"/>
                      <w:color w:val="0F0D29" w:themeColor="text1"/>
                      <w:sz w:val="20"/>
                      <w:szCs w:val="20"/>
                    </w:rPr>
                    <w:footnoteReference w:id="1"/>
                  </w:r>
                </w:p>
              </w:tc>
              <w:tc>
                <w:tcPr>
                  <w:tcW w:w="5522" w:type="dxa"/>
                </w:tcPr>
                <w:p w14:paraId="5B876DDD" w14:textId="77777777" w:rsidR="00791ED0" w:rsidRPr="00791ED0" w:rsidRDefault="00791ED0" w:rsidP="00861E7B">
                  <w:pPr>
                    <w:framePr w:hSpace="141" w:wrap="around" w:vAnchor="text" w:hAnchor="text" w:y="1"/>
                    <w:spacing w:before="100" w:beforeAutospacing="1" w:line="360" w:lineRule="auto"/>
                    <w:suppressOverlap/>
                    <w:jc w:val="both"/>
                    <w:rPr>
                      <w:rFonts w:ascii="Arial" w:hAnsi="Arial" w:cs="Arial"/>
                      <w:b w:val="0"/>
                      <w:color w:val="0F0D29" w:themeColor="text1"/>
                      <w:sz w:val="20"/>
                      <w:szCs w:val="20"/>
                    </w:rPr>
                  </w:pPr>
                  <w:r w:rsidRPr="00791ED0">
                    <w:rPr>
                      <w:rFonts w:ascii="Arial" w:hAnsi="Arial" w:cs="Arial"/>
                      <w:b w:val="0"/>
                      <w:color w:val="0F0D29" w:themeColor="text1"/>
                      <w:sz w:val="20"/>
                      <w:szCs w:val="20"/>
                    </w:rPr>
                    <w:t>10,75,- EUR během i po skončení přechodného období</w:t>
                  </w:r>
                </w:p>
              </w:tc>
            </w:tr>
            <w:tr w:rsidR="00791ED0" w:rsidRPr="00791ED0" w14:paraId="58282CD7" w14:textId="77777777" w:rsidTr="006D674D">
              <w:tc>
                <w:tcPr>
                  <w:tcW w:w="2972" w:type="dxa"/>
                </w:tcPr>
                <w:p w14:paraId="79230D24" w14:textId="77777777" w:rsidR="00791ED0" w:rsidRPr="00791ED0" w:rsidRDefault="00791ED0" w:rsidP="00861E7B">
                  <w:pPr>
                    <w:framePr w:hSpace="141" w:wrap="around" w:vAnchor="text" w:hAnchor="text" w:y="1"/>
                    <w:spacing w:before="100" w:beforeAutospacing="1" w:line="360" w:lineRule="auto"/>
                    <w:suppressOverlap/>
                    <w:jc w:val="both"/>
                    <w:rPr>
                      <w:rFonts w:ascii="Arial" w:hAnsi="Arial" w:cs="Arial"/>
                      <w:b w:val="0"/>
                      <w:color w:val="0F0D29" w:themeColor="text1"/>
                      <w:sz w:val="20"/>
                      <w:szCs w:val="20"/>
                    </w:rPr>
                  </w:pPr>
                  <w:r w:rsidRPr="00791ED0">
                    <w:rPr>
                      <w:rFonts w:ascii="Arial" w:hAnsi="Arial" w:cs="Arial"/>
                      <w:b w:val="0"/>
                      <w:color w:val="0F0D29" w:themeColor="text1"/>
                      <w:sz w:val="20"/>
                      <w:szCs w:val="20"/>
                    </w:rPr>
                    <w:t>plynový olej</w:t>
                  </w:r>
                </w:p>
              </w:tc>
              <w:tc>
                <w:tcPr>
                  <w:tcW w:w="5522" w:type="dxa"/>
                </w:tcPr>
                <w:p w14:paraId="50BC0567" w14:textId="77777777" w:rsidR="00791ED0" w:rsidRPr="00791ED0" w:rsidRDefault="00791ED0" w:rsidP="00861E7B">
                  <w:pPr>
                    <w:framePr w:hSpace="141" w:wrap="around" w:vAnchor="text" w:hAnchor="text" w:y="1"/>
                    <w:spacing w:before="100" w:beforeAutospacing="1" w:line="360" w:lineRule="auto"/>
                    <w:suppressOverlap/>
                    <w:jc w:val="both"/>
                    <w:rPr>
                      <w:rFonts w:ascii="Arial" w:hAnsi="Arial" w:cs="Arial"/>
                      <w:b w:val="0"/>
                      <w:color w:val="0F0D29" w:themeColor="text1"/>
                      <w:sz w:val="20"/>
                      <w:szCs w:val="20"/>
                    </w:rPr>
                  </w:pPr>
                  <w:r w:rsidRPr="00791ED0">
                    <w:rPr>
                      <w:rFonts w:ascii="Arial" w:hAnsi="Arial" w:cs="Arial"/>
                      <w:b w:val="0"/>
                      <w:color w:val="0F0D29" w:themeColor="text1"/>
                      <w:sz w:val="20"/>
                      <w:szCs w:val="20"/>
                    </w:rPr>
                    <w:t>10,75,- EUR během i po skončení přechodného období</w:t>
                  </w:r>
                </w:p>
              </w:tc>
            </w:tr>
            <w:tr w:rsidR="00791ED0" w:rsidRPr="00791ED0" w14:paraId="51CD012D" w14:textId="77777777" w:rsidTr="006D674D">
              <w:tc>
                <w:tcPr>
                  <w:tcW w:w="2972" w:type="dxa"/>
                </w:tcPr>
                <w:p w14:paraId="184D0794" w14:textId="77777777" w:rsidR="00791ED0" w:rsidRPr="00791ED0" w:rsidRDefault="00791ED0" w:rsidP="00861E7B">
                  <w:pPr>
                    <w:framePr w:hSpace="141" w:wrap="around" w:vAnchor="text" w:hAnchor="text" w:y="1"/>
                    <w:spacing w:before="100" w:beforeAutospacing="1" w:line="360" w:lineRule="auto"/>
                    <w:suppressOverlap/>
                    <w:jc w:val="both"/>
                    <w:rPr>
                      <w:rFonts w:ascii="Arial" w:hAnsi="Arial" w:cs="Arial"/>
                      <w:b w:val="0"/>
                      <w:color w:val="0F0D29" w:themeColor="text1"/>
                      <w:sz w:val="20"/>
                      <w:szCs w:val="20"/>
                    </w:rPr>
                  </w:pPr>
                  <w:r w:rsidRPr="00791ED0">
                    <w:rPr>
                      <w:rFonts w:ascii="Arial" w:hAnsi="Arial" w:cs="Arial"/>
                      <w:b w:val="0"/>
                      <w:color w:val="0F0D29" w:themeColor="text1"/>
                      <w:sz w:val="20"/>
                      <w:szCs w:val="20"/>
                    </w:rPr>
                    <w:t>LPG</w:t>
                  </w:r>
                </w:p>
              </w:tc>
              <w:tc>
                <w:tcPr>
                  <w:tcW w:w="5522" w:type="dxa"/>
                </w:tcPr>
                <w:p w14:paraId="5E287994" w14:textId="77777777" w:rsidR="00791ED0" w:rsidRPr="00791ED0" w:rsidRDefault="00791ED0" w:rsidP="00861E7B">
                  <w:pPr>
                    <w:framePr w:hSpace="141" w:wrap="around" w:vAnchor="text" w:hAnchor="text" w:y="1"/>
                    <w:spacing w:before="100" w:beforeAutospacing="1" w:line="360" w:lineRule="auto"/>
                    <w:suppressOverlap/>
                    <w:jc w:val="both"/>
                    <w:rPr>
                      <w:rFonts w:ascii="Arial" w:hAnsi="Arial" w:cs="Arial"/>
                      <w:b w:val="0"/>
                      <w:color w:val="0F0D29" w:themeColor="text1"/>
                      <w:sz w:val="20"/>
                      <w:szCs w:val="20"/>
                    </w:rPr>
                  </w:pPr>
                  <w:r w:rsidRPr="00791ED0">
                    <w:rPr>
                      <w:rFonts w:ascii="Arial" w:hAnsi="Arial" w:cs="Arial"/>
                      <w:b w:val="0"/>
                      <w:color w:val="0F0D29" w:themeColor="text1"/>
                      <w:sz w:val="20"/>
                      <w:szCs w:val="20"/>
                    </w:rPr>
                    <w:t>7,17,- EUR během přechodného období a 10,75,- EUR po skončení přechodného období</w:t>
                  </w:r>
                </w:p>
              </w:tc>
            </w:tr>
            <w:tr w:rsidR="00791ED0" w:rsidRPr="00791ED0" w14:paraId="55775EFF" w14:textId="77777777" w:rsidTr="006D674D">
              <w:trPr>
                <w:trHeight w:val="1285"/>
              </w:trPr>
              <w:tc>
                <w:tcPr>
                  <w:tcW w:w="2972" w:type="dxa"/>
                </w:tcPr>
                <w:p w14:paraId="40B2F018" w14:textId="77777777" w:rsidR="00791ED0" w:rsidRPr="00791ED0" w:rsidRDefault="00791ED0" w:rsidP="00861E7B">
                  <w:pPr>
                    <w:framePr w:hSpace="141" w:wrap="around" w:vAnchor="text" w:hAnchor="text" w:y="1"/>
                    <w:spacing w:before="100" w:beforeAutospacing="1" w:line="360" w:lineRule="auto"/>
                    <w:suppressOverlap/>
                    <w:jc w:val="both"/>
                    <w:rPr>
                      <w:rFonts w:ascii="Arial" w:hAnsi="Arial" w:cs="Arial"/>
                      <w:b w:val="0"/>
                      <w:color w:val="0F0D29" w:themeColor="text1"/>
                      <w:sz w:val="20"/>
                      <w:szCs w:val="20"/>
                    </w:rPr>
                  </w:pPr>
                  <w:r w:rsidRPr="00791ED0">
                    <w:rPr>
                      <w:rFonts w:ascii="Arial" w:hAnsi="Arial" w:cs="Arial"/>
                      <w:b w:val="0"/>
                      <w:color w:val="0F0D29" w:themeColor="text1"/>
                      <w:sz w:val="20"/>
                      <w:szCs w:val="20"/>
                    </w:rPr>
                    <w:t>udržitelná biopaliva (nepokročilá)</w:t>
                  </w:r>
                </w:p>
              </w:tc>
              <w:tc>
                <w:tcPr>
                  <w:tcW w:w="5522" w:type="dxa"/>
                </w:tcPr>
                <w:p w14:paraId="2BB18CE8" w14:textId="77777777" w:rsidR="00791ED0" w:rsidRPr="00791ED0" w:rsidRDefault="00791ED0" w:rsidP="00861E7B">
                  <w:pPr>
                    <w:framePr w:hSpace="141" w:wrap="around" w:vAnchor="text" w:hAnchor="text" w:y="1"/>
                    <w:spacing w:before="100" w:beforeAutospacing="1" w:line="360" w:lineRule="auto"/>
                    <w:suppressOverlap/>
                    <w:jc w:val="both"/>
                    <w:rPr>
                      <w:rFonts w:ascii="Arial" w:hAnsi="Arial" w:cs="Arial"/>
                      <w:b w:val="0"/>
                      <w:color w:val="0F0D29" w:themeColor="text1"/>
                      <w:sz w:val="20"/>
                      <w:szCs w:val="20"/>
                    </w:rPr>
                  </w:pPr>
                  <w:r w:rsidRPr="00791ED0">
                    <w:rPr>
                      <w:rFonts w:ascii="Arial" w:hAnsi="Arial" w:cs="Arial"/>
                      <w:b w:val="0"/>
                      <w:color w:val="0F0D29" w:themeColor="text1"/>
                      <w:sz w:val="20"/>
                      <w:szCs w:val="20"/>
                    </w:rPr>
                    <w:t>5,38,- EUR během přechodného období a 10,75,- EUR po skočení přechodného období</w:t>
                  </w:r>
                </w:p>
              </w:tc>
            </w:tr>
            <w:tr w:rsidR="00791ED0" w:rsidRPr="00791ED0" w14:paraId="4A8E6CCE" w14:textId="77777777" w:rsidTr="006D674D">
              <w:trPr>
                <w:trHeight w:val="58"/>
              </w:trPr>
              <w:tc>
                <w:tcPr>
                  <w:tcW w:w="2972" w:type="dxa"/>
                </w:tcPr>
                <w:p w14:paraId="5F8437BF" w14:textId="77777777" w:rsidR="00791ED0" w:rsidRPr="00791ED0" w:rsidRDefault="00791ED0" w:rsidP="00861E7B">
                  <w:pPr>
                    <w:framePr w:hSpace="141" w:wrap="around" w:vAnchor="text" w:hAnchor="text" w:y="1"/>
                    <w:spacing w:before="100" w:beforeAutospacing="1" w:line="360" w:lineRule="auto"/>
                    <w:suppressOverlap/>
                    <w:jc w:val="both"/>
                    <w:rPr>
                      <w:rFonts w:ascii="Arial" w:hAnsi="Arial" w:cs="Arial"/>
                      <w:b w:val="0"/>
                      <w:color w:val="0F0D29" w:themeColor="text1"/>
                      <w:sz w:val="20"/>
                      <w:szCs w:val="20"/>
                    </w:rPr>
                  </w:pPr>
                  <w:r w:rsidRPr="00791ED0">
                    <w:rPr>
                      <w:rFonts w:ascii="Arial" w:hAnsi="Arial" w:cs="Arial"/>
                      <w:b w:val="0"/>
                      <w:color w:val="0F0D29" w:themeColor="text1"/>
                      <w:sz w:val="20"/>
                      <w:szCs w:val="20"/>
                    </w:rPr>
                    <w:t>biopaliva</w:t>
                  </w:r>
                  <w:r w:rsidRPr="00791ED0">
                    <w:rPr>
                      <w:rFonts w:ascii="Arial" w:hAnsi="Arial" w:cs="Arial"/>
                      <w:b w:val="0"/>
                      <w:color w:val="0F0D29" w:themeColor="text1"/>
                      <w:sz w:val="20"/>
                      <w:szCs w:val="20"/>
                    </w:rPr>
                    <w:tab/>
                  </w:r>
                </w:p>
              </w:tc>
              <w:tc>
                <w:tcPr>
                  <w:tcW w:w="5522" w:type="dxa"/>
                </w:tcPr>
                <w:p w14:paraId="6E5B95CB" w14:textId="77777777" w:rsidR="00791ED0" w:rsidRPr="00791ED0" w:rsidRDefault="00791ED0" w:rsidP="00861E7B">
                  <w:pPr>
                    <w:framePr w:hSpace="141" w:wrap="around" w:vAnchor="text" w:hAnchor="text" w:y="1"/>
                    <w:spacing w:before="100" w:beforeAutospacing="1" w:line="360" w:lineRule="auto"/>
                    <w:suppressOverlap/>
                    <w:jc w:val="both"/>
                    <w:rPr>
                      <w:rFonts w:ascii="Arial" w:hAnsi="Arial" w:cs="Arial"/>
                      <w:b w:val="0"/>
                      <w:color w:val="0F0D29" w:themeColor="text1"/>
                      <w:sz w:val="20"/>
                      <w:szCs w:val="20"/>
                    </w:rPr>
                  </w:pPr>
                  <w:r w:rsidRPr="00791ED0">
                    <w:rPr>
                      <w:rFonts w:ascii="Arial" w:hAnsi="Arial" w:cs="Arial"/>
                      <w:b w:val="0"/>
                      <w:color w:val="0F0D29" w:themeColor="text1"/>
                      <w:sz w:val="20"/>
                      <w:szCs w:val="20"/>
                    </w:rPr>
                    <w:t>5,38,- EUR během i po skončení přechodného období</w:t>
                  </w:r>
                </w:p>
              </w:tc>
            </w:tr>
          </w:tbl>
          <w:p w14:paraId="7D956689" w14:textId="77777777" w:rsidR="00791ED0" w:rsidRDefault="00791ED0" w:rsidP="00791ED0">
            <w:pPr>
              <w:pStyle w:val="Bezmezer"/>
              <w:spacing w:line="360" w:lineRule="auto"/>
              <w:jc w:val="both"/>
              <w:rPr>
                <w:rStyle w:val="Hypertextovodkaz"/>
                <w:rFonts w:ascii="Arial" w:hAnsi="Arial" w:cs="Arial"/>
                <w:color w:val="auto"/>
                <w:sz w:val="20"/>
                <w:szCs w:val="20"/>
                <w:u w:val="none"/>
                <w:lang w:eastAsia="cs-CZ"/>
              </w:rPr>
            </w:pPr>
          </w:p>
          <w:p w14:paraId="7D670DF2" w14:textId="77777777" w:rsidR="00791ED0" w:rsidRDefault="00791ED0" w:rsidP="00791ED0">
            <w:pPr>
              <w:pStyle w:val="Bezmezer"/>
              <w:spacing w:line="360" w:lineRule="auto"/>
              <w:jc w:val="both"/>
              <w:rPr>
                <w:rStyle w:val="Hypertextovodkaz"/>
                <w:rFonts w:ascii="Arial" w:hAnsi="Arial" w:cs="Arial"/>
                <w:color w:val="auto"/>
                <w:sz w:val="20"/>
                <w:szCs w:val="20"/>
                <w:u w:val="none"/>
                <w:lang w:eastAsia="cs-CZ"/>
              </w:rPr>
            </w:pPr>
          </w:p>
          <w:p w14:paraId="62B5FD89" w14:textId="1833355C" w:rsidR="00791ED0" w:rsidRPr="005078C0" w:rsidRDefault="00791ED0" w:rsidP="00791ED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Úkol:</w:t>
            </w:r>
            <w:r>
              <w:rPr>
                <w:rStyle w:val="Hypertextovodkaz"/>
                <w:rFonts w:ascii="Arial" w:eastAsia="Times New Roman" w:hAnsi="Arial" w:cs="Arial"/>
                <w:b/>
                <w:bCs/>
                <w:i/>
                <w:color w:val="0F0D29" w:themeColor="text1"/>
                <w:kern w:val="36"/>
                <w:sz w:val="20"/>
                <w:szCs w:val="20"/>
                <w:u w:val="none"/>
                <w:lang w:eastAsia="cs-CZ"/>
              </w:rPr>
              <w:t xml:space="preserve"> </w:t>
            </w:r>
            <w:r>
              <w:rPr>
                <w:rStyle w:val="Hypertextovodkaz"/>
                <w:rFonts w:ascii="Arial" w:eastAsia="Times New Roman" w:hAnsi="Arial" w:cs="Arial"/>
                <w:i/>
                <w:color w:val="0F0D29" w:themeColor="text1"/>
                <w:kern w:val="36"/>
                <w:sz w:val="20"/>
                <w:szCs w:val="20"/>
                <w:u w:val="none"/>
                <w:lang w:eastAsia="cs-CZ"/>
              </w:rPr>
              <w:t>OPS bude vývoj legislativy průběžně monitorovat</w:t>
            </w:r>
            <w:r w:rsidR="00772DF8">
              <w:rPr>
                <w:rStyle w:val="Hypertextovodkaz"/>
                <w:rFonts w:ascii="Arial" w:eastAsia="Times New Roman" w:hAnsi="Arial" w:cs="Arial"/>
                <w:i/>
                <w:color w:val="0F0D29" w:themeColor="text1"/>
                <w:kern w:val="36"/>
                <w:sz w:val="20"/>
                <w:szCs w:val="20"/>
                <w:u w:val="none"/>
                <w:lang w:eastAsia="cs-CZ"/>
              </w:rPr>
              <w:t xml:space="preserve"> a následně bude provedeno věcné posouzení odpovědnými útvary</w:t>
            </w:r>
            <w:r>
              <w:rPr>
                <w:rStyle w:val="Hypertextovodkaz"/>
                <w:rFonts w:ascii="Arial" w:eastAsia="Times New Roman" w:hAnsi="Arial" w:cs="Arial"/>
                <w:i/>
                <w:color w:val="0F0D29" w:themeColor="text1"/>
                <w:kern w:val="36"/>
                <w:sz w:val="20"/>
                <w:szCs w:val="20"/>
                <w:u w:val="none"/>
                <w:lang w:eastAsia="cs-CZ"/>
              </w:rPr>
              <w:t xml:space="preserve">. </w:t>
            </w:r>
          </w:p>
          <w:p w14:paraId="76BD5FF4" w14:textId="77777777" w:rsidR="00791ED0" w:rsidRPr="00791ED0" w:rsidRDefault="00791ED0" w:rsidP="00791ED0">
            <w:pPr>
              <w:spacing w:line="360" w:lineRule="auto"/>
              <w:jc w:val="both"/>
              <w:rPr>
                <w:rFonts w:ascii="Arial" w:hAnsi="Arial" w:cs="Arial"/>
                <w:bCs/>
                <w:color w:val="1B174A" w:themeColor="text1" w:themeTint="E6"/>
                <w:sz w:val="20"/>
                <w:szCs w:val="20"/>
              </w:rPr>
            </w:pPr>
          </w:p>
          <w:p w14:paraId="07439E33" w14:textId="13697065" w:rsidR="00856285" w:rsidRPr="005B4170" w:rsidRDefault="00856285" w:rsidP="00856285">
            <w:pPr>
              <w:pStyle w:val="Bezmezer"/>
              <w:jc w:val="center"/>
              <w:rPr>
                <w:rStyle w:val="Hypertextovodkaz"/>
                <w:rFonts w:ascii="Arial" w:eastAsia="Times New Roman" w:hAnsi="Arial" w:cs="Arial"/>
                <w:b/>
                <w:bCs/>
                <w:color w:val="0F0D29" w:themeColor="text1"/>
                <w:kern w:val="36"/>
                <w:sz w:val="24"/>
                <w:szCs w:val="20"/>
                <w:u w:val="none"/>
                <w:lang w:eastAsia="cs-CZ"/>
              </w:rPr>
            </w:pPr>
            <w:r w:rsidRPr="00856285">
              <w:rPr>
                <w:rStyle w:val="Hypertextovodkaz"/>
                <w:rFonts w:ascii="Arial" w:eastAsia="Times New Roman" w:hAnsi="Arial" w:cs="Arial"/>
                <w:b/>
                <w:bCs/>
                <w:color w:val="0F0D29" w:themeColor="text1"/>
                <w:kern w:val="36"/>
                <w:sz w:val="24"/>
                <w:szCs w:val="20"/>
                <w:u w:val="none"/>
                <w:lang w:eastAsia="cs-CZ"/>
              </w:rPr>
              <w:lastRenderedPageBreak/>
              <w:t>Směrnice o obnovitelných zdrojích (REDIII)</w:t>
            </w:r>
            <w:r w:rsidR="00000000">
              <w:rPr>
                <w:rStyle w:val="Hypertextovodkaz"/>
                <w:rFonts w:ascii="Arial" w:eastAsia="Times New Roman" w:hAnsi="Arial" w:cs="Arial"/>
                <w:b/>
                <w:bCs/>
                <w:color w:val="0F0D29" w:themeColor="text1"/>
                <w:kern w:val="36"/>
                <w:sz w:val="24"/>
                <w:szCs w:val="24"/>
                <w:u w:val="none"/>
                <w:lang w:eastAsia="cs-CZ"/>
              </w:rPr>
              <w:pict w14:anchorId="23DD9902">
                <v:rect id="_x0000_i1048" style="width:0;height:1.5pt" o:hralign="center" o:hrstd="t" o:hr="t" fillcolor="#a0a0a0" stroked="f"/>
              </w:pict>
            </w:r>
          </w:p>
          <w:p w14:paraId="053A526C" w14:textId="77777777" w:rsidR="00856285" w:rsidRDefault="00856285" w:rsidP="00856285">
            <w:pPr>
              <w:pStyle w:val="Bezmezer"/>
              <w:jc w:val="right"/>
              <w:rPr>
                <w:rStyle w:val="Hypertextovodkaz"/>
                <w:rFonts w:ascii="Arial" w:hAnsi="Arial" w:cs="Arial"/>
                <w:color w:val="auto"/>
                <w:sz w:val="20"/>
                <w:szCs w:val="20"/>
                <w:u w:val="none"/>
                <w:lang w:eastAsia="cs-CZ"/>
              </w:rPr>
            </w:pPr>
            <w:proofErr w:type="spellStart"/>
            <w:r w:rsidRPr="00856285">
              <w:rPr>
                <w:rStyle w:val="Hypertextovodkaz"/>
                <w:rFonts w:ascii="Arial" w:hAnsi="Arial" w:cs="Arial"/>
                <w:color w:val="auto"/>
                <w:sz w:val="20"/>
                <w:szCs w:val="20"/>
                <w:u w:val="none"/>
                <w:lang w:eastAsia="cs-CZ"/>
              </w:rPr>
              <w:t>Document</w:t>
            </w:r>
            <w:proofErr w:type="spellEnd"/>
            <w:r w:rsidRPr="00856285">
              <w:rPr>
                <w:rStyle w:val="Hypertextovodkaz"/>
                <w:rFonts w:ascii="Arial" w:hAnsi="Arial" w:cs="Arial"/>
                <w:color w:val="auto"/>
                <w:sz w:val="20"/>
                <w:szCs w:val="20"/>
                <w:u w:val="none"/>
                <w:lang w:eastAsia="cs-CZ"/>
              </w:rPr>
              <w:t xml:space="preserve"> 52021PC0557</w:t>
            </w:r>
          </w:p>
          <w:p w14:paraId="75D9B994" w14:textId="2458AEB8" w:rsidR="00856285" w:rsidRDefault="00856285" w:rsidP="0085628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Projednáno Radou EU </w:t>
            </w:r>
          </w:p>
          <w:p w14:paraId="3CB15DF3" w14:textId="77777777" w:rsidR="00856285" w:rsidRPr="004405C5" w:rsidRDefault="00856285" w:rsidP="00856285">
            <w:pPr>
              <w:pStyle w:val="Bezmezer"/>
              <w:jc w:val="right"/>
              <w:rPr>
                <w:rStyle w:val="Hypertextovodkaz"/>
                <w:rFonts w:ascii="Arial" w:hAnsi="Arial" w:cs="Arial"/>
                <w:color w:val="auto"/>
                <w:sz w:val="20"/>
                <w:szCs w:val="20"/>
                <w:u w:val="none"/>
                <w:lang w:eastAsia="cs-CZ"/>
              </w:rPr>
            </w:pPr>
          </w:p>
          <w:p w14:paraId="7B6DFE6D" w14:textId="77777777" w:rsidR="00856285" w:rsidRPr="004405C5" w:rsidRDefault="00856285" w:rsidP="00856285">
            <w:pPr>
              <w:pStyle w:val="Bezmezer"/>
              <w:jc w:val="right"/>
              <w:rPr>
                <w:rStyle w:val="Hypertextovodkaz"/>
                <w:rFonts w:ascii="Arial" w:hAnsi="Arial" w:cs="Arial"/>
                <w:color w:val="auto"/>
                <w:sz w:val="20"/>
                <w:szCs w:val="20"/>
                <w:u w:val="none"/>
                <w:lang w:eastAsia="cs-CZ"/>
              </w:rPr>
            </w:pPr>
          </w:p>
          <w:p w14:paraId="7064ED01" w14:textId="2C937E00" w:rsidR="00856285" w:rsidRDefault="00772DF8" w:rsidP="00856285">
            <w:pPr>
              <w:pStyle w:val="Bezmezer"/>
              <w:spacing w:line="360" w:lineRule="auto"/>
              <w:jc w:val="both"/>
              <w:rPr>
                <w:rStyle w:val="Hypertextovodkaz"/>
                <w:rFonts w:ascii="Arial" w:hAnsi="Arial" w:cs="Arial"/>
                <w:color w:val="auto"/>
                <w:sz w:val="20"/>
                <w:szCs w:val="20"/>
                <w:u w:val="none"/>
                <w:lang w:eastAsia="cs-CZ"/>
              </w:rPr>
            </w:pPr>
            <w:r w:rsidRPr="00772DF8">
              <w:rPr>
                <w:rStyle w:val="Hypertextovodkaz"/>
                <w:rFonts w:ascii="Arial" w:hAnsi="Arial" w:cs="Arial"/>
                <w:color w:val="auto"/>
                <w:sz w:val="20"/>
                <w:szCs w:val="20"/>
                <w:u w:val="none"/>
                <w:lang w:eastAsia="cs-CZ"/>
              </w:rPr>
              <w:t>Hlavním záměrem novely</w:t>
            </w:r>
            <w:r>
              <w:rPr>
                <w:rStyle w:val="Hypertextovodkaz"/>
                <w:rFonts w:ascii="Arial" w:hAnsi="Arial" w:cs="Arial"/>
                <w:color w:val="auto"/>
                <w:sz w:val="20"/>
                <w:szCs w:val="20"/>
                <w:u w:val="none"/>
                <w:lang w:eastAsia="cs-CZ"/>
              </w:rPr>
              <w:t xml:space="preserve"> Směrnice REDIII</w:t>
            </w:r>
            <w:r w:rsidRPr="00772DF8">
              <w:rPr>
                <w:rStyle w:val="Hypertextovodkaz"/>
                <w:rFonts w:ascii="Arial" w:hAnsi="Arial" w:cs="Arial"/>
                <w:color w:val="auto"/>
                <w:sz w:val="20"/>
                <w:szCs w:val="20"/>
                <w:u w:val="none"/>
                <w:lang w:eastAsia="cs-CZ"/>
              </w:rPr>
              <w:t xml:space="preserve"> je zvýšení cíle pro podíl obnovitelných zdrojů na spotřebě energie v EU do roku 2030 oproti závazkům, které vstoupili v platnost pouhé tři roky předtím na základě druhé revize směrnice. Evropská komise původně navrhovala navýšení podílu OZE z 32 % na 40 % do roku 2030. V reakci na ruskou agresi proti Ukrajině a související dopady na evropskou energetiku byl tento záměr prostřednictvím balíčku </w:t>
            </w:r>
            <w:proofErr w:type="spellStart"/>
            <w:r w:rsidRPr="00772DF8">
              <w:rPr>
                <w:rStyle w:val="Hypertextovodkaz"/>
                <w:rFonts w:ascii="Arial" w:hAnsi="Arial" w:cs="Arial"/>
                <w:color w:val="auto"/>
                <w:sz w:val="20"/>
                <w:szCs w:val="20"/>
                <w:u w:val="none"/>
                <w:lang w:eastAsia="cs-CZ"/>
              </w:rPr>
              <w:t>REpowerEU</w:t>
            </w:r>
            <w:proofErr w:type="spellEnd"/>
            <w:r w:rsidRPr="00772DF8">
              <w:rPr>
                <w:rStyle w:val="Hypertextovodkaz"/>
                <w:rFonts w:ascii="Arial" w:hAnsi="Arial" w:cs="Arial"/>
                <w:color w:val="auto"/>
                <w:sz w:val="20"/>
                <w:szCs w:val="20"/>
                <w:u w:val="none"/>
                <w:lang w:eastAsia="cs-CZ"/>
              </w:rPr>
              <w:t xml:space="preserve"> dále navýšen. Předběžná dohoda tak navýšila celkový závazek na dosažení 42,5% podílu OZE na spotřebě energie do roku 2030 na úrovni celé EU.</w:t>
            </w:r>
          </w:p>
          <w:p w14:paraId="315589F6" w14:textId="399A728B" w:rsidR="00772DF8" w:rsidRDefault="00772DF8" w:rsidP="00856285">
            <w:pPr>
              <w:pStyle w:val="Bezmezer"/>
              <w:spacing w:line="360" w:lineRule="auto"/>
              <w:jc w:val="both"/>
              <w:rPr>
                <w:rStyle w:val="Hypertextovodkaz"/>
                <w:rFonts w:ascii="Arial" w:hAnsi="Arial" w:cs="Arial"/>
                <w:color w:val="auto"/>
                <w:sz w:val="20"/>
                <w:szCs w:val="20"/>
                <w:u w:val="none"/>
                <w:lang w:eastAsia="cs-CZ"/>
              </w:rPr>
            </w:pPr>
          </w:p>
          <w:p w14:paraId="6535EC8E" w14:textId="77777777" w:rsidR="00772DF8" w:rsidRPr="00772DF8" w:rsidRDefault="00772DF8" w:rsidP="00772DF8">
            <w:pPr>
              <w:pStyle w:val="Bezmezer"/>
              <w:spacing w:line="360" w:lineRule="auto"/>
              <w:jc w:val="both"/>
              <w:rPr>
                <w:rStyle w:val="Hypertextovodkaz"/>
                <w:rFonts w:ascii="Arial" w:hAnsi="Arial" w:cs="Arial"/>
                <w:color w:val="auto"/>
                <w:sz w:val="20"/>
                <w:szCs w:val="20"/>
                <w:u w:val="none"/>
                <w:lang w:eastAsia="cs-CZ"/>
              </w:rPr>
            </w:pPr>
            <w:r w:rsidRPr="00772DF8">
              <w:rPr>
                <w:rStyle w:val="Hypertextovodkaz"/>
                <w:rFonts w:ascii="Arial" w:hAnsi="Arial" w:cs="Arial"/>
                <w:color w:val="auto"/>
                <w:sz w:val="20"/>
                <w:szCs w:val="20"/>
                <w:u w:val="none"/>
                <w:lang w:eastAsia="cs-CZ"/>
              </w:rPr>
              <w:t xml:space="preserve">Směrnice bude mít i zásadní dopad pro dodavatele paliv, včetně paliv v sektoru dopravy. K hlavním předpokládaným důsledkům bude vyšší povinnost zavádět obnovitelné zdroje v dopravě. Členské státy budou muset vytvořit podmínky a zároveň soubor požadavků na dodavatele, aby do roku 2030 se podíl obnovitelných zdrojů v dopravě zvýšil na 29 %. Případně, aby členské státy zajistily jinou cestou snížení intenzity produkce skleníkových plynů v dopravě o nejméně 14,5 %. Členské země si tak v rámci transpozice mohou vybrat jednu z těchto dvou možností k naplnění stanovených cílů pro sektor dopravy. V rámci následné transpozice by měla především vyhodnotit na základě dopadové studie, který z výše uvedených způsobů bude účelnější pro naplnění závazků vyplývajících ze Směrnice pro sektor dopravy a jak následně podle toho nastavit konkrétní politiky. Směrnice se rovněž zaměřuje na odvětví letecké a námořní dopravy zejména prostřednictvím opatření na zvýšení podílu biopaliv, bioplynu a obnovitelných paliv nebiologického původu, včetně zavedením minimálních podílů pro obnovitelná paliva nebiologického původu (vodík, syntetická paliva). </w:t>
            </w:r>
          </w:p>
          <w:p w14:paraId="7354695E" w14:textId="77777777" w:rsidR="00102FA4" w:rsidRDefault="00102FA4" w:rsidP="00772DF8">
            <w:pPr>
              <w:pStyle w:val="Bezmezer"/>
              <w:spacing w:line="360" w:lineRule="auto"/>
              <w:jc w:val="both"/>
              <w:rPr>
                <w:rStyle w:val="Hypertextovodkaz"/>
                <w:rFonts w:ascii="Arial" w:hAnsi="Arial" w:cs="Arial"/>
                <w:color w:val="auto"/>
                <w:sz w:val="20"/>
                <w:szCs w:val="20"/>
                <w:u w:val="none"/>
                <w:lang w:eastAsia="cs-CZ"/>
              </w:rPr>
            </w:pPr>
          </w:p>
          <w:p w14:paraId="60C0E298" w14:textId="04D17A7B" w:rsidR="00772DF8" w:rsidRDefault="00772DF8" w:rsidP="00772DF8">
            <w:pPr>
              <w:pStyle w:val="Bezmezer"/>
              <w:spacing w:line="360" w:lineRule="auto"/>
              <w:jc w:val="both"/>
              <w:rPr>
                <w:rStyle w:val="Hypertextovodkaz"/>
                <w:rFonts w:ascii="Arial" w:hAnsi="Arial" w:cs="Arial"/>
                <w:color w:val="auto"/>
                <w:sz w:val="20"/>
                <w:szCs w:val="20"/>
                <w:u w:val="none"/>
                <w:lang w:eastAsia="cs-CZ"/>
              </w:rPr>
            </w:pPr>
            <w:r w:rsidRPr="00772DF8">
              <w:rPr>
                <w:rStyle w:val="Hypertextovodkaz"/>
                <w:rFonts w:ascii="Arial" w:hAnsi="Arial" w:cs="Arial"/>
                <w:color w:val="auto"/>
                <w:sz w:val="20"/>
                <w:szCs w:val="20"/>
                <w:u w:val="none"/>
                <w:lang w:eastAsia="cs-CZ"/>
              </w:rPr>
              <w:t xml:space="preserve">V případě použití metody snížení intenzity produkce skleníkových plynů, budou členské státy povinny zavést metodologii, která zohlední rozdíly v množství emisí skleníkových plynů u různých typů obnovitelných zdrojů. V duchu obecné preference směrem k elektrifikaci dopravy je jako nejúčinnější z tohoto hlediska vnímá použití elektrické energie z obnovitelných zdrojů, tj. pro potřeby metodiky je považována jako plně bez emisní s naplněním 100% snížení produkce skleníkových plynů. Novela rovněž posouvá dále jednu z klíčových priorit EU v oblasti dopravy a jednoznačně ukazuje preferenci EU směrem ke zvýšení podpory dalšího rozvoje elektromobility.  V případě odvětví letecké a námořní dopravy je s ohledem na obtížnost využití elektrické energie umožněno použít koeficientu při výpočtu redukce emisí skleníkových plynů. </w:t>
            </w:r>
          </w:p>
          <w:p w14:paraId="432B0776" w14:textId="77777777" w:rsidR="00772DF8" w:rsidRPr="00772DF8" w:rsidRDefault="00772DF8" w:rsidP="00772DF8">
            <w:pPr>
              <w:pStyle w:val="Bezmezer"/>
              <w:spacing w:line="360" w:lineRule="auto"/>
              <w:jc w:val="both"/>
              <w:rPr>
                <w:rStyle w:val="Hypertextovodkaz"/>
                <w:rFonts w:ascii="Arial" w:hAnsi="Arial" w:cs="Arial"/>
                <w:color w:val="auto"/>
                <w:sz w:val="20"/>
                <w:szCs w:val="20"/>
                <w:u w:val="none"/>
                <w:lang w:eastAsia="cs-CZ"/>
              </w:rPr>
            </w:pPr>
          </w:p>
          <w:p w14:paraId="4118EE07" w14:textId="747047B3" w:rsidR="00772DF8" w:rsidRDefault="00772DF8" w:rsidP="00772DF8">
            <w:pPr>
              <w:pStyle w:val="Bezmezer"/>
              <w:spacing w:line="360" w:lineRule="auto"/>
              <w:jc w:val="both"/>
              <w:rPr>
                <w:rStyle w:val="Hypertextovodkaz"/>
                <w:rFonts w:ascii="Arial" w:hAnsi="Arial" w:cs="Arial"/>
                <w:color w:val="auto"/>
                <w:sz w:val="20"/>
                <w:szCs w:val="20"/>
                <w:u w:val="none"/>
                <w:lang w:eastAsia="cs-CZ"/>
              </w:rPr>
            </w:pPr>
            <w:r w:rsidRPr="00772DF8">
              <w:rPr>
                <w:rStyle w:val="Hypertextovodkaz"/>
                <w:rFonts w:ascii="Arial" w:hAnsi="Arial" w:cs="Arial"/>
                <w:color w:val="auto"/>
                <w:sz w:val="20"/>
                <w:szCs w:val="20"/>
                <w:u w:val="none"/>
                <w:lang w:eastAsia="cs-CZ"/>
              </w:rPr>
              <w:t>Směrnice dále zavádí nové závazné cíle pro obnovitelná paliva nebiologického původu a pro pokročilá biopaliva a bioplyn. V případě kombinovaného cíle pro biopaliva, bioplynů (Příloha IX) a obnovitelných paliv nebiologického původu se budou muset podle směrnice podílet na energetickém spotřebě 1 % do roku 2025 a 5,5 % do roku 2030. V případě dopravy se pak zavádí povinný závazek v tomto sektoru uplatnit 1 % obnovitelných paliv nebiologického původu. V rámci tohoto závazku je zohledněna především očekávaná role čistého vodíku pro potřeby dopravního sektoru.</w:t>
            </w:r>
          </w:p>
          <w:p w14:paraId="127B90F8" w14:textId="77777777" w:rsidR="00772DF8" w:rsidRDefault="00772DF8" w:rsidP="00772DF8">
            <w:pPr>
              <w:pStyle w:val="Bezmezer"/>
              <w:spacing w:line="360" w:lineRule="auto"/>
              <w:jc w:val="both"/>
              <w:rPr>
                <w:rStyle w:val="Hypertextovodkaz"/>
                <w:rFonts w:ascii="Arial" w:hAnsi="Arial" w:cs="Arial"/>
                <w:color w:val="auto"/>
                <w:sz w:val="20"/>
                <w:szCs w:val="20"/>
                <w:u w:val="none"/>
                <w:lang w:eastAsia="cs-CZ"/>
              </w:rPr>
            </w:pPr>
          </w:p>
          <w:p w14:paraId="3F096AE9" w14:textId="29754626" w:rsidR="00772DF8" w:rsidRDefault="00772DF8" w:rsidP="00772DF8">
            <w:pPr>
              <w:pStyle w:val="Bezmezer"/>
              <w:spacing w:line="360" w:lineRule="auto"/>
              <w:jc w:val="both"/>
              <w:rPr>
                <w:rStyle w:val="Hypertextovodkaz"/>
                <w:rFonts w:ascii="Arial" w:hAnsi="Arial" w:cs="Arial"/>
                <w:color w:val="auto"/>
                <w:sz w:val="20"/>
                <w:szCs w:val="20"/>
                <w:u w:val="none"/>
                <w:lang w:eastAsia="cs-CZ"/>
              </w:rPr>
            </w:pPr>
            <w:r w:rsidRPr="00772DF8">
              <w:rPr>
                <w:rStyle w:val="Hypertextovodkaz"/>
                <w:rFonts w:ascii="Arial" w:hAnsi="Arial" w:cs="Arial"/>
                <w:color w:val="auto"/>
                <w:sz w:val="20"/>
                <w:szCs w:val="20"/>
                <w:u w:val="none"/>
                <w:lang w:eastAsia="cs-CZ"/>
              </w:rPr>
              <w:lastRenderedPageBreak/>
              <w:t xml:space="preserve">Směrnice rovněž předpokládá nutnost s ohledem na naplnění dekarbonizace v sektoru dopravy provést úpravy směrnice 98/70/EC, kterou se upravuje kvalita pohonných hmot (benzín, diesel). Úprava má také zajistit, aby nedocházelo </w:t>
            </w:r>
            <w:proofErr w:type="gramStart"/>
            <w:r w:rsidRPr="00772DF8">
              <w:rPr>
                <w:rStyle w:val="Hypertextovodkaz"/>
                <w:rFonts w:ascii="Arial" w:hAnsi="Arial" w:cs="Arial"/>
                <w:color w:val="auto"/>
                <w:sz w:val="20"/>
                <w:szCs w:val="20"/>
                <w:u w:val="none"/>
                <w:lang w:eastAsia="cs-CZ"/>
              </w:rPr>
              <w:t>k</w:t>
            </w:r>
            <w:proofErr w:type="gramEnd"/>
            <w:r w:rsidRPr="00772DF8">
              <w:rPr>
                <w:rStyle w:val="Hypertextovodkaz"/>
                <w:rFonts w:ascii="Arial" w:hAnsi="Arial" w:cs="Arial"/>
                <w:color w:val="auto"/>
                <w:sz w:val="20"/>
                <w:szCs w:val="20"/>
                <w:u w:val="none"/>
                <w:lang w:eastAsia="cs-CZ"/>
              </w:rPr>
              <w:t xml:space="preserve"> dvojímu uplatnění regulatorních povinností.  </w:t>
            </w:r>
          </w:p>
          <w:p w14:paraId="1310E14C" w14:textId="77777777" w:rsidR="00772DF8" w:rsidRPr="00772DF8" w:rsidRDefault="00772DF8" w:rsidP="00772DF8">
            <w:pPr>
              <w:pStyle w:val="Bezmezer"/>
              <w:spacing w:line="360" w:lineRule="auto"/>
              <w:jc w:val="both"/>
              <w:rPr>
                <w:rStyle w:val="Hypertextovodkaz"/>
                <w:rFonts w:ascii="Arial" w:hAnsi="Arial" w:cs="Arial"/>
                <w:color w:val="auto"/>
                <w:sz w:val="20"/>
                <w:szCs w:val="20"/>
                <w:u w:val="none"/>
                <w:lang w:eastAsia="cs-CZ"/>
              </w:rPr>
            </w:pPr>
          </w:p>
          <w:p w14:paraId="7528FF9B" w14:textId="099FCAA6" w:rsidR="00772DF8" w:rsidRDefault="00772DF8" w:rsidP="00772DF8">
            <w:pPr>
              <w:pStyle w:val="Bezmezer"/>
              <w:spacing w:line="360" w:lineRule="auto"/>
              <w:jc w:val="both"/>
              <w:rPr>
                <w:rStyle w:val="Hypertextovodkaz"/>
                <w:rFonts w:ascii="Arial" w:hAnsi="Arial" w:cs="Arial"/>
                <w:color w:val="auto"/>
                <w:sz w:val="20"/>
                <w:szCs w:val="20"/>
                <w:u w:val="none"/>
                <w:lang w:eastAsia="cs-CZ"/>
              </w:rPr>
            </w:pPr>
            <w:r w:rsidRPr="00772DF8">
              <w:rPr>
                <w:rStyle w:val="Hypertextovodkaz"/>
                <w:rFonts w:ascii="Arial" w:hAnsi="Arial" w:cs="Arial"/>
                <w:color w:val="auto"/>
                <w:sz w:val="20"/>
                <w:szCs w:val="20"/>
                <w:u w:val="none"/>
                <w:lang w:eastAsia="cs-CZ"/>
              </w:rPr>
              <w:t xml:space="preserve">Vzhledem k úsilí o posílení transparentnosti celého dodavatelského řetězce pro biopaliva a recyklovaná paliva na bázi uhlíku, novela předjímá další posílení evropské databáze. Databáze </w:t>
            </w:r>
            <w:proofErr w:type="gramStart"/>
            <w:r w:rsidRPr="00772DF8">
              <w:rPr>
                <w:rStyle w:val="Hypertextovodkaz"/>
                <w:rFonts w:ascii="Arial" w:hAnsi="Arial" w:cs="Arial"/>
                <w:color w:val="auto"/>
                <w:sz w:val="20"/>
                <w:szCs w:val="20"/>
                <w:u w:val="none"/>
                <w:lang w:eastAsia="cs-CZ"/>
              </w:rPr>
              <w:t>slouží</w:t>
            </w:r>
            <w:proofErr w:type="gramEnd"/>
            <w:r w:rsidRPr="00772DF8">
              <w:rPr>
                <w:rStyle w:val="Hypertextovodkaz"/>
                <w:rFonts w:ascii="Arial" w:hAnsi="Arial" w:cs="Arial"/>
                <w:color w:val="auto"/>
                <w:sz w:val="20"/>
                <w:szCs w:val="20"/>
                <w:u w:val="none"/>
                <w:lang w:eastAsia="cs-CZ"/>
              </w:rPr>
              <w:t xml:space="preserve"> k sledování původu kapalných i plynných paliv biologického původu (biopaliva, paliva vyráběná z biomasy, bioplyny). Informace obsažené v databázi by měla nově Evropská komise s přihlédnutím k možné povaze citlivých obchodních informací zveřejňovat. Členské státy mají rovněž zajistit, že národní databáze budou plně interoperabilní s evropskou databází a že budou schopné přenášet informace oběma směry. Budou se uplatňovat nová pravidla pro certifikaci udržitelnosti podle implementačních dokumentů.</w:t>
            </w:r>
          </w:p>
          <w:p w14:paraId="522DF1F5" w14:textId="77777777" w:rsidR="00772DF8" w:rsidRDefault="00772DF8" w:rsidP="00772DF8">
            <w:pPr>
              <w:pStyle w:val="Bezmezer"/>
              <w:spacing w:line="360" w:lineRule="auto"/>
              <w:jc w:val="both"/>
              <w:rPr>
                <w:rStyle w:val="Hypertextovodkaz"/>
                <w:rFonts w:ascii="Arial" w:hAnsi="Arial" w:cs="Arial"/>
                <w:color w:val="auto"/>
                <w:sz w:val="20"/>
                <w:szCs w:val="20"/>
                <w:u w:val="none"/>
                <w:lang w:eastAsia="cs-CZ"/>
              </w:rPr>
            </w:pPr>
          </w:p>
          <w:p w14:paraId="3DBC7902" w14:textId="77777777" w:rsidR="00772DF8" w:rsidRPr="005078C0" w:rsidRDefault="00772DF8" w:rsidP="00772DF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Úkol:</w:t>
            </w:r>
            <w:r>
              <w:rPr>
                <w:rStyle w:val="Hypertextovodkaz"/>
                <w:rFonts w:ascii="Arial" w:eastAsia="Times New Roman" w:hAnsi="Arial" w:cs="Arial"/>
                <w:b/>
                <w:bCs/>
                <w:i/>
                <w:color w:val="0F0D29" w:themeColor="text1"/>
                <w:kern w:val="36"/>
                <w:sz w:val="20"/>
                <w:szCs w:val="20"/>
                <w:u w:val="none"/>
                <w:lang w:eastAsia="cs-CZ"/>
              </w:rPr>
              <w:t xml:space="preserve"> </w:t>
            </w:r>
            <w:r>
              <w:rPr>
                <w:rStyle w:val="Hypertextovodkaz"/>
                <w:rFonts w:ascii="Arial" w:eastAsia="Times New Roman" w:hAnsi="Arial" w:cs="Arial"/>
                <w:i/>
                <w:color w:val="0F0D29" w:themeColor="text1"/>
                <w:kern w:val="36"/>
                <w:sz w:val="20"/>
                <w:szCs w:val="20"/>
                <w:u w:val="none"/>
                <w:lang w:eastAsia="cs-CZ"/>
              </w:rPr>
              <w:t xml:space="preserve">OPS bude vývoj legislativy průběžně monitorovat a následně bude provedeno věcné posouzení odpovědnými útvary. </w:t>
            </w:r>
          </w:p>
          <w:p w14:paraId="4899E4CF" w14:textId="77777777" w:rsidR="00856285" w:rsidRPr="00856285" w:rsidRDefault="00856285" w:rsidP="00856285">
            <w:pPr>
              <w:spacing w:line="360" w:lineRule="auto"/>
              <w:jc w:val="both"/>
              <w:rPr>
                <w:rFonts w:ascii="Arial" w:hAnsi="Arial" w:cs="Arial"/>
                <w:bCs/>
                <w:color w:val="1B174A" w:themeColor="text1" w:themeTint="E6"/>
                <w:sz w:val="20"/>
                <w:szCs w:val="20"/>
              </w:rPr>
            </w:pPr>
          </w:p>
          <w:p w14:paraId="4C5E2A83" w14:textId="77777777" w:rsidR="006402B1" w:rsidRPr="00DA4CC0" w:rsidRDefault="006402B1" w:rsidP="00932F08">
            <w:pPr>
              <w:pStyle w:val="Bezmezer"/>
              <w:tabs>
                <w:tab w:val="left" w:pos="6360"/>
              </w:tabs>
              <w:spacing w:line="360" w:lineRule="auto"/>
            </w:pPr>
          </w:p>
          <w:p w14:paraId="148728CE" w14:textId="4E2D0EE5" w:rsidR="006F0138" w:rsidRPr="005078C0" w:rsidRDefault="006F0138" w:rsidP="006F0138">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t>Stanoviska a judikatura</w:t>
            </w:r>
          </w:p>
          <w:p w14:paraId="69B8C916" w14:textId="77777777" w:rsidR="00205C10" w:rsidRDefault="00205C10" w:rsidP="00205C1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963ED72" w14:textId="3BE2FDF5" w:rsidR="00325E58" w:rsidRPr="002F5594" w:rsidRDefault="007257DE" w:rsidP="00325E5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 xml:space="preserve">Náhrada škody </w:t>
            </w:r>
            <w:r w:rsidR="00377602">
              <w:rPr>
                <w:rStyle w:val="Hypertextovodkaz"/>
                <w:rFonts w:ascii="Arial" w:eastAsia="Times New Roman" w:hAnsi="Arial" w:cs="Arial"/>
                <w:b/>
                <w:bCs/>
                <w:color w:val="0F0D29" w:themeColor="text1"/>
                <w:kern w:val="36"/>
                <w:sz w:val="24"/>
                <w:szCs w:val="20"/>
                <w:u w:val="none"/>
                <w:lang w:eastAsia="cs-CZ"/>
              </w:rPr>
              <w:t>zvlášť nebezpečný provoz</w:t>
            </w:r>
            <w:r w:rsidR="00000000">
              <w:rPr>
                <w:rStyle w:val="Hypertextovodkaz"/>
                <w:rFonts w:ascii="Arial" w:eastAsia="Times New Roman" w:hAnsi="Arial" w:cs="Arial"/>
                <w:b/>
                <w:bCs/>
                <w:color w:val="0F0D29" w:themeColor="text1"/>
                <w:kern w:val="36"/>
                <w:sz w:val="24"/>
                <w:szCs w:val="24"/>
                <w:u w:val="none"/>
                <w:lang w:eastAsia="cs-CZ"/>
              </w:rPr>
              <w:pict w14:anchorId="2602181E">
                <v:rect id="_x0000_i1049" style="width:0;height:1.5pt" o:hralign="center" o:hrstd="t" o:hr="t" fillcolor="#a0a0a0" stroked="f"/>
              </w:pict>
            </w:r>
          </w:p>
          <w:p w14:paraId="103767C5" w14:textId="42BE6B8B" w:rsidR="00325E58" w:rsidRDefault="00325E58" w:rsidP="00325E5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A75E1C2" w14:textId="2024014D" w:rsidR="0054187B" w:rsidRDefault="007257DE" w:rsidP="00325E5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7257DE">
              <w:rPr>
                <w:rStyle w:val="Hypertextovodkaz"/>
                <w:rFonts w:ascii="Arial" w:eastAsia="Times New Roman" w:hAnsi="Arial" w:cs="Arial"/>
                <w:bCs/>
                <w:color w:val="0F0D29" w:themeColor="text1"/>
                <w:kern w:val="36"/>
                <w:sz w:val="20"/>
                <w:szCs w:val="20"/>
                <w:u w:val="none"/>
                <w:lang w:eastAsia="cs-CZ"/>
              </w:rPr>
              <w:t>Provoz zařízení využívajících pro své pracovní a výrobní procesy metodu spalování fosilních paliv splňuje v obecné rovině znaky provozu zvláště nebezpečného (zejména výroba elektrické či tepelné energie, paliv a chemických sloučenin). Není pochyb o továrním způsobu takových činností, neboť jsou v návaznosti různých technologických postupů využívány organizovaně fyzikální a chemické procesy ve složitých a sofistikovaných zařízeních. Spotřebovávané i vyrobené energie či jiné produkty lze v jejich množství a koncentraci považovat za nebezpečné látky stejně jako odpadní látky setrvale vypouštěné do ovzduší či vodních toků. Odpovědnost provozovatele podle § 2925 o. z. ovšem nastupuje jen tehdy, způsobil-li újmu zdroj zvýšeného nebezpečí, tedy právě činitelé zakládající znaky provozu zvlášť nebezpečného. Opačně platí, že tento typ odpovědnosti nenastoupí, vyvolají-li škodlivý následek takové okolnosti (činnosti), které nejsou podstatným znakem zvlášť nebezpečného provozu, jako například pohyb továrních vozidel, působení zvířat při ostraze či stavební nedostatky budov; takové okolnosti, byť mají souvislost s provozováním zvlášť nebezpečných činností, nejsou totiž zdrojem zvýšeného nebezpečí ve smyslu § 2925 věty první, části věty před středníkem o. z. Ve sporech o náhradu škody způsobené na lesních porostech exhalacemi pocházejícími z průmyslových závodů tak lze důvodně považovat za zdroj zvýšeného nebezpečí plynné sloučeniny dusíku a síry, jejichž vypouštění a působení nelze zcela eliminovat, takže ani při vynaložení řádné péče nelze vyloučit, že v souhrnném a dlouhodobém působení mohou vést k závažným újmám na lesních a jiných porostech či dokonce na lidském zdraví.</w:t>
            </w:r>
          </w:p>
          <w:p w14:paraId="2052A012" w14:textId="77777777" w:rsidR="00377602" w:rsidRDefault="00377602" w:rsidP="00325E5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9F8B920" w14:textId="3F32EFBD" w:rsidR="00325E58" w:rsidRDefault="00325E58" w:rsidP="00325E5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Na vědomí </w:t>
            </w:r>
            <w:r>
              <w:rPr>
                <w:rStyle w:val="Hypertextovodkaz"/>
                <w:rFonts w:ascii="Arial" w:eastAsia="Times New Roman" w:hAnsi="Arial" w:cs="Arial"/>
                <w:bCs/>
                <w:i/>
                <w:color w:val="0F0D29" w:themeColor="text1"/>
                <w:kern w:val="36"/>
                <w:sz w:val="20"/>
                <w:szCs w:val="20"/>
                <w:u w:val="none"/>
                <w:lang w:eastAsia="cs-CZ"/>
              </w:rPr>
              <w:t>POŘ</w:t>
            </w:r>
            <w:r w:rsidR="00377602">
              <w:rPr>
                <w:rStyle w:val="Hypertextovodkaz"/>
                <w:rFonts w:ascii="Arial" w:eastAsia="Times New Roman" w:hAnsi="Arial" w:cs="Arial"/>
                <w:bCs/>
                <w:i/>
                <w:color w:val="0F0D29" w:themeColor="text1"/>
                <w:kern w:val="36"/>
                <w:sz w:val="20"/>
                <w:szCs w:val="20"/>
                <w:u w:val="none"/>
                <w:lang w:eastAsia="cs-CZ"/>
              </w:rPr>
              <w:t>.</w:t>
            </w:r>
          </w:p>
          <w:p w14:paraId="55E2F896" w14:textId="6199D371" w:rsidR="00325E58" w:rsidRDefault="00325E58" w:rsidP="00325E58">
            <w:pPr>
              <w:tabs>
                <w:tab w:val="left" w:pos="3696"/>
              </w:tabs>
              <w:rPr>
                <w:rFonts w:ascii="Arial" w:eastAsia="Times New Roman" w:hAnsi="Arial" w:cs="Arial"/>
                <w:sz w:val="20"/>
                <w:szCs w:val="20"/>
                <w:lang w:eastAsia="cs-CZ"/>
              </w:rPr>
            </w:pPr>
          </w:p>
          <w:p w14:paraId="65516D91" w14:textId="77777777" w:rsidR="00861E7B" w:rsidRDefault="00861E7B" w:rsidP="00325E58">
            <w:pPr>
              <w:tabs>
                <w:tab w:val="left" w:pos="3696"/>
              </w:tabs>
              <w:rPr>
                <w:rFonts w:ascii="Arial" w:eastAsia="Times New Roman" w:hAnsi="Arial" w:cs="Arial"/>
                <w:sz w:val="20"/>
                <w:szCs w:val="20"/>
                <w:lang w:eastAsia="cs-CZ"/>
              </w:rPr>
            </w:pPr>
          </w:p>
          <w:p w14:paraId="0E6B7CDA" w14:textId="63720C68" w:rsidR="00DF09B8" w:rsidRPr="002F5594" w:rsidRDefault="00F95CE3" w:rsidP="00DF09B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lastRenderedPageBreak/>
              <w:t>Právo ručitele odepřít plnění</w:t>
            </w:r>
            <w:r w:rsidR="00000000">
              <w:rPr>
                <w:rStyle w:val="Hypertextovodkaz"/>
                <w:rFonts w:ascii="Arial" w:eastAsia="Times New Roman" w:hAnsi="Arial" w:cs="Arial"/>
                <w:b/>
                <w:bCs/>
                <w:color w:val="0F0D29" w:themeColor="text1"/>
                <w:kern w:val="36"/>
                <w:sz w:val="24"/>
                <w:szCs w:val="24"/>
                <w:u w:val="none"/>
                <w:lang w:eastAsia="cs-CZ"/>
              </w:rPr>
              <w:pict w14:anchorId="570C5025">
                <v:rect id="_x0000_i1050" style="width:0;height:1.5pt" o:hralign="center" o:hrstd="t" o:hr="t" fillcolor="#a0a0a0" stroked="f"/>
              </w:pict>
            </w:r>
          </w:p>
          <w:p w14:paraId="4CA16FC4" w14:textId="77777777" w:rsidR="00DF09B8" w:rsidRDefault="00DF09B8" w:rsidP="00F95CE3">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p>
          <w:p w14:paraId="50CBBDE4" w14:textId="695B614D" w:rsidR="00F95CE3" w:rsidRDefault="00F95CE3" w:rsidP="00F95CE3">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Rozsudek Nejvyššího soudu sp. zn. 3</w:t>
            </w:r>
            <w:r w:rsidRPr="00F95CE3">
              <w:rPr>
                <w:rStyle w:val="Hypertextovodkaz"/>
                <w:rFonts w:ascii="Arial" w:eastAsia="Times New Roman" w:hAnsi="Arial" w:cs="Arial"/>
                <w:bCs/>
                <w:color w:val="0F0D29" w:themeColor="text1"/>
                <w:kern w:val="36"/>
                <w:sz w:val="20"/>
                <w:szCs w:val="20"/>
                <w:u w:val="none"/>
                <w:lang w:eastAsia="cs-CZ"/>
              </w:rPr>
              <w:t xml:space="preserve">3 Cdo 951/2022 </w:t>
            </w:r>
            <w:r>
              <w:rPr>
                <w:rStyle w:val="Hypertextovodkaz"/>
                <w:rFonts w:ascii="Arial" w:eastAsia="Times New Roman" w:hAnsi="Arial" w:cs="Arial"/>
                <w:bCs/>
                <w:color w:val="0F0D29" w:themeColor="text1"/>
                <w:kern w:val="36"/>
                <w:sz w:val="20"/>
                <w:szCs w:val="20"/>
                <w:u w:val="none"/>
                <w:lang w:eastAsia="cs-CZ"/>
              </w:rPr>
              <w:t xml:space="preserve">ze dne </w:t>
            </w:r>
            <w:r w:rsidRPr="00F95CE3">
              <w:rPr>
                <w:rStyle w:val="Hypertextovodkaz"/>
                <w:rFonts w:ascii="Arial" w:eastAsia="Times New Roman" w:hAnsi="Arial" w:cs="Arial"/>
                <w:bCs/>
                <w:color w:val="0F0D29" w:themeColor="text1"/>
                <w:kern w:val="36"/>
                <w:sz w:val="20"/>
                <w:szCs w:val="20"/>
                <w:u w:val="none"/>
                <w:lang w:eastAsia="cs-CZ"/>
              </w:rPr>
              <w:t xml:space="preserve"> 22. 3. 2023</w:t>
            </w:r>
          </w:p>
          <w:p w14:paraId="71B0C453" w14:textId="77777777" w:rsidR="00F95CE3" w:rsidRDefault="00F95CE3" w:rsidP="00F95CE3">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p>
          <w:p w14:paraId="1B494EC8" w14:textId="72FF5FC5" w:rsidR="00F95CE3" w:rsidRPr="00F95CE3" w:rsidRDefault="00F95CE3" w:rsidP="00F95CE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F95CE3">
              <w:rPr>
                <w:rStyle w:val="Hypertextovodkaz"/>
                <w:rFonts w:ascii="Arial" w:eastAsia="Times New Roman" w:hAnsi="Arial" w:cs="Arial"/>
                <w:bCs/>
                <w:color w:val="0F0D29" w:themeColor="text1"/>
                <w:kern w:val="36"/>
                <w:sz w:val="20"/>
                <w:szCs w:val="20"/>
                <w:u w:val="none"/>
                <w:lang w:eastAsia="cs-CZ"/>
              </w:rPr>
              <w:t xml:space="preserve">Ručitel má podle § 2022 o. z. oprávnění odepřít plnění z důvodu zaviněného jednání (či opomenutí) věřitele, které </w:t>
            </w:r>
          </w:p>
          <w:p w14:paraId="5F72A38E" w14:textId="2B6F430C" w:rsidR="00F95CE3" w:rsidRDefault="00F95CE3" w:rsidP="00F95CE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F95CE3">
              <w:rPr>
                <w:rStyle w:val="Hypertextovodkaz"/>
                <w:rFonts w:ascii="Arial" w:eastAsia="Times New Roman" w:hAnsi="Arial" w:cs="Arial"/>
                <w:bCs/>
                <w:color w:val="0F0D29" w:themeColor="text1"/>
                <w:kern w:val="36"/>
                <w:sz w:val="20"/>
                <w:szCs w:val="20"/>
                <w:u w:val="none"/>
                <w:lang w:eastAsia="cs-CZ"/>
              </w:rPr>
              <w:t xml:space="preserve">je v příčinné souvislosti s tím, že jeho pohledávka nemůže být dlužníkem zcela nebo zčásti uspokojena. Ustanovení § 2022 o. z., jež je shodné s předchozí úpravou § 549 </w:t>
            </w:r>
            <w:proofErr w:type="spellStart"/>
            <w:r w:rsidRPr="00F95CE3">
              <w:rPr>
                <w:rStyle w:val="Hypertextovodkaz"/>
                <w:rFonts w:ascii="Arial" w:eastAsia="Times New Roman" w:hAnsi="Arial" w:cs="Arial"/>
                <w:bCs/>
                <w:color w:val="0F0D29" w:themeColor="text1"/>
                <w:kern w:val="36"/>
                <w:sz w:val="20"/>
                <w:szCs w:val="20"/>
                <w:u w:val="none"/>
                <w:lang w:eastAsia="cs-CZ"/>
              </w:rPr>
              <w:t>obč</w:t>
            </w:r>
            <w:proofErr w:type="spellEnd"/>
            <w:r w:rsidRPr="00F95CE3">
              <w:rPr>
                <w:rStyle w:val="Hypertextovodkaz"/>
                <w:rFonts w:ascii="Arial" w:eastAsia="Times New Roman" w:hAnsi="Arial" w:cs="Arial"/>
                <w:bCs/>
                <w:color w:val="0F0D29" w:themeColor="text1"/>
                <w:kern w:val="36"/>
                <w:sz w:val="20"/>
                <w:szCs w:val="20"/>
                <w:u w:val="none"/>
                <w:lang w:eastAsia="cs-CZ"/>
              </w:rPr>
              <w:t>. zák., poskytuje ručiteli možnost ochrany před jednáním věřitele, v jehož důsledku by pozbyl možnosti domáhat se své pohledávky po dlužníkovi poté, co sám dluh splnil. K úspěšnosti této námitky je vždy třeba postavit najisto, že v důsledku (v příčinné souvislosti) se zaviněným jednáním věřitele nemůže být pohledávka dlužníkem uspokojena.</w:t>
            </w:r>
          </w:p>
          <w:p w14:paraId="666BFDA5" w14:textId="77777777" w:rsidR="00F95CE3" w:rsidRPr="00F95CE3" w:rsidRDefault="00F95CE3" w:rsidP="00F95CE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97A36D8" w14:textId="57EE9E6C" w:rsidR="00F95CE3" w:rsidRPr="00F95CE3" w:rsidRDefault="00F95CE3" w:rsidP="00F95CE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F95CE3">
              <w:rPr>
                <w:rStyle w:val="Hypertextovodkaz"/>
                <w:rFonts w:ascii="Arial" w:eastAsia="Times New Roman" w:hAnsi="Arial" w:cs="Arial"/>
                <w:bCs/>
                <w:color w:val="0F0D29" w:themeColor="text1"/>
                <w:kern w:val="36"/>
                <w:sz w:val="20"/>
                <w:szCs w:val="20"/>
                <w:u w:val="none"/>
                <w:lang w:eastAsia="cs-CZ"/>
              </w:rPr>
              <w:t xml:space="preserve">Závěr odvolacího soudu v posuzované věci, že žalovaní jako ručitelé po právu odepřeli plnění, odůvodněný tím, </w:t>
            </w:r>
          </w:p>
          <w:p w14:paraId="3121FA7E" w14:textId="78407C42" w:rsidR="00F95CE3" w:rsidRPr="00F95CE3" w:rsidRDefault="00F95CE3" w:rsidP="00F95CE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F95CE3">
              <w:rPr>
                <w:rStyle w:val="Hypertextovodkaz"/>
                <w:rFonts w:ascii="Arial" w:eastAsia="Times New Roman" w:hAnsi="Arial" w:cs="Arial"/>
                <w:bCs/>
                <w:color w:val="0F0D29" w:themeColor="text1"/>
                <w:kern w:val="36"/>
                <w:sz w:val="20"/>
                <w:szCs w:val="20"/>
                <w:u w:val="none"/>
                <w:lang w:eastAsia="cs-CZ"/>
              </w:rPr>
              <w:t xml:space="preserve">že „předchůdkyně žalobkyně (…) nepodnikly potřebné úkony dříve tak, aby zabránily dlužníkovi v účelovém </w:t>
            </w:r>
          </w:p>
          <w:p w14:paraId="55A88652" w14:textId="21655D89" w:rsidR="00F95CE3" w:rsidRPr="00F95CE3" w:rsidRDefault="00F95CE3" w:rsidP="00F95CE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F95CE3">
              <w:rPr>
                <w:rStyle w:val="Hypertextovodkaz"/>
                <w:rFonts w:ascii="Arial" w:eastAsia="Times New Roman" w:hAnsi="Arial" w:cs="Arial"/>
                <w:bCs/>
                <w:color w:val="0F0D29" w:themeColor="text1"/>
                <w:kern w:val="36"/>
                <w:sz w:val="20"/>
                <w:szCs w:val="20"/>
                <w:u w:val="none"/>
                <w:lang w:eastAsia="cs-CZ"/>
              </w:rPr>
              <w:t xml:space="preserve">snižování majetku v takovém rozsahu, že uspokojení věřitelovy pohledávky bylo ohroženo“, neobstojí, neboť nebylo postaveno najisto, že (v důsledku toho, že ji věřitelé řádně na dlužníkovi nevymáhali) jde o pohledávku, která nemůže být dlužníkem uspokojena. Konstatování odvolacího soudu, že v projednávané věci pohledávka </w:t>
            </w:r>
          </w:p>
          <w:p w14:paraId="553099BA" w14:textId="48C21B06" w:rsidR="00F95CE3" w:rsidRPr="00F95CE3" w:rsidRDefault="00F95CE3" w:rsidP="00F95CE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F95CE3">
              <w:rPr>
                <w:rStyle w:val="Hypertextovodkaz"/>
                <w:rFonts w:ascii="Arial" w:eastAsia="Times New Roman" w:hAnsi="Arial" w:cs="Arial"/>
                <w:bCs/>
                <w:color w:val="0F0D29" w:themeColor="text1"/>
                <w:kern w:val="36"/>
                <w:sz w:val="20"/>
                <w:szCs w:val="20"/>
                <w:u w:val="none"/>
                <w:lang w:eastAsia="cs-CZ"/>
              </w:rPr>
              <w:t xml:space="preserve">nemůže být dlužníkem uspokojena (slovy odvolacího soudu „že její uspokojení bylo ohroženo“), totiž nemá oporu </w:t>
            </w:r>
          </w:p>
          <w:p w14:paraId="4676B767" w14:textId="6CDC7A95" w:rsidR="00F95CE3" w:rsidRPr="00F95CE3" w:rsidRDefault="00F95CE3" w:rsidP="00F95CE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F95CE3">
              <w:rPr>
                <w:rStyle w:val="Hypertextovodkaz"/>
                <w:rFonts w:ascii="Arial" w:eastAsia="Times New Roman" w:hAnsi="Arial" w:cs="Arial"/>
                <w:bCs/>
                <w:color w:val="0F0D29" w:themeColor="text1"/>
                <w:kern w:val="36"/>
                <w:sz w:val="20"/>
                <w:szCs w:val="20"/>
                <w:u w:val="none"/>
                <w:lang w:eastAsia="cs-CZ"/>
              </w:rPr>
              <w:t>ve skutkových zjištěních. Bez prokázání existence této podmínky včetně existence příčinné souvislosti s</w:t>
            </w:r>
            <w:r>
              <w:rPr>
                <w:rStyle w:val="Hypertextovodkaz"/>
                <w:rFonts w:ascii="Arial" w:eastAsia="Times New Roman" w:hAnsi="Arial" w:cs="Arial"/>
                <w:bCs/>
                <w:color w:val="0F0D29" w:themeColor="text1"/>
                <w:kern w:val="36"/>
                <w:sz w:val="20"/>
                <w:szCs w:val="20"/>
                <w:u w:val="none"/>
                <w:lang w:eastAsia="cs-CZ"/>
              </w:rPr>
              <w:t> </w:t>
            </w:r>
            <w:r w:rsidRPr="00F95CE3">
              <w:rPr>
                <w:rStyle w:val="Hypertextovodkaz"/>
                <w:rFonts w:ascii="Arial" w:eastAsia="Times New Roman" w:hAnsi="Arial" w:cs="Arial"/>
                <w:bCs/>
                <w:color w:val="0F0D29" w:themeColor="text1"/>
                <w:kern w:val="36"/>
                <w:sz w:val="20"/>
                <w:szCs w:val="20"/>
                <w:u w:val="none"/>
                <w:lang w:eastAsia="cs-CZ"/>
              </w:rPr>
              <w:t>jednáním</w:t>
            </w:r>
            <w:r>
              <w:rPr>
                <w:rStyle w:val="Hypertextovodkaz"/>
                <w:rFonts w:ascii="Arial" w:eastAsia="Times New Roman" w:hAnsi="Arial" w:cs="Arial"/>
                <w:bCs/>
                <w:color w:val="0F0D29" w:themeColor="text1"/>
                <w:kern w:val="36"/>
                <w:sz w:val="20"/>
                <w:szCs w:val="20"/>
                <w:u w:val="none"/>
                <w:lang w:eastAsia="cs-CZ"/>
              </w:rPr>
              <w:t xml:space="preserve"> </w:t>
            </w:r>
            <w:r w:rsidRPr="00F95CE3">
              <w:rPr>
                <w:rStyle w:val="Hypertextovodkaz"/>
                <w:rFonts w:ascii="Arial" w:eastAsia="Times New Roman" w:hAnsi="Arial" w:cs="Arial"/>
                <w:bCs/>
                <w:color w:val="0F0D29" w:themeColor="text1"/>
                <w:kern w:val="36"/>
                <w:sz w:val="20"/>
                <w:szCs w:val="20"/>
                <w:u w:val="none"/>
                <w:lang w:eastAsia="cs-CZ"/>
              </w:rPr>
              <w:t>věřitele je právní posouzení uvedené otázky (zda žalovaní jako ručitelé byli oprávněni plnění odepřít) neúplné a tudíž nesprávné.</w:t>
            </w:r>
          </w:p>
          <w:p w14:paraId="4CB3FEBF" w14:textId="039C2CD2" w:rsidR="00DF09B8" w:rsidRDefault="00DF09B8" w:rsidP="00DF09B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Na vědomí </w:t>
            </w:r>
            <w:r>
              <w:rPr>
                <w:rStyle w:val="Hypertextovodkaz"/>
                <w:rFonts w:ascii="Arial" w:eastAsia="Times New Roman" w:hAnsi="Arial" w:cs="Arial"/>
                <w:bCs/>
                <w:i/>
                <w:color w:val="0F0D29" w:themeColor="text1"/>
                <w:kern w:val="36"/>
                <w:sz w:val="20"/>
                <w:szCs w:val="20"/>
                <w:u w:val="none"/>
                <w:lang w:eastAsia="cs-CZ"/>
              </w:rPr>
              <w:t xml:space="preserve">POŘ. </w:t>
            </w:r>
          </w:p>
          <w:p w14:paraId="4A1E6EC6" w14:textId="77777777" w:rsidR="00CB1423" w:rsidRDefault="00CB1423" w:rsidP="00DF09B8">
            <w:pPr>
              <w:tabs>
                <w:tab w:val="left" w:pos="3696"/>
              </w:tabs>
              <w:rPr>
                <w:rFonts w:ascii="Arial" w:eastAsia="Times New Roman" w:hAnsi="Arial" w:cs="Arial"/>
                <w:bCs/>
                <w:color w:val="0F0D29" w:themeColor="text1"/>
                <w:kern w:val="36"/>
                <w:sz w:val="20"/>
                <w:szCs w:val="20"/>
                <w:lang w:eastAsia="cs-CZ"/>
              </w:rPr>
            </w:pPr>
          </w:p>
          <w:p w14:paraId="3A6FAF9A" w14:textId="207DD934" w:rsidR="00A7757B" w:rsidRPr="002F5594" w:rsidRDefault="00A7757B" w:rsidP="00A7757B">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A7757B">
              <w:rPr>
                <w:rStyle w:val="Hypertextovodkaz"/>
                <w:rFonts w:ascii="Arial" w:eastAsia="Times New Roman" w:hAnsi="Arial" w:cs="Arial"/>
                <w:b/>
                <w:bCs/>
                <w:color w:val="0F0D29" w:themeColor="text1"/>
                <w:kern w:val="36"/>
                <w:sz w:val="24"/>
                <w:szCs w:val="20"/>
                <w:u w:val="none"/>
                <w:lang w:eastAsia="cs-CZ"/>
              </w:rPr>
              <w:t>Nevymáhání smluvní pokuty jako potenciální podstatná změna závazku ze smlouvy na veřejnou zakázku</w:t>
            </w:r>
            <w:r w:rsidR="00000000">
              <w:rPr>
                <w:rStyle w:val="Hypertextovodkaz"/>
                <w:rFonts w:ascii="Arial" w:eastAsia="Times New Roman" w:hAnsi="Arial" w:cs="Arial"/>
                <w:b/>
                <w:bCs/>
                <w:color w:val="0F0D29" w:themeColor="text1"/>
                <w:kern w:val="36"/>
                <w:sz w:val="24"/>
                <w:szCs w:val="24"/>
                <w:u w:val="none"/>
                <w:lang w:eastAsia="cs-CZ"/>
              </w:rPr>
              <w:pict w14:anchorId="3E7570A8">
                <v:rect id="_x0000_i1051" style="width:0;height:1.5pt" o:hralign="center" o:hrstd="t" o:hr="t" fillcolor="#a0a0a0" stroked="f"/>
              </w:pict>
            </w:r>
          </w:p>
          <w:p w14:paraId="69B0873A" w14:textId="77777777" w:rsidR="00A7757B" w:rsidRDefault="00A7757B" w:rsidP="00A7757B">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p>
          <w:p w14:paraId="3440A592" w14:textId="6889CB9A" w:rsidR="00A7757B" w:rsidRDefault="00A7757B" w:rsidP="00A7757B">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Rozsudek Nejvyššího správního soudu </w:t>
            </w:r>
            <w:r w:rsidRPr="00A7757B">
              <w:rPr>
                <w:rStyle w:val="Hypertextovodkaz"/>
                <w:rFonts w:ascii="Arial" w:eastAsia="Times New Roman" w:hAnsi="Arial" w:cs="Arial"/>
                <w:bCs/>
                <w:color w:val="0F0D29" w:themeColor="text1"/>
                <w:kern w:val="36"/>
                <w:sz w:val="20"/>
                <w:szCs w:val="20"/>
                <w:u w:val="none"/>
                <w:lang w:eastAsia="cs-CZ"/>
              </w:rPr>
              <w:t xml:space="preserve">sp. zn. 8 </w:t>
            </w:r>
            <w:proofErr w:type="spellStart"/>
            <w:r w:rsidRPr="00A7757B">
              <w:rPr>
                <w:rStyle w:val="Hypertextovodkaz"/>
                <w:rFonts w:ascii="Arial" w:eastAsia="Times New Roman" w:hAnsi="Arial" w:cs="Arial"/>
                <w:bCs/>
                <w:color w:val="0F0D29" w:themeColor="text1"/>
                <w:kern w:val="36"/>
                <w:sz w:val="20"/>
                <w:szCs w:val="20"/>
                <w:u w:val="none"/>
                <w:lang w:eastAsia="cs-CZ"/>
              </w:rPr>
              <w:t>Afs</w:t>
            </w:r>
            <w:proofErr w:type="spellEnd"/>
            <w:r w:rsidRPr="00A7757B">
              <w:rPr>
                <w:rStyle w:val="Hypertextovodkaz"/>
                <w:rFonts w:ascii="Arial" w:eastAsia="Times New Roman" w:hAnsi="Arial" w:cs="Arial"/>
                <w:bCs/>
                <w:color w:val="0F0D29" w:themeColor="text1"/>
                <w:kern w:val="36"/>
                <w:sz w:val="20"/>
                <w:szCs w:val="20"/>
                <w:u w:val="none"/>
                <w:lang w:eastAsia="cs-CZ"/>
              </w:rPr>
              <w:t xml:space="preserve"> 157/2021</w:t>
            </w:r>
            <w:r>
              <w:rPr>
                <w:rStyle w:val="Hypertextovodkaz"/>
                <w:rFonts w:ascii="Arial" w:eastAsia="Times New Roman" w:hAnsi="Arial" w:cs="Arial"/>
                <w:bCs/>
                <w:color w:val="0F0D29" w:themeColor="text1"/>
                <w:kern w:val="36"/>
                <w:sz w:val="20"/>
                <w:szCs w:val="20"/>
                <w:u w:val="none"/>
                <w:lang w:eastAsia="cs-CZ"/>
              </w:rPr>
              <w:t xml:space="preserve"> z</w:t>
            </w:r>
            <w:r w:rsidRPr="00A7757B">
              <w:rPr>
                <w:rStyle w:val="Hypertextovodkaz"/>
                <w:rFonts w:ascii="Arial" w:eastAsia="Times New Roman" w:hAnsi="Arial" w:cs="Arial"/>
                <w:bCs/>
                <w:color w:val="0F0D29" w:themeColor="text1"/>
                <w:kern w:val="36"/>
                <w:sz w:val="20"/>
                <w:szCs w:val="20"/>
                <w:u w:val="none"/>
                <w:lang w:eastAsia="cs-CZ"/>
              </w:rPr>
              <w:t>e dne 30.</w:t>
            </w:r>
            <w:r>
              <w:rPr>
                <w:rStyle w:val="Hypertextovodkaz"/>
                <w:rFonts w:ascii="Arial" w:eastAsia="Times New Roman" w:hAnsi="Arial" w:cs="Arial"/>
                <w:bCs/>
                <w:color w:val="0F0D29" w:themeColor="text1"/>
                <w:kern w:val="36"/>
                <w:sz w:val="20"/>
                <w:szCs w:val="20"/>
                <w:u w:val="none"/>
                <w:lang w:eastAsia="cs-CZ"/>
              </w:rPr>
              <w:t xml:space="preserve"> 3. </w:t>
            </w:r>
            <w:r w:rsidRPr="00A7757B">
              <w:rPr>
                <w:rStyle w:val="Hypertextovodkaz"/>
                <w:rFonts w:ascii="Arial" w:eastAsia="Times New Roman" w:hAnsi="Arial" w:cs="Arial"/>
                <w:bCs/>
                <w:color w:val="0F0D29" w:themeColor="text1"/>
                <w:kern w:val="36"/>
                <w:sz w:val="20"/>
                <w:szCs w:val="20"/>
                <w:u w:val="none"/>
                <w:lang w:eastAsia="cs-CZ"/>
              </w:rPr>
              <w:t>2023</w:t>
            </w:r>
          </w:p>
          <w:p w14:paraId="2F1CA24A" w14:textId="77777777" w:rsidR="00A7757B" w:rsidRDefault="00A7757B" w:rsidP="00A7757B">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p>
          <w:p w14:paraId="5FCCB29B" w14:textId="3ADC4D5F" w:rsidR="00A7757B" w:rsidRPr="00A7757B" w:rsidRDefault="00A7757B" w:rsidP="00A7757B">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A7757B">
              <w:rPr>
                <w:rStyle w:val="Hypertextovodkaz"/>
                <w:rFonts w:ascii="Arial" w:eastAsia="Times New Roman" w:hAnsi="Arial" w:cs="Arial"/>
                <w:bCs/>
                <w:color w:val="0F0D29" w:themeColor="text1"/>
                <w:kern w:val="36"/>
                <w:sz w:val="20"/>
                <w:szCs w:val="20"/>
                <w:u w:val="none"/>
                <w:lang w:eastAsia="cs-CZ"/>
              </w:rPr>
              <w:t>NSS se zaobíral otázkou, zda může být neuplatnění smluvní pokuty podstatnou změnou závazku dle § 222 odst. 1 ZZVZ, a došel k závěru, že může. Nečinnost s uplatněním práva na smluvní pokutu má stejný důsledek, jako samotné prodloužení termínu k provedení díla. Fixně stanovený termín k dokončení díla zajištěný smluvní pokutou je přitom důležitým parametrem pro potenciální dodavatele při případném podání nabídky. Dodavatelé očekávají, že v případě prodlení po nich bude zadavatel smluvní pokutu bezprostředně požadovat, a tedy pokud dojdou k závěru, že termín k dokončení díla nejsou schopni dodržet, o zakázku se buďto neuchází vůbec, anebo tuto skutečnost zohlední ve své nabídce.</w:t>
            </w:r>
          </w:p>
          <w:p w14:paraId="4AECDC32" w14:textId="77777777" w:rsidR="00A7757B" w:rsidRPr="00A7757B" w:rsidRDefault="00A7757B" w:rsidP="00A7757B">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BC8359D" w14:textId="77777777" w:rsidR="00A7757B" w:rsidRPr="00A7757B" w:rsidRDefault="00A7757B" w:rsidP="00A7757B">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A7757B">
              <w:rPr>
                <w:rStyle w:val="Hypertextovodkaz"/>
                <w:rFonts w:ascii="Arial" w:eastAsia="Times New Roman" w:hAnsi="Arial" w:cs="Arial"/>
                <w:bCs/>
                <w:color w:val="0F0D29" w:themeColor="text1"/>
                <w:kern w:val="36"/>
                <w:sz w:val="20"/>
                <w:szCs w:val="20"/>
                <w:u w:val="none"/>
                <w:lang w:eastAsia="cs-CZ"/>
              </w:rPr>
              <w:t xml:space="preserve">Skutečnost, že zadavatel smluvní pokutu stihne nárokovat před jejím promlčením, automaticky neznamená, že se podstatné změny závazku nedopustil. Dle NSS totiž i skutečnost, že může dodavatel s penězi ve výši smluvní pokuty do jejího zadavatelem bezdůvodně odloženého uplatnění nakládat, dodavatele zvýhodňuje, neboť tuto částku může v mezičase zhodnotit a jinak s ní disponovat. Navíc s ohledem na neustále snižující se hodnotu peněz způsobenou inflací je pro dodavatele výhodné, pokud zadavatel tuto částku uplatní až postupem času. </w:t>
            </w:r>
            <w:r w:rsidRPr="00A7757B">
              <w:rPr>
                <w:rStyle w:val="Hypertextovodkaz"/>
                <w:rFonts w:ascii="Arial" w:eastAsia="Times New Roman" w:hAnsi="Arial" w:cs="Arial"/>
                <w:bCs/>
                <w:color w:val="0F0D29" w:themeColor="text1"/>
                <w:kern w:val="36"/>
                <w:sz w:val="20"/>
                <w:szCs w:val="20"/>
                <w:u w:val="none"/>
                <w:lang w:eastAsia="cs-CZ"/>
              </w:rPr>
              <w:lastRenderedPageBreak/>
              <w:t xml:space="preserve">NSS nastiňuje situaci, že někteří dodavatelé skrze své cash </w:t>
            </w:r>
            <w:proofErr w:type="spellStart"/>
            <w:r w:rsidRPr="00A7757B">
              <w:rPr>
                <w:rStyle w:val="Hypertextovodkaz"/>
                <w:rFonts w:ascii="Arial" w:eastAsia="Times New Roman" w:hAnsi="Arial" w:cs="Arial"/>
                <w:bCs/>
                <w:color w:val="0F0D29" w:themeColor="text1"/>
                <w:kern w:val="36"/>
                <w:sz w:val="20"/>
                <w:szCs w:val="20"/>
                <w:u w:val="none"/>
                <w:lang w:eastAsia="cs-CZ"/>
              </w:rPr>
              <w:t>flow</w:t>
            </w:r>
            <w:proofErr w:type="spellEnd"/>
            <w:r w:rsidRPr="00A7757B">
              <w:rPr>
                <w:rStyle w:val="Hypertextovodkaz"/>
                <w:rFonts w:ascii="Arial" w:eastAsia="Times New Roman" w:hAnsi="Arial" w:cs="Arial"/>
                <w:bCs/>
                <w:color w:val="0F0D29" w:themeColor="text1"/>
                <w:kern w:val="36"/>
                <w:sz w:val="20"/>
                <w:szCs w:val="20"/>
                <w:u w:val="none"/>
                <w:lang w:eastAsia="cs-CZ"/>
              </w:rPr>
              <w:t xml:space="preserve"> nabídku nepodají vůbec, jelikož by si okamžitou platbu smluvní pokuty nemohli dovolit, ačkoliv její pozdější úhradu by již byli schopni zvládnout. Důležitým faktem rovněž je, že po výzvě k úhradě smluvní pokuty vzniká zadavateli právo rovněž na úrok z prodlení.</w:t>
            </w:r>
          </w:p>
          <w:p w14:paraId="4ABDC4DE" w14:textId="77777777" w:rsidR="00A7757B" w:rsidRPr="00A7757B" w:rsidRDefault="00A7757B" w:rsidP="00A7757B">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CF11FB3" w14:textId="3090F713" w:rsidR="00A7757B" w:rsidRDefault="00A7757B" w:rsidP="00A7757B">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A7757B">
              <w:rPr>
                <w:rStyle w:val="Hypertextovodkaz"/>
                <w:rFonts w:ascii="Arial" w:eastAsia="Times New Roman" w:hAnsi="Arial" w:cs="Arial"/>
                <w:bCs/>
                <w:color w:val="0F0D29" w:themeColor="text1"/>
                <w:kern w:val="36"/>
                <w:sz w:val="20"/>
                <w:szCs w:val="20"/>
                <w:u w:val="none"/>
                <w:lang w:eastAsia="cs-CZ"/>
              </w:rPr>
              <w:t>NSS však zároveň připouští, že za určitých situací je možné, aby vymáhání smluvní pokuty s velkým časovým odstupem nezpůsobovalo podstatnou změnu závazku. Příkladem výslovně uvádí situace, kdy zadavatel nárok vyhodnocuje či k němu shromažďuje důkazy, a dále situace, kdy je nárok nejistý či sporný, nebo pokud o vypořádání nároku probíhá jednání s dodavatelem.</w:t>
            </w:r>
          </w:p>
          <w:p w14:paraId="44636B45" w14:textId="77777777" w:rsidR="00A7757B" w:rsidRPr="00F95CE3" w:rsidRDefault="00A7757B" w:rsidP="00A7757B">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F2B9FBF" w14:textId="744ACFC4" w:rsidR="00A7757B" w:rsidRDefault="00A7757B" w:rsidP="00A7757B">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Na vědomí </w:t>
            </w:r>
            <w:r>
              <w:rPr>
                <w:rStyle w:val="Hypertextovodkaz"/>
                <w:rFonts w:ascii="Arial" w:eastAsia="Times New Roman" w:hAnsi="Arial" w:cs="Arial"/>
                <w:bCs/>
                <w:i/>
                <w:color w:val="0F0D29" w:themeColor="text1"/>
                <w:kern w:val="36"/>
                <w:sz w:val="20"/>
                <w:szCs w:val="20"/>
                <w:u w:val="none"/>
                <w:lang w:eastAsia="cs-CZ"/>
              </w:rPr>
              <w:t>POŘ a OCN.</w:t>
            </w:r>
          </w:p>
          <w:p w14:paraId="710E2DBD" w14:textId="2A8EFA20" w:rsidR="00A7757B" w:rsidRPr="00A81EDF" w:rsidRDefault="00A7757B" w:rsidP="00DF09B8">
            <w:pPr>
              <w:tabs>
                <w:tab w:val="left" w:pos="3696"/>
              </w:tabs>
              <w:rPr>
                <w:rFonts w:ascii="Arial" w:eastAsia="Times New Roman" w:hAnsi="Arial" w:cs="Arial"/>
                <w:bCs/>
                <w:color w:val="0F0D29" w:themeColor="text1"/>
                <w:kern w:val="36"/>
                <w:sz w:val="20"/>
                <w:szCs w:val="20"/>
                <w:lang w:eastAsia="cs-CZ"/>
              </w:rPr>
            </w:pPr>
          </w:p>
        </w:tc>
      </w:tr>
      <w:tr w:rsidR="00F75ED7" w:rsidRPr="005078C0" w14:paraId="68237412" w14:textId="77777777" w:rsidTr="00DA4CC0">
        <w:trPr>
          <w:trHeight w:val="5931"/>
        </w:trPr>
        <w:tc>
          <w:tcPr>
            <w:tcW w:w="9923" w:type="dxa"/>
            <w:shd w:val="clear" w:color="auto" w:fill="auto"/>
          </w:tcPr>
          <w:p w14:paraId="30AC96D7" w14:textId="26E38325" w:rsidR="008B5919" w:rsidRPr="006402B1" w:rsidRDefault="008B5919" w:rsidP="006402B1">
            <w:pPr>
              <w:spacing w:line="360" w:lineRule="auto"/>
              <w:jc w:val="both"/>
              <w:rPr>
                <w:rFonts w:ascii="Arial" w:hAnsi="Arial" w:cs="Arial"/>
                <w:color w:val="0F0D29" w:themeColor="text1"/>
              </w:rPr>
            </w:pPr>
          </w:p>
        </w:tc>
      </w:tr>
    </w:tbl>
    <w:p w14:paraId="36AC9AAC" w14:textId="5478FA9A" w:rsidR="00457844" w:rsidRPr="00E4461E" w:rsidRDefault="00457844" w:rsidP="006402B1">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p>
    <w:sectPr w:rsidR="00457844" w:rsidRPr="00E4461E" w:rsidSect="00AB02A7">
      <w:headerReference w:type="default" r:id="rId10"/>
      <w:footerReference w:type="default" r:id="rId11"/>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0F3C2" w14:textId="77777777" w:rsidR="00FB4BC4" w:rsidRDefault="00FB4BC4">
      <w:r>
        <w:separator/>
      </w:r>
    </w:p>
    <w:p w14:paraId="46F43F01" w14:textId="77777777" w:rsidR="00FB4BC4" w:rsidRDefault="00FB4BC4"/>
  </w:endnote>
  <w:endnote w:type="continuationSeparator" w:id="0">
    <w:p w14:paraId="66CE0B49" w14:textId="77777777" w:rsidR="00FB4BC4" w:rsidRDefault="00FB4BC4">
      <w:r>
        <w:continuationSeparator/>
      </w:r>
    </w:p>
    <w:p w14:paraId="0993CDB5" w14:textId="77777777" w:rsidR="00FB4BC4" w:rsidRDefault="00FB4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Content>
      <w:p w14:paraId="316DA8A2" w14:textId="37EC1B35"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6F0138">
          <w:rPr>
            <w:rFonts w:ascii="Arial" w:hAnsi="Arial" w:cs="Arial"/>
            <w:b w:val="0"/>
            <w:bCs/>
            <w:noProof/>
            <w:color w:val="0F0D29" w:themeColor="text1"/>
            <w:sz w:val="20"/>
            <w:szCs w:val="20"/>
            <w:lang w:bidi="cs-CZ"/>
          </w:rPr>
          <w:t>7</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D0841" w14:textId="77777777" w:rsidR="00FB4BC4" w:rsidRDefault="00FB4BC4">
      <w:r>
        <w:separator/>
      </w:r>
    </w:p>
    <w:p w14:paraId="1A9296FB" w14:textId="77777777" w:rsidR="00FB4BC4" w:rsidRDefault="00FB4BC4"/>
  </w:footnote>
  <w:footnote w:type="continuationSeparator" w:id="0">
    <w:p w14:paraId="78DD249E" w14:textId="77777777" w:rsidR="00FB4BC4" w:rsidRDefault="00FB4BC4">
      <w:r>
        <w:continuationSeparator/>
      </w:r>
    </w:p>
    <w:p w14:paraId="56D2B889" w14:textId="77777777" w:rsidR="00FB4BC4" w:rsidRDefault="00FB4BC4"/>
  </w:footnote>
  <w:footnote w:id="1">
    <w:p w14:paraId="54F0EF94" w14:textId="77777777" w:rsidR="00791ED0" w:rsidRDefault="00791ED0" w:rsidP="00791ED0">
      <w:pPr>
        <w:pStyle w:val="Textpoznpodarou"/>
      </w:pPr>
      <w:r>
        <w:rPr>
          <w:rStyle w:val="Znakapoznpodarou"/>
          <w:rFonts w:eastAsiaTheme="minorEastAsia"/>
        </w:rPr>
        <w:footnoteRef/>
      </w:r>
      <w:r>
        <w:t xml:space="preserve"> Ve stejné sazbě by měla být i nafta, nicméně není v přehledu v rámci Směrnice přímo zmíněna.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1" w15:restartNumberingAfterBreak="0">
    <w:nsid w:val="1047188D"/>
    <w:multiLevelType w:val="hybridMultilevel"/>
    <w:tmpl w:val="8F0E929C"/>
    <w:lvl w:ilvl="0" w:tplc="E8D2594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18517E1B"/>
    <w:multiLevelType w:val="hybridMultilevel"/>
    <w:tmpl w:val="EA00923E"/>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AB2B57"/>
    <w:multiLevelType w:val="hybridMultilevel"/>
    <w:tmpl w:val="C1E2833A"/>
    <w:lvl w:ilvl="0" w:tplc="6E1817F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EFD4B28"/>
    <w:multiLevelType w:val="hybridMultilevel"/>
    <w:tmpl w:val="8A16CD9E"/>
    <w:lvl w:ilvl="0" w:tplc="5CC2D25C">
      <w:start w:val="1"/>
      <w:numFmt w:val="bullet"/>
      <w:lvlText w:val="-"/>
      <w:lvlJc w:val="left"/>
      <w:pPr>
        <w:ind w:left="720" w:hanging="360"/>
      </w:pPr>
      <w:rPr>
        <w:rFonts w:ascii="Tahoma" w:eastAsia="Calibr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40484290"/>
    <w:multiLevelType w:val="hybridMultilevel"/>
    <w:tmpl w:val="168A0AB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7D5932"/>
    <w:multiLevelType w:val="hybridMultilevel"/>
    <w:tmpl w:val="56F43D5C"/>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9231A78"/>
    <w:multiLevelType w:val="hybridMultilevel"/>
    <w:tmpl w:val="D97AD238"/>
    <w:lvl w:ilvl="0" w:tplc="520E3F0A">
      <w:start w:val="1"/>
      <w:numFmt w:val="bullet"/>
      <w:lvlText w:val=""/>
      <w:lvlJc w:val="left"/>
      <w:pPr>
        <w:ind w:left="786" w:hanging="360"/>
      </w:pPr>
      <w:rPr>
        <w:rFonts w:ascii="Wingdings" w:hAnsi="Wingdings" w:hint="default"/>
        <w:color w:val="0F0D29" w:themeColor="text1"/>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55C47C52"/>
    <w:multiLevelType w:val="hybridMultilevel"/>
    <w:tmpl w:val="3EB41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0"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1" w15:restartNumberingAfterBreak="0">
    <w:nsid w:val="7A707EBE"/>
    <w:multiLevelType w:val="hybridMultilevel"/>
    <w:tmpl w:val="21481C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5781493">
    <w:abstractNumId w:val="7"/>
  </w:num>
  <w:num w:numId="2" w16cid:durableId="1234467224">
    <w:abstractNumId w:val="5"/>
  </w:num>
  <w:num w:numId="3" w16cid:durableId="1316882545">
    <w:abstractNumId w:val="0"/>
  </w:num>
  <w:num w:numId="4" w16cid:durableId="1408501083">
    <w:abstractNumId w:val="10"/>
  </w:num>
  <w:num w:numId="5" w16cid:durableId="1987006562">
    <w:abstractNumId w:val="9"/>
  </w:num>
  <w:num w:numId="6" w16cid:durableId="1453748572">
    <w:abstractNumId w:val="2"/>
  </w:num>
  <w:num w:numId="7" w16cid:durableId="1505437701">
    <w:abstractNumId w:val="11"/>
  </w:num>
  <w:num w:numId="8" w16cid:durableId="1461268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8638075">
    <w:abstractNumId w:val="4"/>
  </w:num>
  <w:num w:numId="10" w16cid:durableId="316570583">
    <w:abstractNumId w:val="1"/>
  </w:num>
  <w:num w:numId="11" w16cid:durableId="1930389362">
    <w:abstractNumId w:val="6"/>
  </w:num>
  <w:num w:numId="12" w16cid:durableId="166604650">
    <w:abstractNumId w:val="3"/>
  </w:num>
  <w:num w:numId="13" w16cid:durableId="93771353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2"/>
    <w:rsid w:val="000020DA"/>
    <w:rsid w:val="0000575E"/>
    <w:rsid w:val="00005E9F"/>
    <w:rsid w:val="00021BDB"/>
    <w:rsid w:val="0002482E"/>
    <w:rsid w:val="00027A0F"/>
    <w:rsid w:val="000304BF"/>
    <w:rsid w:val="000340BB"/>
    <w:rsid w:val="00043884"/>
    <w:rsid w:val="00045505"/>
    <w:rsid w:val="00045D16"/>
    <w:rsid w:val="000472DA"/>
    <w:rsid w:val="00047C36"/>
    <w:rsid w:val="00050324"/>
    <w:rsid w:val="00057254"/>
    <w:rsid w:val="0007061F"/>
    <w:rsid w:val="0007093B"/>
    <w:rsid w:val="00071C38"/>
    <w:rsid w:val="00080627"/>
    <w:rsid w:val="00080BF6"/>
    <w:rsid w:val="00090ADC"/>
    <w:rsid w:val="00094F88"/>
    <w:rsid w:val="000954E9"/>
    <w:rsid w:val="000A0150"/>
    <w:rsid w:val="000A0BCC"/>
    <w:rsid w:val="000A19F5"/>
    <w:rsid w:val="000A4141"/>
    <w:rsid w:val="000B31AD"/>
    <w:rsid w:val="000B43A3"/>
    <w:rsid w:val="000C0C48"/>
    <w:rsid w:val="000C2615"/>
    <w:rsid w:val="000C427A"/>
    <w:rsid w:val="000C53CA"/>
    <w:rsid w:val="000C6B8E"/>
    <w:rsid w:val="000C6CC9"/>
    <w:rsid w:val="000E1ADD"/>
    <w:rsid w:val="000E2BBE"/>
    <w:rsid w:val="000E63C9"/>
    <w:rsid w:val="000E795D"/>
    <w:rsid w:val="000F5AD4"/>
    <w:rsid w:val="000F5BA6"/>
    <w:rsid w:val="00101083"/>
    <w:rsid w:val="001018E2"/>
    <w:rsid w:val="00102FA4"/>
    <w:rsid w:val="00111A4A"/>
    <w:rsid w:val="001168AA"/>
    <w:rsid w:val="00124E51"/>
    <w:rsid w:val="001255F9"/>
    <w:rsid w:val="00127DCB"/>
    <w:rsid w:val="00130E9D"/>
    <w:rsid w:val="00140D0B"/>
    <w:rsid w:val="00142E9F"/>
    <w:rsid w:val="00144F93"/>
    <w:rsid w:val="0014703E"/>
    <w:rsid w:val="00150A6D"/>
    <w:rsid w:val="001559DF"/>
    <w:rsid w:val="00157531"/>
    <w:rsid w:val="00160DC8"/>
    <w:rsid w:val="001625EE"/>
    <w:rsid w:val="0016474D"/>
    <w:rsid w:val="00167935"/>
    <w:rsid w:val="00170060"/>
    <w:rsid w:val="00172E7E"/>
    <w:rsid w:val="00177623"/>
    <w:rsid w:val="0018012A"/>
    <w:rsid w:val="001822B6"/>
    <w:rsid w:val="00185B35"/>
    <w:rsid w:val="00187880"/>
    <w:rsid w:val="00196F8A"/>
    <w:rsid w:val="00197363"/>
    <w:rsid w:val="0019754A"/>
    <w:rsid w:val="001A0DC1"/>
    <w:rsid w:val="001A0EC5"/>
    <w:rsid w:val="001A6DA8"/>
    <w:rsid w:val="001B5353"/>
    <w:rsid w:val="001B54B1"/>
    <w:rsid w:val="001D7152"/>
    <w:rsid w:val="001E048A"/>
    <w:rsid w:val="001E4C6C"/>
    <w:rsid w:val="001E64EB"/>
    <w:rsid w:val="001F081B"/>
    <w:rsid w:val="001F2ABE"/>
    <w:rsid w:val="001F2BC8"/>
    <w:rsid w:val="001F5F6B"/>
    <w:rsid w:val="00201B03"/>
    <w:rsid w:val="002052FB"/>
    <w:rsid w:val="00205C10"/>
    <w:rsid w:val="00214F9E"/>
    <w:rsid w:val="00220164"/>
    <w:rsid w:val="00220C5B"/>
    <w:rsid w:val="0022100C"/>
    <w:rsid w:val="00221893"/>
    <w:rsid w:val="002234C9"/>
    <w:rsid w:val="00226DB6"/>
    <w:rsid w:val="00234F1D"/>
    <w:rsid w:val="0023620D"/>
    <w:rsid w:val="00236D48"/>
    <w:rsid w:val="00237420"/>
    <w:rsid w:val="00240052"/>
    <w:rsid w:val="002419B4"/>
    <w:rsid w:val="00243EBC"/>
    <w:rsid w:val="002452D2"/>
    <w:rsid w:val="00246A35"/>
    <w:rsid w:val="00252F73"/>
    <w:rsid w:val="00261F3A"/>
    <w:rsid w:val="00262E16"/>
    <w:rsid w:val="002673EB"/>
    <w:rsid w:val="00270CA7"/>
    <w:rsid w:val="00283722"/>
    <w:rsid w:val="00284348"/>
    <w:rsid w:val="00285D32"/>
    <w:rsid w:val="002867AA"/>
    <w:rsid w:val="0029544A"/>
    <w:rsid w:val="002A5582"/>
    <w:rsid w:val="002A7630"/>
    <w:rsid w:val="002A7B59"/>
    <w:rsid w:val="002A7D57"/>
    <w:rsid w:val="002B714E"/>
    <w:rsid w:val="002C25F7"/>
    <w:rsid w:val="002E068A"/>
    <w:rsid w:val="002E61AB"/>
    <w:rsid w:val="002F0D61"/>
    <w:rsid w:val="002F352C"/>
    <w:rsid w:val="002F51F5"/>
    <w:rsid w:val="002F5594"/>
    <w:rsid w:val="002F6DF2"/>
    <w:rsid w:val="0030165A"/>
    <w:rsid w:val="003026C0"/>
    <w:rsid w:val="00310247"/>
    <w:rsid w:val="00312137"/>
    <w:rsid w:val="00313BA5"/>
    <w:rsid w:val="00325E58"/>
    <w:rsid w:val="00330359"/>
    <w:rsid w:val="00333529"/>
    <w:rsid w:val="00334605"/>
    <w:rsid w:val="003369D3"/>
    <w:rsid w:val="0033762F"/>
    <w:rsid w:val="00337ABE"/>
    <w:rsid w:val="0034183A"/>
    <w:rsid w:val="00341F21"/>
    <w:rsid w:val="00344A05"/>
    <w:rsid w:val="00355AF2"/>
    <w:rsid w:val="00360494"/>
    <w:rsid w:val="00361BA9"/>
    <w:rsid w:val="00366C7E"/>
    <w:rsid w:val="00366FC0"/>
    <w:rsid w:val="00372A73"/>
    <w:rsid w:val="00377602"/>
    <w:rsid w:val="00380B67"/>
    <w:rsid w:val="00382E1F"/>
    <w:rsid w:val="00384EA3"/>
    <w:rsid w:val="003A1E17"/>
    <w:rsid w:val="003A39A1"/>
    <w:rsid w:val="003A3D7A"/>
    <w:rsid w:val="003B02AC"/>
    <w:rsid w:val="003B1131"/>
    <w:rsid w:val="003C1F55"/>
    <w:rsid w:val="003C2191"/>
    <w:rsid w:val="003C4763"/>
    <w:rsid w:val="003C6F49"/>
    <w:rsid w:val="003D3863"/>
    <w:rsid w:val="003D5145"/>
    <w:rsid w:val="003F5366"/>
    <w:rsid w:val="003F7659"/>
    <w:rsid w:val="00404C9B"/>
    <w:rsid w:val="004065E3"/>
    <w:rsid w:val="004110DE"/>
    <w:rsid w:val="00411A05"/>
    <w:rsid w:val="004325C8"/>
    <w:rsid w:val="00433509"/>
    <w:rsid w:val="004344BA"/>
    <w:rsid w:val="0043631E"/>
    <w:rsid w:val="004405C5"/>
    <w:rsid w:val="0044085A"/>
    <w:rsid w:val="00444FD9"/>
    <w:rsid w:val="00446F61"/>
    <w:rsid w:val="004539F3"/>
    <w:rsid w:val="00453C17"/>
    <w:rsid w:val="00454469"/>
    <w:rsid w:val="004571BE"/>
    <w:rsid w:val="00457844"/>
    <w:rsid w:val="004579C9"/>
    <w:rsid w:val="004646E1"/>
    <w:rsid w:val="004709CD"/>
    <w:rsid w:val="0047577B"/>
    <w:rsid w:val="00475E5C"/>
    <w:rsid w:val="0049783A"/>
    <w:rsid w:val="004B005C"/>
    <w:rsid w:val="004B21A5"/>
    <w:rsid w:val="004B2C1D"/>
    <w:rsid w:val="004C05F3"/>
    <w:rsid w:val="004C50C3"/>
    <w:rsid w:val="004D39AC"/>
    <w:rsid w:val="004F0B76"/>
    <w:rsid w:val="004F5618"/>
    <w:rsid w:val="005037F0"/>
    <w:rsid w:val="005054D5"/>
    <w:rsid w:val="005078C0"/>
    <w:rsid w:val="0051287F"/>
    <w:rsid w:val="00514577"/>
    <w:rsid w:val="00516A86"/>
    <w:rsid w:val="00521069"/>
    <w:rsid w:val="0052653B"/>
    <w:rsid w:val="005275F6"/>
    <w:rsid w:val="00532EB6"/>
    <w:rsid w:val="005337A5"/>
    <w:rsid w:val="005345ED"/>
    <w:rsid w:val="00537168"/>
    <w:rsid w:val="005412CE"/>
    <w:rsid w:val="0054187B"/>
    <w:rsid w:val="00560334"/>
    <w:rsid w:val="005637F4"/>
    <w:rsid w:val="00565D89"/>
    <w:rsid w:val="005700DE"/>
    <w:rsid w:val="00572102"/>
    <w:rsid w:val="005721FE"/>
    <w:rsid w:val="0058396E"/>
    <w:rsid w:val="0058525A"/>
    <w:rsid w:val="005A405A"/>
    <w:rsid w:val="005A623B"/>
    <w:rsid w:val="005B0434"/>
    <w:rsid w:val="005B3D0D"/>
    <w:rsid w:val="005B4170"/>
    <w:rsid w:val="005C0086"/>
    <w:rsid w:val="005C048D"/>
    <w:rsid w:val="005C3DFE"/>
    <w:rsid w:val="005C72CD"/>
    <w:rsid w:val="005D3817"/>
    <w:rsid w:val="005E1BAB"/>
    <w:rsid w:val="005E3D97"/>
    <w:rsid w:val="005E41D1"/>
    <w:rsid w:val="005E4904"/>
    <w:rsid w:val="005F1BB0"/>
    <w:rsid w:val="005F1F37"/>
    <w:rsid w:val="005F4E93"/>
    <w:rsid w:val="00610BF6"/>
    <w:rsid w:val="006142F4"/>
    <w:rsid w:val="00616648"/>
    <w:rsid w:val="00617A67"/>
    <w:rsid w:val="0062116E"/>
    <w:rsid w:val="00623626"/>
    <w:rsid w:val="00625270"/>
    <w:rsid w:val="00630128"/>
    <w:rsid w:val="006402B1"/>
    <w:rsid w:val="00642F78"/>
    <w:rsid w:val="00644DD2"/>
    <w:rsid w:val="00651663"/>
    <w:rsid w:val="00651780"/>
    <w:rsid w:val="00652171"/>
    <w:rsid w:val="0065503C"/>
    <w:rsid w:val="00656C4D"/>
    <w:rsid w:val="00657864"/>
    <w:rsid w:val="00660E12"/>
    <w:rsid w:val="00666EE9"/>
    <w:rsid w:val="0066776E"/>
    <w:rsid w:val="00680248"/>
    <w:rsid w:val="00685C81"/>
    <w:rsid w:val="0069077B"/>
    <w:rsid w:val="00691C67"/>
    <w:rsid w:val="00694EBE"/>
    <w:rsid w:val="006A077B"/>
    <w:rsid w:val="006A21D5"/>
    <w:rsid w:val="006A2953"/>
    <w:rsid w:val="006A4215"/>
    <w:rsid w:val="006A4542"/>
    <w:rsid w:val="006A4E78"/>
    <w:rsid w:val="006A5A4D"/>
    <w:rsid w:val="006B1771"/>
    <w:rsid w:val="006B33F6"/>
    <w:rsid w:val="006C0197"/>
    <w:rsid w:val="006C147A"/>
    <w:rsid w:val="006C166A"/>
    <w:rsid w:val="006C458E"/>
    <w:rsid w:val="006C72A2"/>
    <w:rsid w:val="006D2230"/>
    <w:rsid w:val="006D5B87"/>
    <w:rsid w:val="006D797C"/>
    <w:rsid w:val="006E225F"/>
    <w:rsid w:val="006E4475"/>
    <w:rsid w:val="006E530F"/>
    <w:rsid w:val="006E5716"/>
    <w:rsid w:val="006E5B8D"/>
    <w:rsid w:val="006E713B"/>
    <w:rsid w:val="006F0138"/>
    <w:rsid w:val="006F1F17"/>
    <w:rsid w:val="006F3D1A"/>
    <w:rsid w:val="006F41EA"/>
    <w:rsid w:val="006F790F"/>
    <w:rsid w:val="006F7A2A"/>
    <w:rsid w:val="006F7ADA"/>
    <w:rsid w:val="006F7E18"/>
    <w:rsid w:val="00701CC1"/>
    <w:rsid w:val="007055E5"/>
    <w:rsid w:val="00706AC0"/>
    <w:rsid w:val="00710C2D"/>
    <w:rsid w:val="00714C98"/>
    <w:rsid w:val="00716A8B"/>
    <w:rsid w:val="0071777B"/>
    <w:rsid w:val="007237A1"/>
    <w:rsid w:val="00723E3F"/>
    <w:rsid w:val="007257DE"/>
    <w:rsid w:val="007274B3"/>
    <w:rsid w:val="007302B3"/>
    <w:rsid w:val="00730733"/>
    <w:rsid w:val="00730C65"/>
    <w:rsid w:val="00730E3A"/>
    <w:rsid w:val="00735876"/>
    <w:rsid w:val="00735EAB"/>
    <w:rsid w:val="00736AAF"/>
    <w:rsid w:val="00742128"/>
    <w:rsid w:val="00756BA5"/>
    <w:rsid w:val="00762D39"/>
    <w:rsid w:val="00765B2A"/>
    <w:rsid w:val="00770314"/>
    <w:rsid w:val="00771AD0"/>
    <w:rsid w:val="00772DF8"/>
    <w:rsid w:val="00780112"/>
    <w:rsid w:val="00782B2D"/>
    <w:rsid w:val="00783A34"/>
    <w:rsid w:val="00787D8A"/>
    <w:rsid w:val="00791ED0"/>
    <w:rsid w:val="0079780B"/>
    <w:rsid w:val="007A2B64"/>
    <w:rsid w:val="007A38DC"/>
    <w:rsid w:val="007A5D12"/>
    <w:rsid w:val="007B360B"/>
    <w:rsid w:val="007C19BC"/>
    <w:rsid w:val="007C4877"/>
    <w:rsid w:val="007C6B52"/>
    <w:rsid w:val="007C7E90"/>
    <w:rsid w:val="007D083D"/>
    <w:rsid w:val="007D16C5"/>
    <w:rsid w:val="007E06C5"/>
    <w:rsid w:val="007E4EC7"/>
    <w:rsid w:val="008070BF"/>
    <w:rsid w:val="00810E13"/>
    <w:rsid w:val="00815900"/>
    <w:rsid w:val="00820160"/>
    <w:rsid w:val="00824CAE"/>
    <w:rsid w:val="00825113"/>
    <w:rsid w:val="008264C3"/>
    <w:rsid w:val="00834078"/>
    <w:rsid w:val="00834F4E"/>
    <w:rsid w:val="00847AEC"/>
    <w:rsid w:val="008508DD"/>
    <w:rsid w:val="00856285"/>
    <w:rsid w:val="008602AE"/>
    <w:rsid w:val="00861E7B"/>
    <w:rsid w:val="008623F0"/>
    <w:rsid w:val="00862FE4"/>
    <w:rsid w:val="0086389A"/>
    <w:rsid w:val="00874D16"/>
    <w:rsid w:val="0087605E"/>
    <w:rsid w:val="00876F2A"/>
    <w:rsid w:val="00886540"/>
    <w:rsid w:val="00887789"/>
    <w:rsid w:val="008B1FEE"/>
    <w:rsid w:val="008B28D1"/>
    <w:rsid w:val="008B3184"/>
    <w:rsid w:val="008B5919"/>
    <w:rsid w:val="008B68A9"/>
    <w:rsid w:val="008C718E"/>
    <w:rsid w:val="008E3CAD"/>
    <w:rsid w:val="008E5AEF"/>
    <w:rsid w:val="008F5FFF"/>
    <w:rsid w:val="00901622"/>
    <w:rsid w:val="00902DCC"/>
    <w:rsid w:val="00903C32"/>
    <w:rsid w:val="00907BCC"/>
    <w:rsid w:val="00910407"/>
    <w:rsid w:val="00911671"/>
    <w:rsid w:val="00916B16"/>
    <w:rsid w:val="00916FC4"/>
    <w:rsid w:val="009173B9"/>
    <w:rsid w:val="009217FA"/>
    <w:rsid w:val="0092437E"/>
    <w:rsid w:val="00932282"/>
    <w:rsid w:val="00932F08"/>
    <w:rsid w:val="0093335D"/>
    <w:rsid w:val="0093613E"/>
    <w:rsid w:val="00937179"/>
    <w:rsid w:val="00943026"/>
    <w:rsid w:val="00945560"/>
    <w:rsid w:val="00947FBA"/>
    <w:rsid w:val="00952F58"/>
    <w:rsid w:val="00953AD4"/>
    <w:rsid w:val="0096171C"/>
    <w:rsid w:val="0096395A"/>
    <w:rsid w:val="009639B4"/>
    <w:rsid w:val="0096686C"/>
    <w:rsid w:val="00966B81"/>
    <w:rsid w:val="00966F7F"/>
    <w:rsid w:val="009720AA"/>
    <w:rsid w:val="00977406"/>
    <w:rsid w:val="0098645D"/>
    <w:rsid w:val="009869D0"/>
    <w:rsid w:val="009915F2"/>
    <w:rsid w:val="00995144"/>
    <w:rsid w:val="009974C0"/>
    <w:rsid w:val="009A17AB"/>
    <w:rsid w:val="009A2896"/>
    <w:rsid w:val="009B25AE"/>
    <w:rsid w:val="009C34EB"/>
    <w:rsid w:val="009C4D72"/>
    <w:rsid w:val="009C5F59"/>
    <w:rsid w:val="009C7720"/>
    <w:rsid w:val="009D3610"/>
    <w:rsid w:val="009D44EB"/>
    <w:rsid w:val="009E5DD7"/>
    <w:rsid w:val="009F2434"/>
    <w:rsid w:val="009F3BD4"/>
    <w:rsid w:val="009F755C"/>
    <w:rsid w:val="00A00B09"/>
    <w:rsid w:val="00A02DB7"/>
    <w:rsid w:val="00A04739"/>
    <w:rsid w:val="00A0491A"/>
    <w:rsid w:val="00A06F4B"/>
    <w:rsid w:val="00A1140D"/>
    <w:rsid w:val="00A2168E"/>
    <w:rsid w:val="00A21F5C"/>
    <w:rsid w:val="00A22382"/>
    <w:rsid w:val="00A23111"/>
    <w:rsid w:val="00A23AFA"/>
    <w:rsid w:val="00A31B3E"/>
    <w:rsid w:val="00A339D6"/>
    <w:rsid w:val="00A404F7"/>
    <w:rsid w:val="00A52014"/>
    <w:rsid w:val="00A532F3"/>
    <w:rsid w:val="00A617BF"/>
    <w:rsid w:val="00A6323B"/>
    <w:rsid w:val="00A76167"/>
    <w:rsid w:val="00A7757B"/>
    <w:rsid w:val="00A81EDF"/>
    <w:rsid w:val="00A83FFF"/>
    <w:rsid w:val="00A8489E"/>
    <w:rsid w:val="00A85F53"/>
    <w:rsid w:val="00A86F93"/>
    <w:rsid w:val="00A90466"/>
    <w:rsid w:val="00A92FB5"/>
    <w:rsid w:val="00A9528D"/>
    <w:rsid w:val="00A97F50"/>
    <w:rsid w:val="00AA1760"/>
    <w:rsid w:val="00AA594E"/>
    <w:rsid w:val="00AB02A7"/>
    <w:rsid w:val="00AB143E"/>
    <w:rsid w:val="00AB3077"/>
    <w:rsid w:val="00AB3435"/>
    <w:rsid w:val="00AB791D"/>
    <w:rsid w:val="00AC0F35"/>
    <w:rsid w:val="00AC29F3"/>
    <w:rsid w:val="00AC50F4"/>
    <w:rsid w:val="00AC5B6A"/>
    <w:rsid w:val="00AE31E2"/>
    <w:rsid w:val="00AF4465"/>
    <w:rsid w:val="00AF4FA4"/>
    <w:rsid w:val="00B00060"/>
    <w:rsid w:val="00B004EE"/>
    <w:rsid w:val="00B005FA"/>
    <w:rsid w:val="00B00747"/>
    <w:rsid w:val="00B10A54"/>
    <w:rsid w:val="00B11A44"/>
    <w:rsid w:val="00B14F5E"/>
    <w:rsid w:val="00B208B9"/>
    <w:rsid w:val="00B231E5"/>
    <w:rsid w:val="00B261E4"/>
    <w:rsid w:val="00B26661"/>
    <w:rsid w:val="00B27B48"/>
    <w:rsid w:val="00B3039B"/>
    <w:rsid w:val="00B37492"/>
    <w:rsid w:val="00B466F0"/>
    <w:rsid w:val="00B47818"/>
    <w:rsid w:val="00B50466"/>
    <w:rsid w:val="00B50739"/>
    <w:rsid w:val="00B60730"/>
    <w:rsid w:val="00B70AB7"/>
    <w:rsid w:val="00B83A09"/>
    <w:rsid w:val="00B83A81"/>
    <w:rsid w:val="00B83E90"/>
    <w:rsid w:val="00B85CCA"/>
    <w:rsid w:val="00B861BF"/>
    <w:rsid w:val="00B8664F"/>
    <w:rsid w:val="00B8759D"/>
    <w:rsid w:val="00B94457"/>
    <w:rsid w:val="00B96FB3"/>
    <w:rsid w:val="00BA07FC"/>
    <w:rsid w:val="00BA21D1"/>
    <w:rsid w:val="00BA34E1"/>
    <w:rsid w:val="00BA4503"/>
    <w:rsid w:val="00BA6DE3"/>
    <w:rsid w:val="00BA7725"/>
    <w:rsid w:val="00BB4079"/>
    <w:rsid w:val="00BB56EB"/>
    <w:rsid w:val="00BC09D9"/>
    <w:rsid w:val="00BC14C6"/>
    <w:rsid w:val="00BC347C"/>
    <w:rsid w:val="00BC6C2A"/>
    <w:rsid w:val="00BD3C9C"/>
    <w:rsid w:val="00BD3D60"/>
    <w:rsid w:val="00BD7F0F"/>
    <w:rsid w:val="00BE00DE"/>
    <w:rsid w:val="00BE60C4"/>
    <w:rsid w:val="00BE7477"/>
    <w:rsid w:val="00BF2049"/>
    <w:rsid w:val="00BF3627"/>
    <w:rsid w:val="00BF66CB"/>
    <w:rsid w:val="00BF794B"/>
    <w:rsid w:val="00C02A22"/>
    <w:rsid w:val="00C02B87"/>
    <w:rsid w:val="00C13293"/>
    <w:rsid w:val="00C203E7"/>
    <w:rsid w:val="00C2146C"/>
    <w:rsid w:val="00C22D74"/>
    <w:rsid w:val="00C26E3C"/>
    <w:rsid w:val="00C26ECF"/>
    <w:rsid w:val="00C30113"/>
    <w:rsid w:val="00C32B46"/>
    <w:rsid w:val="00C355D1"/>
    <w:rsid w:val="00C4086D"/>
    <w:rsid w:val="00C4335C"/>
    <w:rsid w:val="00C4729D"/>
    <w:rsid w:val="00C506C6"/>
    <w:rsid w:val="00C50C1A"/>
    <w:rsid w:val="00C554CD"/>
    <w:rsid w:val="00C6452A"/>
    <w:rsid w:val="00C64AAF"/>
    <w:rsid w:val="00C655D1"/>
    <w:rsid w:val="00C6736C"/>
    <w:rsid w:val="00C8218D"/>
    <w:rsid w:val="00C841F9"/>
    <w:rsid w:val="00C8555E"/>
    <w:rsid w:val="00C86B4C"/>
    <w:rsid w:val="00C90A3E"/>
    <w:rsid w:val="00CA1896"/>
    <w:rsid w:val="00CB1423"/>
    <w:rsid w:val="00CB5B28"/>
    <w:rsid w:val="00CC07C6"/>
    <w:rsid w:val="00CC5DA6"/>
    <w:rsid w:val="00CD40D6"/>
    <w:rsid w:val="00CE07B8"/>
    <w:rsid w:val="00CF29B3"/>
    <w:rsid w:val="00CF5371"/>
    <w:rsid w:val="00D01389"/>
    <w:rsid w:val="00D0323A"/>
    <w:rsid w:val="00D0559F"/>
    <w:rsid w:val="00D06200"/>
    <w:rsid w:val="00D06538"/>
    <w:rsid w:val="00D077E9"/>
    <w:rsid w:val="00D14B3E"/>
    <w:rsid w:val="00D300B4"/>
    <w:rsid w:val="00D36AB7"/>
    <w:rsid w:val="00D42CB7"/>
    <w:rsid w:val="00D5033D"/>
    <w:rsid w:val="00D5413D"/>
    <w:rsid w:val="00D547E9"/>
    <w:rsid w:val="00D55A3F"/>
    <w:rsid w:val="00D5608D"/>
    <w:rsid w:val="00D56C4F"/>
    <w:rsid w:val="00D56D03"/>
    <w:rsid w:val="00D570A9"/>
    <w:rsid w:val="00D67219"/>
    <w:rsid w:val="00D70D02"/>
    <w:rsid w:val="00D73626"/>
    <w:rsid w:val="00D770C7"/>
    <w:rsid w:val="00D80850"/>
    <w:rsid w:val="00D81550"/>
    <w:rsid w:val="00D81AA2"/>
    <w:rsid w:val="00D825F8"/>
    <w:rsid w:val="00D856E2"/>
    <w:rsid w:val="00D86945"/>
    <w:rsid w:val="00D90290"/>
    <w:rsid w:val="00D9076D"/>
    <w:rsid w:val="00D92996"/>
    <w:rsid w:val="00D95647"/>
    <w:rsid w:val="00D97B4A"/>
    <w:rsid w:val="00DA111A"/>
    <w:rsid w:val="00DA1D04"/>
    <w:rsid w:val="00DA4CC0"/>
    <w:rsid w:val="00DB1347"/>
    <w:rsid w:val="00DB5CE9"/>
    <w:rsid w:val="00DB7416"/>
    <w:rsid w:val="00DC282C"/>
    <w:rsid w:val="00DC4089"/>
    <w:rsid w:val="00DC7847"/>
    <w:rsid w:val="00DD139D"/>
    <w:rsid w:val="00DD152F"/>
    <w:rsid w:val="00DD262D"/>
    <w:rsid w:val="00DE0025"/>
    <w:rsid w:val="00DE213F"/>
    <w:rsid w:val="00DE3C37"/>
    <w:rsid w:val="00DE43F0"/>
    <w:rsid w:val="00DF027C"/>
    <w:rsid w:val="00DF09B8"/>
    <w:rsid w:val="00E00A32"/>
    <w:rsid w:val="00E03770"/>
    <w:rsid w:val="00E04295"/>
    <w:rsid w:val="00E0665F"/>
    <w:rsid w:val="00E07C30"/>
    <w:rsid w:val="00E10414"/>
    <w:rsid w:val="00E104DD"/>
    <w:rsid w:val="00E12896"/>
    <w:rsid w:val="00E14283"/>
    <w:rsid w:val="00E14631"/>
    <w:rsid w:val="00E148BB"/>
    <w:rsid w:val="00E2016A"/>
    <w:rsid w:val="00E22ACD"/>
    <w:rsid w:val="00E2705F"/>
    <w:rsid w:val="00E36A71"/>
    <w:rsid w:val="00E373F2"/>
    <w:rsid w:val="00E4461E"/>
    <w:rsid w:val="00E46109"/>
    <w:rsid w:val="00E47C41"/>
    <w:rsid w:val="00E553B9"/>
    <w:rsid w:val="00E61997"/>
    <w:rsid w:val="00E620B0"/>
    <w:rsid w:val="00E655B6"/>
    <w:rsid w:val="00E678E1"/>
    <w:rsid w:val="00E67A9D"/>
    <w:rsid w:val="00E702E0"/>
    <w:rsid w:val="00E81B40"/>
    <w:rsid w:val="00E86C99"/>
    <w:rsid w:val="00EA4921"/>
    <w:rsid w:val="00EB0E41"/>
    <w:rsid w:val="00EB1AD7"/>
    <w:rsid w:val="00ED04AD"/>
    <w:rsid w:val="00ED7CDB"/>
    <w:rsid w:val="00EE04B7"/>
    <w:rsid w:val="00EE2C49"/>
    <w:rsid w:val="00EE35D0"/>
    <w:rsid w:val="00EE4C0A"/>
    <w:rsid w:val="00EF2109"/>
    <w:rsid w:val="00EF2EA3"/>
    <w:rsid w:val="00EF555B"/>
    <w:rsid w:val="00EF6723"/>
    <w:rsid w:val="00F027BB"/>
    <w:rsid w:val="00F02F07"/>
    <w:rsid w:val="00F0446C"/>
    <w:rsid w:val="00F04848"/>
    <w:rsid w:val="00F11DCF"/>
    <w:rsid w:val="00F1485A"/>
    <w:rsid w:val="00F162EA"/>
    <w:rsid w:val="00F2217C"/>
    <w:rsid w:val="00F2462F"/>
    <w:rsid w:val="00F27CEB"/>
    <w:rsid w:val="00F33158"/>
    <w:rsid w:val="00F3526A"/>
    <w:rsid w:val="00F407A5"/>
    <w:rsid w:val="00F41F1C"/>
    <w:rsid w:val="00F426FA"/>
    <w:rsid w:val="00F4796C"/>
    <w:rsid w:val="00F52D27"/>
    <w:rsid w:val="00F54BC8"/>
    <w:rsid w:val="00F55857"/>
    <w:rsid w:val="00F5617F"/>
    <w:rsid w:val="00F57428"/>
    <w:rsid w:val="00F72153"/>
    <w:rsid w:val="00F738FF"/>
    <w:rsid w:val="00F75C32"/>
    <w:rsid w:val="00F75ED7"/>
    <w:rsid w:val="00F80FE3"/>
    <w:rsid w:val="00F81C67"/>
    <w:rsid w:val="00F83527"/>
    <w:rsid w:val="00F878CF"/>
    <w:rsid w:val="00F95CE3"/>
    <w:rsid w:val="00FB42E1"/>
    <w:rsid w:val="00FB4BC4"/>
    <w:rsid w:val="00FC3688"/>
    <w:rsid w:val="00FD0649"/>
    <w:rsid w:val="00FD37A4"/>
    <w:rsid w:val="00FD3A18"/>
    <w:rsid w:val="00FD3B14"/>
    <w:rsid w:val="00FD4C5B"/>
    <w:rsid w:val="00FD583F"/>
    <w:rsid w:val="00FD7488"/>
    <w:rsid w:val="00FE4C3F"/>
    <w:rsid w:val="00FE549A"/>
    <w:rsid w:val="00FE7113"/>
    <w:rsid w:val="00FF02DB"/>
    <w:rsid w:val="00FF16B4"/>
    <w:rsid w:val="00FF7DFB"/>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paragraph" w:styleId="Nadpis3">
    <w:name w:val="heading 3"/>
    <w:basedOn w:val="Normln"/>
    <w:next w:val="Normln"/>
    <w:link w:val="Nadpis3Char"/>
    <w:uiPriority w:val="5"/>
    <w:semiHidden/>
    <w:unhideWhenUsed/>
    <w:qFormat/>
    <w:rsid w:val="00E4461E"/>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dpis4">
    <w:name w:val="heading 4"/>
    <w:basedOn w:val="Normln"/>
    <w:next w:val="Normln"/>
    <w:link w:val="Nadpis4Char"/>
    <w:uiPriority w:val="1"/>
    <w:semiHidden/>
    <w:unhideWhenUsed/>
    <w:qFormat/>
    <w:rsid w:val="00E4461E"/>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basedOn w:val="Normln"/>
    <w:link w:val="OdstavecseseznamemChar"/>
    <w:uiPriority w:val="35"/>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link w:val="Odstavecseseznamem"/>
    <w:uiPriority w:val="34"/>
    <w:locked/>
    <w:rsid w:val="0014703E"/>
    <w:rPr>
      <w:sz w:val="22"/>
      <w:szCs w:val="22"/>
    </w:rPr>
  </w:style>
  <w:style w:type="paragraph" w:styleId="Textpoznpodarou">
    <w:name w:val="footnote text"/>
    <w:aliases w:val=" Char, Char Char Char,Char,Char Char Char"/>
    <w:basedOn w:val="Normln"/>
    <w:link w:val="TextpoznpodarouChar"/>
    <w:uiPriority w:val="99"/>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uiPriority w:val="99"/>
    <w:semiHidden/>
    <w:rsid w:val="00DC4089"/>
    <w:rPr>
      <w:rFonts w:ascii="Times New Roman" w:eastAsia="Times New Roman" w:hAnsi="Times New Roman" w:cs="Times New Roman"/>
      <w:sz w:val="20"/>
      <w:szCs w:val="20"/>
      <w:lang w:eastAsia="cs-CZ"/>
    </w:rPr>
  </w:style>
  <w:style w:type="character" w:styleId="Znakapoznpodarou">
    <w:name w:val="footnote reference"/>
    <w:uiPriority w:val="99"/>
    <w:semiHidden/>
    <w:rsid w:val="00DC4089"/>
    <w:rPr>
      <w:vertAlign w:val="superscript"/>
    </w:rPr>
  </w:style>
  <w:style w:type="paragraph" w:customStyle="1" w:styleId="text-large">
    <w:name w:val="text-large"/>
    <w:basedOn w:val="Normln"/>
    <w:rsid w:val="006E53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Siln">
    <w:name w:val="Strong"/>
    <w:basedOn w:val="Standardnpsmoodstavce"/>
    <w:uiPriority w:val="22"/>
    <w:qFormat/>
    <w:rsid w:val="006E530F"/>
    <w:rPr>
      <w:b/>
      <w:bCs/>
    </w:rPr>
  </w:style>
  <w:style w:type="character" w:customStyle="1" w:styleId="Nadpis3Char">
    <w:name w:val="Nadpis 3 Char"/>
    <w:basedOn w:val="Standardnpsmoodstavce"/>
    <w:link w:val="Nadpis3"/>
    <w:uiPriority w:val="5"/>
    <w:semiHidden/>
    <w:rsid w:val="00E4461E"/>
    <w:rPr>
      <w:rFonts w:asciiTheme="majorHAnsi" w:eastAsiaTheme="majorEastAsia" w:hAnsiTheme="majorHAnsi" w:cstheme="majorBidi"/>
      <w:b/>
      <w:color w:val="012639" w:themeColor="accent1" w:themeShade="7F"/>
    </w:rPr>
  </w:style>
  <w:style w:type="character" w:customStyle="1" w:styleId="Nadpis4Char">
    <w:name w:val="Nadpis 4 Char"/>
    <w:basedOn w:val="Standardnpsmoodstavce"/>
    <w:link w:val="Nadpis4"/>
    <w:uiPriority w:val="1"/>
    <w:semiHidden/>
    <w:rsid w:val="00E4461E"/>
    <w:rPr>
      <w:rFonts w:asciiTheme="majorHAnsi" w:eastAsiaTheme="majorEastAsia" w:hAnsiTheme="majorHAnsi" w:cstheme="majorBidi"/>
      <w:b/>
      <w:i/>
      <w:iCs/>
      <w:color w:val="013A57" w:themeColor="accent1" w:themeShade="BF"/>
      <w:sz w:val="28"/>
      <w:szCs w:val="22"/>
    </w:rPr>
  </w:style>
  <w:style w:type="paragraph" w:customStyle="1" w:styleId="Default">
    <w:name w:val="Default"/>
    <w:rsid w:val="0007061F"/>
    <w:pPr>
      <w:autoSpaceDE w:val="0"/>
      <w:autoSpaceDN w:val="0"/>
      <w:adjustRightInd w:val="0"/>
      <w:spacing w:after="0" w:line="240" w:lineRule="auto"/>
    </w:pPr>
    <w:rPr>
      <w:rFonts w:ascii="Calibri" w:hAnsi="Calibri" w:cs="Calibri"/>
      <w:color w:val="000000"/>
    </w:rPr>
  </w:style>
  <w:style w:type="paragraph" w:styleId="Normlnweb">
    <w:name w:val="Normal (Web)"/>
    <w:basedOn w:val="Normln"/>
    <w:uiPriority w:val="99"/>
    <w:unhideWhenUsed/>
    <w:rsid w:val="006F79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Nevyeenzmnka">
    <w:name w:val="Unresolved Mention"/>
    <w:basedOn w:val="Standardnpsmoodstavce"/>
    <w:uiPriority w:val="99"/>
    <w:semiHidden/>
    <w:unhideWhenUsed/>
    <w:rsid w:val="004344BA"/>
    <w:rPr>
      <w:color w:val="605E5C"/>
      <w:shd w:val="clear" w:color="auto" w:fill="E1DFDD"/>
    </w:rPr>
  </w:style>
  <w:style w:type="character" w:styleId="Zdraznn">
    <w:name w:val="Emphasis"/>
    <w:basedOn w:val="Standardnpsmoodstavce"/>
    <w:uiPriority w:val="20"/>
    <w:qFormat/>
    <w:rsid w:val="00F407A5"/>
    <w:rPr>
      <w:i/>
      <w:iCs/>
    </w:rPr>
  </w:style>
  <w:style w:type="character" w:styleId="Odkaznakoment">
    <w:name w:val="annotation reference"/>
    <w:basedOn w:val="Standardnpsmoodstavce"/>
    <w:uiPriority w:val="99"/>
    <w:semiHidden/>
    <w:unhideWhenUsed/>
    <w:rsid w:val="004709CD"/>
    <w:rPr>
      <w:sz w:val="16"/>
      <w:szCs w:val="16"/>
    </w:rPr>
  </w:style>
  <w:style w:type="paragraph" w:styleId="Textkomente">
    <w:name w:val="annotation text"/>
    <w:basedOn w:val="Normln"/>
    <w:link w:val="TextkomenteChar"/>
    <w:uiPriority w:val="99"/>
    <w:unhideWhenUsed/>
    <w:rsid w:val="004709CD"/>
    <w:pPr>
      <w:spacing w:line="240" w:lineRule="auto"/>
    </w:pPr>
    <w:rPr>
      <w:sz w:val="20"/>
      <w:szCs w:val="20"/>
    </w:rPr>
  </w:style>
  <w:style w:type="character" w:customStyle="1" w:styleId="TextkomenteChar">
    <w:name w:val="Text komentáře Char"/>
    <w:basedOn w:val="Standardnpsmoodstavce"/>
    <w:link w:val="Textkomente"/>
    <w:uiPriority w:val="99"/>
    <w:rsid w:val="004709CD"/>
    <w:rPr>
      <w:rFonts w:eastAsiaTheme="minorEastAsia"/>
      <w:b/>
      <w:color w:val="082A75" w:themeColor="text2"/>
      <w:sz w:val="20"/>
      <w:szCs w:val="20"/>
    </w:rPr>
  </w:style>
  <w:style w:type="paragraph" w:customStyle="1" w:styleId="documentannotation">
    <w:name w:val="documentannotation"/>
    <w:basedOn w:val="Normln"/>
    <w:rsid w:val="00825113"/>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paragraph" w:styleId="Pedmtkomente">
    <w:name w:val="annotation subject"/>
    <w:basedOn w:val="Textkomente"/>
    <w:next w:val="Textkomente"/>
    <w:link w:val="PedmtkomenteChar"/>
    <w:uiPriority w:val="99"/>
    <w:semiHidden/>
    <w:unhideWhenUsed/>
    <w:rsid w:val="00834078"/>
    <w:rPr>
      <w:bCs/>
    </w:rPr>
  </w:style>
  <w:style w:type="character" w:customStyle="1" w:styleId="PedmtkomenteChar">
    <w:name w:val="Předmět komentáře Char"/>
    <w:basedOn w:val="TextkomenteChar"/>
    <w:link w:val="Pedmtkomente"/>
    <w:uiPriority w:val="99"/>
    <w:semiHidden/>
    <w:rsid w:val="00834078"/>
    <w:rPr>
      <w:rFonts w:eastAsiaTheme="minorEastAsia"/>
      <w:b/>
      <w:bCs/>
      <w:color w:val="082A75"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5627">
      <w:bodyDiv w:val="1"/>
      <w:marLeft w:val="0"/>
      <w:marRight w:val="0"/>
      <w:marTop w:val="0"/>
      <w:marBottom w:val="0"/>
      <w:divBdr>
        <w:top w:val="none" w:sz="0" w:space="0" w:color="auto"/>
        <w:left w:val="none" w:sz="0" w:space="0" w:color="auto"/>
        <w:bottom w:val="none" w:sz="0" w:space="0" w:color="auto"/>
        <w:right w:val="none" w:sz="0" w:space="0" w:color="auto"/>
      </w:divBdr>
    </w:div>
    <w:div w:id="219677936">
      <w:bodyDiv w:val="1"/>
      <w:marLeft w:val="0"/>
      <w:marRight w:val="0"/>
      <w:marTop w:val="0"/>
      <w:marBottom w:val="0"/>
      <w:divBdr>
        <w:top w:val="none" w:sz="0" w:space="0" w:color="auto"/>
        <w:left w:val="none" w:sz="0" w:space="0" w:color="auto"/>
        <w:bottom w:val="none" w:sz="0" w:space="0" w:color="auto"/>
        <w:right w:val="none" w:sz="0" w:space="0" w:color="auto"/>
      </w:divBdr>
    </w:div>
    <w:div w:id="332495244">
      <w:bodyDiv w:val="1"/>
      <w:marLeft w:val="0"/>
      <w:marRight w:val="0"/>
      <w:marTop w:val="0"/>
      <w:marBottom w:val="0"/>
      <w:divBdr>
        <w:top w:val="none" w:sz="0" w:space="0" w:color="auto"/>
        <w:left w:val="none" w:sz="0" w:space="0" w:color="auto"/>
        <w:bottom w:val="none" w:sz="0" w:space="0" w:color="auto"/>
        <w:right w:val="none" w:sz="0" w:space="0" w:color="auto"/>
      </w:divBdr>
    </w:div>
    <w:div w:id="387799868">
      <w:bodyDiv w:val="1"/>
      <w:marLeft w:val="0"/>
      <w:marRight w:val="0"/>
      <w:marTop w:val="0"/>
      <w:marBottom w:val="0"/>
      <w:divBdr>
        <w:top w:val="none" w:sz="0" w:space="0" w:color="auto"/>
        <w:left w:val="none" w:sz="0" w:space="0" w:color="auto"/>
        <w:bottom w:val="none" w:sz="0" w:space="0" w:color="auto"/>
        <w:right w:val="none" w:sz="0" w:space="0" w:color="auto"/>
      </w:divBdr>
    </w:div>
    <w:div w:id="440803877">
      <w:bodyDiv w:val="1"/>
      <w:marLeft w:val="0"/>
      <w:marRight w:val="0"/>
      <w:marTop w:val="0"/>
      <w:marBottom w:val="0"/>
      <w:divBdr>
        <w:top w:val="none" w:sz="0" w:space="0" w:color="auto"/>
        <w:left w:val="none" w:sz="0" w:space="0" w:color="auto"/>
        <w:bottom w:val="none" w:sz="0" w:space="0" w:color="auto"/>
        <w:right w:val="none" w:sz="0" w:space="0" w:color="auto"/>
      </w:divBdr>
      <w:divsChild>
        <w:div w:id="1062362923">
          <w:marLeft w:val="0"/>
          <w:marRight w:val="0"/>
          <w:marTop w:val="0"/>
          <w:marBottom w:val="0"/>
          <w:divBdr>
            <w:top w:val="none" w:sz="0" w:space="0" w:color="auto"/>
            <w:left w:val="none" w:sz="0" w:space="0" w:color="auto"/>
            <w:bottom w:val="none" w:sz="0" w:space="0" w:color="auto"/>
            <w:right w:val="none" w:sz="0" w:space="0" w:color="auto"/>
          </w:divBdr>
        </w:div>
      </w:divsChild>
    </w:div>
    <w:div w:id="490684904">
      <w:bodyDiv w:val="1"/>
      <w:marLeft w:val="0"/>
      <w:marRight w:val="0"/>
      <w:marTop w:val="0"/>
      <w:marBottom w:val="0"/>
      <w:divBdr>
        <w:top w:val="none" w:sz="0" w:space="0" w:color="auto"/>
        <w:left w:val="none" w:sz="0" w:space="0" w:color="auto"/>
        <w:bottom w:val="none" w:sz="0" w:space="0" w:color="auto"/>
        <w:right w:val="none" w:sz="0" w:space="0" w:color="auto"/>
      </w:divBdr>
    </w:div>
    <w:div w:id="507644137">
      <w:bodyDiv w:val="1"/>
      <w:marLeft w:val="0"/>
      <w:marRight w:val="0"/>
      <w:marTop w:val="0"/>
      <w:marBottom w:val="0"/>
      <w:divBdr>
        <w:top w:val="none" w:sz="0" w:space="0" w:color="auto"/>
        <w:left w:val="none" w:sz="0" w:space="0" w:color="auto"/>
        <w:bottom w:val="none" w:sz="0" w:space="0" w:color="auto"/>
        <w:right w:val="none" w:sz="0" w:space="0" w:color="auto"/>
      </w:divBdr>
    </w:div>
    <w:div w:id="528491593">
      <w:bodyDiv w:val="1"/>
      <w:marLeft w:val="0"/>
      <w:marRight w:val="0"/>
      <w:marTop w:val="0"/>
      <w:marBottom w:val="0"/>
      <w:divBdr>
        <w:top w:val="none" w:sz="0" w:space="0" w:color="auto"/>
        <w:left w:val="none" w:sz="0" w:space="0" w:color="auto"/>
        <w:bottom w:val="none" w:sz="0" w:space="0" w:color="auto"/>
        <w:right w:val="none" w:sz="0" w:space="0" w:color="auto"/>
      </w:divBdr>
    </w:div>
    <w:div w:id="690686256">
      <w:bodyDiv w:val="1"/>
      <w:marLeft w:val="0"/>
      <w:marRight w:val="0"/>
      <w:marTop w:val="0"/>
      <w:marBottom w:val="0"/>
      <w:divBdr>
        <w:top w:val="none" w:sz="0" w:space="0" w:color="auto"/>
        <w:left w:val="none" w:sz="0" w:space="0" w:color="auto"/>
        <w:bottom w:val="none" w:sz="0" w:space="0" w:color="auto"/>
        <w:right w:val="none" w:sz="0" w:space="0" w:color="auto"/>
      </w:divBdr>
    </w:div>
    <w:div w:id="892469265">
      <w:bodyDiv w:val="1"/>
      <w:marLeft w:val="0"/>
      <w:marRight w:val="0"/>
      <w:marTop w:val="0"/>
      <w:marBottom w:val="0"/>
      <w:divBdr>
        <w:top w:val="none" w:sz="0" w:space="0" w:color="auto"/>
        <w:left w:val="none" w:sz="0" w:space="0" w:color="auto"/>
        <w:bottom w:val="none" w:sz="0" w:space="0" w:color="auto"/>
        <w:right w:val="none" w:sz="0" w:space="0" w:color="auto"/>
      </w:divBdr>
    </w:div>
    <w:div w:id="982009181">
      <w:bodyDiv w:val="1"/>
      <w:marLeft w:val="0"/>
      <w:marRight w:val="0"/>
      <w:marTop w:val="0"/>
      <w:marBottom w:val="0"/>
      <w:divBdr>
        <w:top w:val="none" w:sz="0" w:space="0" w:color="auto"/>
        <w:left w:val="none" w:sz="0" w:space="0" w:color="auto"/>
        <w:bottom w:val="none" w:sz="0" w:space="0" w:color="auto"/>
        <w:right w:val="none" w:sz="0" w:space="0" w:color="auto"/>
      </w:divBdr>
    </w:div>
    <w:div w:id="1034304453">
      <w:bodyDiv w:val="1"/>
      <w:marLeft w:val="0"/>
      <w:marRight w:val="0"/>
      <w:marTop w:val="0"/>
      <w:marBottom w:val="0"/>
      <w:divBdr>
        <w:top w:val="none" w:sz="0" w:space="0" w:color="auto"/>
        <w:left w:val="none" w:sz="0" w:space="0" w:color="auto"/>
        <w:bottom w:val="none" w:sz="0" w:space="0" w:color="auto"/>
        <w:right w:val="none" w:sz="0" w:space="0" w:color="auto"/>
      </w:divBdr>
    </w:div>
    <w:div w:id="1079330865">
      <w:bodyDiv w:val="1"/>
      <w:marLeft w:val="0"/>
      <w:marRight w:val="0"/>
      <w:marTop w:val="0"/>
      <w:marBottom w:val="0"/>
      <w:divBdr>
        <w:top w:val="none" w:sz="0" w:space="0" w:color="auto"/>
        <w:left w:val="none" w:sz="0" w:space="0" w:color="auto"/>
        <w:bottom w:val="none" w:sz="0" w:space="0" w:color="auto"/>
        <w:right w:val="none" w:sz="0" w:space="0" w:color="auto"/>
      </w:divBdr>
    </w:div>
    <w:div w:id="1133450112">
      <w:bodyDiv w:val="1"/>
      <w:marLeft w:val="0"/>
      <w:marRight w:val="0"/>
      <w:marTop w:val="0"/>
      <w:marBottom w:val="0"/>
      <w:divBdr>
        <w:top w:val="none" w:sz="0" w:space="0" w:color="auto"/>
        <w:left w:val="none" w:sz="0" w:space="0" w:color="auto"/>
        <w:bottom w:val="none" w:sz="0" w:space="0" w:color="auto"/>
        <w:right w:val="none" w:sz="0" w:space="0" w:color="auto"/>
      </w:divBdr>
    </w:div>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 w:id="1429305030">
      <w:bodyDiv w:val="1"/>
      <w:marLeft w:val="0"/>
      <w:marRight w:val="0"/>
      <w:marTop w:val="0"/>
      <w:marBottom w:val="0"/>
      <w:divBdr>
        <w:top w:val="none" w:sz="0" w:space="0" w:color="auto"/>
        <w:left w:val="none" w:sz="0" w:space="0" w:color="auto"/>
        <w:bottom w:val="none" w:sz="0" w:space="0" w:color="auto"/>
        <w:right w:val="none" w:sz="0" w:space="0" w:color="auto"/>
      </w:divBdr>
    </w:div>
    <w:div w:id="1577979030">
      <w:bodyDiv w:val="1"/>
      <w:marLeft w:val="0"/>
      <w:marRight w:val="0"/>
      <w:marTop w:val="0"/>
      <w:marBottom w:val="0"/>
      <w:divBdr>
        <w:top w:val="none" w:sz="0" w:space="0" w:color="auto"/>
        <w:left w:val="none" w:sz="0" w:space="0" w:color="auto"/>
        <w:bottom w:val="none" w:sz="0" w:space="0" w:color="auto"/>
        <w:right w:val="none" w:sz="0" w:space="0" w:color="auto"/>
      </w:divBdr>
    </w:div>
    <w:div w:id="1592349654">
      <w:bodyDiv w:val="1"/>
      <w:marLeft w:val="0"/>
      <w:marRight w:val="0"/>
      <w:marTop w:val="0"/>
      <w:marBottom w:val="0"/>
      <w:divBdr>
        <w:top w:val="none" w:sz="0" w:space="0" w:color="auto"/>
        <w:left w:val="none" w:sz="0" w:space="0" w:color="auto"/>
        <w:bottom w:val="none" w:sz="0" w:space="0" w:color="auto"/>
        <w:right w:val="none" w:sz="0" w:space="0" w:color="auto"/>
      </w:divBdr>
    </w:div>
    <w:div w:id="1676880007">
      <w:bodyDiv w:val="1"/>
      <w:marLeft w:val="0"/>
      <w:marRight w:val="0"/>
      <w:marTop w:val="0"/>
      <w:marBottom w:val="0"/>
      <w:divBdr>
        <w:top w:val="none" w:sz="0" w:space="0" w:color="auto"/>
        <w:left w:val="none" w:sz="0" w:space="0" w:color="auto"/>
        <w:bottom w:val="none" w:sz="0" w:space="0" w:color="auto"/>
        <w:right w:val="none" w:sz="0" w:space="0" w:color="auto"/>
      </w:divBdr>
    </w:div>
    <w:div w:id="1748574820">
      <w:bodyDiv w:val="1"/>
      <w:marLeft w:val="0"/>
      <w:marRight w:val="0"/>
      <w:marTop w:val="0"/>
      <w:marBottom w:val="0"/>
      <w:divBdr>
        <w:top w:val="none" w:sz="0" w:space="0" w:color="auto"/>
        <w:left w:val="none" w:sz="0" w:space="0" w:color="auto"/>
        <w:bottom w:val="none" w:sz="0" w:space="0" w:color="auto"/>
        <w:right w:val="none" w:sz="0" w:space="0" w:color="auto"/>
      </w:divBdr>
    </w:div>
    <w:div w:id="1949852820">
      <w:bodyDiv w:val="1"/>
      <w:marLeft w:val="0"/>
      <w:marRight w:val="0"/>
      <w:marTop w:val="0"/>
      <w:marBottom w:val="0"/>
      <w:divBdr>
        <w:top w:val="none" w:sz="0" w:space="0" w:color="auto"/>
        <w:left w:val="none" w:sz="0" w:space="0" w:color="auto"/>
        <w:bottom w:val="none" w:sz="0" w:space="0" w:color="auto"/>
        <w:right w:val="none" w:sz="0" w:space="0" w:color="auto"/>
      </w:divBdr>
      <w:divsChild>
        <w:div w:id="1076777873">
          <w:marLeft w:val="0"/>
          <w:marRight w:val="0"/>
          <w:marTop w:val="0"/>
          <w:marBottom w:val="0"/>
          <w:divBdr>
            <w:top w:val="none" w:sz="0" w:space="0" w:color="auto"/>
            <w:left w:val="none" w:sz="0" w:space="0" w:color="auto"/>
            <w:bottom w:val="none" w:sz="0" w:space="0" w:color="auto"/>
            <w:right w:val="none" w:sz="0" w:space="0" w:color="auto"/>
          </w:divBdr>
          <w:divsChild>
            <w:div w:id="3293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6603">
      <w:bodyDiv w:val="1"/>
      <w:marLeft w:val="0"/>
      <w:marRight w:val="0"/>
      <w:marTop w:val="0"/>
      <w:marBottom w:val="0"/>
      <w:divBdr>
        <w:top w:val="none" w:sz="0" w:space="0" w:color="auto"/>
        <w:left w:val="none" w:sz="0" w:space="0" w:color="auto"/>
        <w:bottom w:val="none" w:sz="0" w:space="0" w:color="auto"/>
        <w:right w:val="none" w:sz="0" w:space="0" w:color="auto"/>
      </w:divBdr>
    </w:div>
    <w:div w:id="199375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B"/>
    <w:rsid w:val="00150B01"/>
    <w:rsid w:val="003C274D"/>
    <w:rsid w:val="007E61EF"/>
    <w:rsid w:val="0081649A"/>
    <w:rsid w:val="0089316A"/>
    <w:rsid w:val="008C16DB"/>
    <w:rsid w:val="008D5E86"/>
    <w:rsid w:val="0096761F"/>
    <w:rsid w:val="009A171D"/>
    <w:rsid w:val="00AB7DCF"/>
    <w:rsid w:val="00AD338E"/>
    <w:rsid w:val="00CA3A9D"/>
    <w:rsid w:val="00CB4008"/>
    <w:rsid w:val="00F47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DA49B-3052-477D-B7A9-8EB917CF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2048</TotalTime>
  <Pages>21</Pages>
  <Words>6434</Words>
  <Characters>37962</Characters>
  <Application>Microsoft Office Word</Application>
  <DocSecurity>0</DocSecurity>
  <Lines>316</Lines>
  <Paragraphs>88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Matochová Michala</cp:lastModifiedBy>
  <cp:revision>293</cp:revision>
  <cp:lastPrinted>2006-08-01T17:47:00Z</cp:lastPrinted>
  <dcterms:created xsi:type="dcterms:W3CDTF">2022-06-02T17:54:00Z</dcterms:created>
  <dcterms:modified xsi:type="dcterms:W3CDTF">2023-07-21T08:28:00Z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