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6E623A92" w:rsidR="00D077E9" w:rsidRPr="008E3CAD" w:rsidRDefault="006A4215" w:rsidP="00D70D02">
      <w:pPr>
        <w:rPr>
          <w:noProof/>
          <w:color w:val="0F0D29" w:themeColor="text1"/>
        </w:rPr>
      </w:pPr>
      <w:r w:rsidRPr="008E3CAD">
        <w:rPr>
          <w:noProof/>
          <w:color w:val="0F0D29" w:themeColor="text1"/>
          <w:lang w:eastAsia="cs-CZ"/>
        </w:rPr>
        <mc:AlternateContent>
          <mc:Choice Requires="wps">
            <w:drawing>
              <wp:anchor distT="0" distB="0" distL="114300" distR="114300" simplePos="0" relativeHeight="251663360" behindDoc="1" locked="0" layoutInCell="1" allowOverlap="1" wp14:anchorId="46487825" wp14:editId="2A404293">
                <wp:simplePos x="0" y="0"/>
                <wp:positionH relativeFrom="column">
                  <wp:posOffset>-203835</wp:posOffset>
                </wp:positionH>
                <wp:positionV relativeFrom="page">
                  <wp:posOffset>1085850</wp:posOffset>
                </wp:positionV>
                <wp:extent cx="3938905" cy="8656955"/>
                <wp:effectExtent l="0" t="0" r="444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38905" cy="86569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80449" id="Obdélník 3" o:spid="_x0000_s1026" alt="bílý obdélník pro text na titulní straně" style="position:absolute;margin-left:-16.05pt;margin-top:85.5pt;width:310.15pt;height:68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" fillcolor="white [3212]" stroked="f" strokeweight="2pt">
                <w10:wrap anchory="page"/>
              </v:rect>
            </w:pict>
          </mc:Fallback>
        </mc:AlternateContent>
      </w:r>
      <w:r w:rsidR="00240052" w:rsidRPr="008E3CAD">
        <w:rPr>
          <w:noProof/>
          <w:color w:val="0F0D29" w:themeColor="text1"/>
          <w:lang w:eastAsia="cs-CZ"/>
        </w:rPr>
        <w:drawing>
          <wp:anchor distT="0" distB="0" distL="114300" distR="114300" simplePos="0" relativeHeight="251662336" behindDoc="1" locked="0" layoutInCell="1" allowOverlap="1" wp14:anchorId="5D3EB1F1" wp14:editId="7868FEC1">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79AB1C24" wp14:editId="528C0C23">
                      <wp:extent cx="3528695" cy="2433099"/>
                      <wp:effectExtent l="0" t="0" r="0" b="5715"/>
                      <wp:docPr id="8" name="Textové pole 8"/>
                      <wp:cNvGraphicFramePr/>
                      <a:graphic xmlns:a="http://schemas.openxmlformats.org/drawingml/2006/main">
                        <a:graphicData uri="http://schemas.microsoft.com/office/word/2010/wordprocessingShape">
                          <wps:wsp>
                            <wps:cNvSpPr txBox="1"/>
                            <wps:spPr>
                              <a:xfrm>
                                <a:off x="0" y="0"/>
                                <a:ext cx="3528695" cy="2433099"/>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38317769" w:rsidR="00240052" w:rsidRPr="00815900" w:rsidRDefault="00910407" w:rsidP="00D077E9">
                                  <w:pPr>
                                    <w:pStyle w:val="Nzev"/>
                                    <w:spacing w:after="0"/>
                                    <w:rPr>
                                      <w:color w:val="0F0D29" w:themeColor="text1"/>
                                      <w:sz w:val="56"/>
                                      <w:szCs w:val="48"/>
                                    </w:rPr>
                                  </w:pPr>
                                  <w:r>
                                    <w:rPr>
                                      <w:color w:val="0F0D29" w:themeColor="text1"/>
                                      <w:sz w:val="56"/>
                                      <w:szCs w:val="48"/>
                                      <w:lang w:bidi="cs-CZ"/>
                                    </w:rPr>
                                    <w:t>Květen</w:t>
                                  </w:r>
                                  <w:r w:rsidR="00947FBA">
                                    <w:rPr>
                                      <w:color w:val="0F0D29" w:themeColor="text1"/>
                                      <w:sz w:val="56"/>
                                      <w:szCs w:val="48"/>
                                      <w:lang w:bidi="cs-CZ"/>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LFGAIAAC0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38317769" w:rsidR="00240052" w:rsidRPr="00815900" w:rsidRDefault="00910407" w:rsidP="00D077E9">
                            <w:pPr>
                              <w:pStyle w:val="Nzev"/>
                              <w:spacing w:after="0"/>
                              <w:rPr>
                                <w:color w:val="0F0D29" w:themeColor="text1"/>
                                <w:sz w:val="56"/>
                                <w:szCs w:val="48"/>
                              </w:rPr>
                            </w:pPr>
                            <w:r>
                              <w:rPr>
                                <w:color w:val="0F0D29" w:themeColor="text1"/>
                                <w:sz w:val="56"/>
                                <w:szCs w:val="48"/>
                                <w:lang w:bidi="cs-CZ"/>
                              </w:rPr>
                              <w:t>Květen</w:t>
                            </w:r>
                            <w:r w:rsidR="00947FBA">
                              <w:rPr>
                                <w:color w:val="0F0D29" w:themeColor="text1"/>
                                <w:sz w:val="56"/>
                                <w:szCs w:val="48"/>
                                <w:lang w:bidi="cs-CZ"/>
                              </w:rPr>
                              <w:t xml:space="preserve"> 2023</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End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eastAsia="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4212E4F4" w:rsidR="00F33158" w:rsidRPr="00F33158" w:rsidRDefault="00F33158" w:rsidP="00F33158">
            <w:pPr>
              <w:jc w:val="right"/>
              <w:rPr>
                <w:b w:val="0"/>
                <w:bCs/>
                <w:noProof/>
                <w:color w:val="0F0D29" w:themeColor="text1"/>
              </w:rPr>
            </w:pPr>
            <w:r w:rsidRPr="00F33158">
              <w:rPr>
                <w:b w:val="0"/>
                <w:bCs/>
                <w:noProof/>
                <w:color w:val="0F0D29" w:themeColor="text1"/>
              </w:rPr>
              <w:t>Vypracováno k</w:t>
            </w:r>
            <w:r w:rsidR="00AA594E">
              <w:rPr>
                <w:b w:val="0"/>
                <w:bCs/>
                <w:noProof/>
                <w:color w:val="0F0D29" w:themeColor="text1"/>
              </w:rPr>
              <w:t> 2</w:t>
            </w:r>
            <w:r w:rsidR="00E14631">
              <w:rPr>
                <w:b w:val="0"/>
                <w:bCs/>
                <w:noProof/>
                <w:color w:val="0F0D29" w:themeColor="text1"/>
              </w:rPr>
              <w:t>7</w:t>
            </w:r>
            <w:r w:rsidR="00AA594E">
              <w:rPr>
                <w:b w:val="0"/>
                <w:bCs/>
                <w:noProof/>
                <w:color w:val="0F0D29" w:themeColor="text1"/>
              </w:rPr>
              <w:t>.</w:t>
            </w:r>
            <w:r w:rsidR="00910407">
              <w:rPr>
                <w:b w:val="0"/>
                <w:bCs/>
                <w:noProof/>
                <w:color w:val="0F0D29" w:themeColor="text1"/>
              </w:rPr>
              <w:t>5</w:t>
            </w:r>
            <w:r w:rsidR="00AA594E">
              <w:rPr>
                <w:b w:val="0"/>
                <w:bCs/>
                <w:noProof/>
                <w:color w:val="0F0D29" w:themeColor="text1"/>
              </w:rPr>
              <w:t>.2023</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eastAsia="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lang w:eastAsia="cs-CZ"/>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923" w:type="dxa"/>
        <w:tblCellMar>
          <w:left w:w="0" w:type="dxa"/>
          <w:right w:w="0" w:type="dxa"/>
        </w:tblCellMar>
        <w:tblLook w:val="0000" w:firstRow="0" w:lastRow="0" w:firstColumn="0" w:lastColumn="0" w:noHBand="0" w:noVBand="0"/>
      </w:tblPr>
      <w:tblGrid>
        <w:gridCol w:w="9923"/>
      </w:tblGrid>
      <w:tr w:rsidR="008E3CAD" w:rsidRPr="005078C0" w14:paraId="47FD99E1" w14:textId="77777777" w:rsidTr="00F2217C">
        <w:trPr>
          <w:trHeight w:val="5931"/>
        </w:trPr>
        <w:tc>
          <w:tcPr>
            <w:tcW w:w="9923" w:type="dxa"/>
            <w:shd w:val="clear" w:color="auto" w:fill="auto"/>
          </w:tcPr>
          <w:p w14:paraId="147DAE18" w14:textId="30261548" w:rsidR="0014703E" w:rsidRPr="005078C0" w:rsidRDefault="0014703E" w:rsidP="008E3CAD">
            <w:pPr>
              <w:pStyle w:val="Bezmezer"/>
              <w:spacing w:line="360" w:lineRule="auto"/>
              <w:jc w:val="center"/>
              <w:rPr>
                <w:rFonts w:ascii="Arial" w:hAnsi="Arial" w:cs="Arial"/>
                <w:b/>
                <w:color w:val="0F0D29" w:themeColor="text1"/>
              </w:rPr>
            </w:pPr>
          </w:p>
          <w:p w14:paraId="0E89924B" w14:textId="7C046D49" w:rsidR="00977406" w:rsidRPr="00977406" w:rsidRDefault="0014703E" w:rsidP="00977406">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předpisy vyhlášené ve Sbírce zákonů </w:t>
            </w:r>
          </w:p>
          <w:p w14:paraId="3634CEDC" w14:textId="79E62B0E" w:rsidR="00910407" w:rsidRDefault="00910407" w:rsidP="00AA594E">
            <w:pPr>
              <w:pStyle w:val="Odstavecseseznamem"/>
              <w:numPr>
                <w:ilvl w:val="0"/>
                <w:numId w:val="1"/>
              </w:numPr>
              <w:spacing w:line="360" w:lineRule="auto"/>
              <w:jc w:val="both"/>
              <w:rPr>
                <w:rFonts w:ascii="Arial" w:hAnsi="Arial" w:cs="Arial"/>
                <w:bCs/>
                <w:color w:val="0F0D29" w:themeColor="text1"/>
                <w:sz w:val="20"/>
                <w:szCs w:val="20"/>
              </w:rPr>
            </w:pPr>
            <w:r w:rsidRPr="00910407">
              <w:rPr>
                <w:rFonts w:ascii="Arial" w:hAnsi="Arial" w:cs="Arial"/>
                <w:bCs/>
                <w:color w:val="0F0D29" w:themeColor="text1"/>
                <w:sz w:val="20"/>
                <w:szCs w:val="20"/>
              </w:rPr>
              <w:t>Vyhláška</w:t>
            </w:r>
            <w:r w:rsidR="00A86F93">
              <w:rPr>
                <w:rFonts w:ascii="Arial" w:hAnsi="Arial" w:cs="Arial"/>
                <w:bCs/>
                <w:color w:val="0F0D29" w:themeColor="text1"/>
                <w:sz w:val="20"/>
                <w:szCs w:val="20"/>
              </w:rPr>
              <w:t xml:space="preserve"> č. 112/2023 Sb.</w:t>
            </w:r>
            <w:r w:rsidRPr="00910407">
              <w:rPr>
                <w:rFonts w:ascii="Arial" w:hAnsi="Arial" w:cs="Arial"/>
                <w:bCs/>
                <w:color w:val="0F0D29" w:themeColor="text1"/>
                <w:sz w:val="20"/>
                <w:szCs w:val="20"/>
              </w:rPr>
              <w:t xml:space="preserve">, kterou se mění vyhláška č. 457/2020 Sb., o formulářových podáních pro daň z přidané hodnoty, ve znění vyhlášky č. 358/2021 Sb., a vyhláška č. 525/2020 Sb., o formulářových podáních pro daně z příjmů, ve znění pozdějších předpisů  </w:t>
            </w:r>
          </w:p>
          <w:p w14:paraId="43A3D180" w14:textId="7141B997" w:rsidR="0014703E" w:rsidRPr="00CF29B3" w:rsidRDefault="0014703E" w:rsidP="00947FBA">
            <w:pPr>
              <w:pStyle w:val="Bezmezer"/>
              <w:spacing w:line="360" w:lineRule="auto"/>
              <w:jc w:val="both"/>
              <w:rPr>
                <w:rFonts w:ascii="Arial" w:hAnsi="Arial" w:cs="Arial"/>
                <w:b/>
                <w:color w:val="0F0D29" w:themeColor="text1"/>
              </w:rPr>
            </w:pPr>
            <w:r w:rsidRPr="00CF29B3">
              <w:rPr>
                <w:rFonts w:ascii="Arial" w:hAnsi="Arial" w:cs="Arial"/>
                <w:b/>
                <w:color w:val="0F0D29" w:themeColor="text1"/>
                <w:sz w:val="24"/>
              </w:rPr>
              <w:t>II</w:t>
            </w:r>
            <w:r w:rsidRPr="00CF29B3">
              <w:rPr>
                <w:rFonts w:ascii="Arial" w:hAnsi="Arial" w:cs="Arial"/>
                <w:b/>
                <w:color w:val="0F0D29" w:themeColor="text1"/>
                <w:sz w:val="28"/>
                <w:szCs w:val="24"/>
              </w:rPr>
              <w:t xml:space="preserve">. </w:t>
            </w:r>
            <w:r w:rsidRPr="00CF29B3">
              <w:rPr>
                <w:rFonts w:ascii="Arial" w:hAnsi="Arial" w:cs="Arial"/>
                <w:b/>
                <w:color w:val="0F0D29" w:themeColor="text1"/>
                <w:sz w:val="24"/>
                <w:szCs w:val="24"/>
              </w:rPr>
              <w:t>Připravovaná legislativa</w:t>
            </w:r>
          </w:p>
          <w:p w14:paraId="2F66DFAD" w14:textId="77777777" w:rsidR="00C26ECF" w:rsidRDefault="00C26ECF" w:rsidP="00815900">
            <w:pPr>
              <w:pStyle w:val="Bezmezer"/>
              <w:spacing w:line="360" w:lineRule="auto"/>
              <w:ind w:left="720"/>
              <w:jc w:val="both"/>
              <w:rPr>
                <w:rFonts w:ascii="Arial" w:hAnsi="Arial" w:cs="Arial"/>
                <w:b/>
                <w:color w:val="0F0D29" w:themeColor="text1"/>
                <w:sz w:val="20"/>
                <w:szCs w:val="20"/>
              </w:rPr>
            </w:pPr>
          </w:p>
          <w:p w14:paraId="453FD427" w14:textId="18885FE7" w:rsidR="00C26ECF" w:rsidRPr="00252F73" w:rsidRDefault="0014703E" w:rsidP="00C86B4C">
            <w:pPr>
              <w:pStyle w:val="Bezmezer"/>
              <w:numPr>
                <w:ilvl w:val="0"/>
                <w:numId w:val="2"/>
              </w:numPr>
              <w:spacing w:line="360" w:lineRule="auto"/>
              <w:jc w:val="both"/>
              <w:rPr>
                <w:rFonts w:ascii="Arial" w:hAnsi="Arial" w:cs="Arial"/>
                <w:b/>
                <w:color w:val="0F0D29" w:themeColor="text1"/>
                <w:sz w:val="20"/>
                <w:szCs w:val="20"/>
              </w:rPr>
            </w:pPr>
            <w:r w:rsidRPr="00252F73">
              <w:rPr>
                <w:rFonts w:ascii="Arial" w:hAnsi="Arial" w:cs="Arial"/>
                <w:b/>
                <w:color w:val="0F0D29" w:themeColor="text1"/>
                <w:sz w:val="20"/>
                <w:szCs w:val="20"/>
              </w:rPr>
              <w:t>Výstupy</w:t>
            </w:r>
          </w:p>
          <w:p w14:paraId="042483BE" w14:textId="3AB748D9" w:rsidR="00910407" w:rsidRPr="00252F73" w:rsidRDefault="00252F73" w:rsidP="00F80FE3">
            <w:pPr>
              <w:pStyle w:val="Odstavecseseznamem"/>
              <w:numPr>
                <w:ilvl w:val="0"/>
                <w:numId w:val="1"/>
              </w:numPr>
              <w:spacing w:line="360" w:lineRule="auto"/>
              <w:jc w:val="both"/>
              <w:rPr>
                <w:rFonts w:ascii="Arial" w:hAnsi="Arial" w:cs="Arial"/>
                <w:bCs/>
                <w:i/>
                <w:iCs/>
                <w:color w:val="0F0D29" w:themeColor="text1"/>
                <w:sz w:val="20"/>
                <w:szCs w:val="20"/>
              </w:rPr>
            </w:pPr>
            <w:r w:rsidRPr="00252F73">
              <w:rPr>
                <w:rFonts w:ascii="Arial" w:hAnsi="Arial" w:cs="Arial"/>
                <w:bCs/>
                <w:i/>
                <w:iCs/>
                <w:color w:val="0F0D29" w:themeColor="text1"/>
                <w:sz w:val="20"/>
                <w:szCs w:val="20"/>
              </w:rPr>
              <w:t>Ve sledovaném období nebyly předloženy žádné výstupy s dopady do procesů společnosti.</w:t>
            </w:r>
          </w:p>
          <w:p w14:paraId="4E16F9B5" w14:textId="77777777" w:rsidR="00F80FE3" w:rsidRPr="00F80FE3" w:rsidRDefault="00F80FE3" w:rsidP="00F80FE3">
            <w:pPr>
              <w:pStyle w:val="Odstavecseseznamem"/>
              <w:spacing w:line="360" w:lineRule="auto"/>
              <w:ind w:left="786"/>
              <w:jc w:val="both"/>
              <w:rPr>
                <w:rFonts w:ascii="Arial" w:hAnsi="Arial" w:cs="Arial"/>
                <w:bCs/>
                <w:color w:val="0F0D29" w:themeColor="text1"/>
                <w:sz w:val="20"/>
                <w:szCs w:val="20"/>
              </w:rPr>
            </w:pPr>
          </w:p>
          <w:p w14:paraId="132D1DD9" w14:textId="4D65250A" w:rsidR="0014703E" w:rsidRPr="00815900" w:rsidRDefault="0014703E" w:rsidP="00F80FE3">
            <w:pPr>
              <w:pStyle w:val="Bezmezer"/>
              <w:numPr>
                <w:ilvl w:val="0"/>
                <w:numId w:val="2"/>
              </w:numPr>
              <w:spacing w:line="360" w:lineRule="auto"/>
              <w:jc w:val="both"/>
              <w:rPr>
                <w:rFonts w:ascii="Arial" w:hAnsi="Arial" w:cs="Arial"/>
                <w:bCs/>
                <w:color w:val="0F0D29" w:themeColor="text1"/>
                <w:sz w:val="20"/>
                <w:szCs w:val="20"/>
              </w:rPr>
            </w:pPr>
            <w:r w:rsidRPr="00815900">
              <w:rPr>
                <w:rFonts w:ascii="Arial" w:hAnsi="Arial" w:cs="Arial"/>
                <w:b/>
                <w:color w:val="0F0D29" w:themeColor="text1"/>
                <w:sz w:val="20"/>
                <w:szCs w:val="20"/>
              </w:rPr>
              <w:t>Zadání</w:t>
            </w:r>
          </w:p>
          <w:p w14:paraId="5351BDAD" w14:textId="77777777" w:rsidR="00910407" w:rsidRPr="00910407" w:rsidRDefault="00910407" w:rsidP="00910407">
            <w:pPr>
              <w:pStyle w:val="Odstavecseseznamem"/>
              <w:numPr>
                <w:ilvl w:val="0"/>
                <w:numId w:val="1"/>
              </w:numPr>
              <w:spacing w:line="360" w:lineRule="auto"/>
              <w:jc w:val="both"/>
              <w:rPr>
                <w:rFonts w:ascii="Arial" w:hAnsi="Arial" w:cs="Arial"/>
                <w:bCs/>
                <w:color w:val="1B174A" w:themeColor="text1" w:themeTint="E6"/>
                <w:sz w:val="20"/>
                <w:szCs w:val="20"/>
              </w:rPr>
            </w:pPr>
            <w:r w:rsidRPr="00910407">
              <w:rPr>
                <w:rFonts w:ascii="Arial" w:hAnsi="Arial" w:cs="Arial"/>
                <w:bCs/>
                <w:color w:val="1B174A" w:themeColor="text1" w:themeTint="E6"/>
                <w:sz w:val="20"/>
                <w:szCs w:val="20"/>
              </w:rPr>
              <w:t>Návrh zákona, kterým se mění zákon č. 201/2012 Sb., o ochraně ovzduší, ve znění pozdějších předpisů, a další související zákony</w:t>
            </w:r>
          </w:p>
          <w:p w14:paraId="6BCF8412" w14:textId="7F3531AB" w:rsidR="00A81EDF" w:rsidRDefault="00910407" w:rsidP="00910407">
            <w:pPr>
              <w:pStyle w:val="Odstavecseseznamem"/>
              <w:numPr>
                <w:ilvl w:val="0"/>
                <w:numId w:val="1"/>
              </w:numPr>
              <w:spacing w:line="360" w:lineRule="auto"/>
              <w:jc w:val="both"/>
              <w:rPr>
                <w:rFonts w:ascii="Arial" w:hAnsi="Arial" w:cs="Arial"/>
                <w:bCs/>
                <w:color w:val="1B174A" w:themeColor="text1" w:themeTint="E6"/>
                <w:sz w:val="20"/>
                <w:szCs w:val="20"/>
              </w:rPr>
            </w:pPr>
            <w:r w:rsidRPr="00910407">
              <w:rPr>
                <w:rFonts w:ascii="Arial" w:hAnsi="Arial" w:cs="Arial"/>
                <w:bCs/>
                <w:color w:val="1B174A" w:themeColor="text1" w:themeTint="E6"/>
                <w:sz w:val="20"/>
                <w:szCs w:val="20"/>
              </w:rPr>
              <w:t>Návrh vyhlášky, kterou se stanoví podrobnosti značkování a barvení vybraných minerálních olejů a značkování některých dalších minerálních olejů</w:t>
            </w:r>
          </w:p>
          <w:p w14:paraId="36BF671C" w14:textId="71720E3A" w:rsidR="00910407" w:rsidRDefault="00910407" w:rsidP="00910407">
            <w:pPr>
              <w:pStyle w:val="Odstavecseseznamem"/>
              <w:numPr>
                <w:ilvl w:val="0"/>
                <w:numId w:val="1"/>
              </w:numPr>
              <w:spacing w:line="360" w:lineRule="auto"/>
              <w:jc w:val="both"/>
              <w:rPr>
                <w:rFonts w:ascii="Arial" w:hAnsi="Arial" w:cs="Arial"/>
                <w:bCs/>
                <w:color w:val="1B174A" w:themeColor="text1" w:themeTint="E6"/>
                <w:sz w:val="20"/>
                <w:szCs w:val="20"/>
              </w:rPr>
            </w:pPr>
            <w:r w:rsidRPr="00910407">
              <w:rPr>
                <w:rFonts w:ascii="Arial" w:hAnsi="Arial" w:cs="Arial"/>
                <w:bCs/>
                <w:color w:val="1B174A" w:themeColor="text1" w:themeTint="E6"/>
                <w:sz w:val="20"/>
                <w:szCs w:val="20"/>
              </w:rPr>
              <w:t>Návrh zákona, kterým se mění zákon č. 353/2003 Sb., o spotřebních daních, ve znění pozdějších předpisů, a zákon č. 286/2022 Sb., kterým se mění zákon č. 353/2003 Sb., o spotřebních daních, ve znění pozdějších předpisů</w:t>
            </w:r>
          </w:p>
          <w:p w14:paraId="2A29B54C" w14:textId="2D0D9665" w:rsidR="00A81EDF" w:rsidRDefault="00910407" w:rsidP="00910407">
            <w:pPr>
              <w:pStyle w:val="Odstavecseseznamem"/>
              <w:numPr>
                <w:ilvl w:val="0"/>
                <w:numId w:val="1"/>
              </w:numPr>
              <w:spacing w:line="360" w:lineRule="auto"/>
              <w:jc w:val="both"/>
              <w:rPr>
                <w:rFonts w:ascii="Arial" w:hAnsi="Arial" w:cs="Arial"/>
                <w:bCs/>
                <w:color w:val="1B174A" w:themeColor="text1" w:themeTint="E6"/>
                <w:sz w:val="20"/>
                <w:szCs w:val="20"/>
              </w:rPr>
            </w:pPr>
            <w:r w:rsidRPr="00910407">
              <w:rPr>
                <w:rFonts w:ascii="Arial" w:hAnsi="Arial" w:cs="Arial"/>
                <w:bCs/>
                <w:color w:val="1B174A" w:themeColor="text1" w:themeTint="E6"/>
                <w:sz w:val="20"/>
                <w:szCs w:val="20"/>
              </w:rPr>
              <w:t>Novela zákona č. 269/2021 Sb., o občanských průkazech</w:t>
            </w:r>
          </w:p>
          <w:p w14:paraId="7D4F5A28" w14:textId="7530D172" w:rsidR="00252F73" w:rsidRDefault="00252F73" w:rsidP="00910407">
            <w:pPr>
              <w:pStyle w:val="Odstavecseseznamem"/>
              <w:numPr>
                <w:ilvl w:val="0"/>
                <w:numId w:val="1"/>
              </w:numPr>
              <w:spacing w:line="360" w:lineRule="auto"/>
              <w:jc w:val="both"/>
              <w:rPr>
                <w:rFonts w:ascii="Arial" w:hAnsi="Arial" w:cs="Arial"/>
                <w:bCs/>
                <w:color w:val="1B174A" w:themeColor="text1" w:themeTint="E6"/>
                <w:sz w:val="20"/>
                <w:szCs w:val="20"/>
              </w:rPr>
            </w:pPr>
            <w:r w:rsidRPr="00252F73">
              <w:rPr>
                <w:rFonts w:ascii="Arial" w:hAnsi="Arial" w:cs="Arial"/>
                <w:bCs/>
                <w:color w:val="1B174A" w:themeColor="text1" w:themeTint="E6"/>
                <w:sz w:val="20"/>
                <w:szCs w:val="20"/>
              </w:rPr>
              <w:t>Návrh zákona o konsolidaci veřejných rozpočtů</w:t>
            </w:r>
          </w:p>
          <w:p w14:paraId="6CDFF0C8" w14:textId="276BE567" w:rsidR="00680248" w:rsidRDefault="00680248" w:rsidP="00910407">
            <w:pPr>
              <w:pStyle w:val="Odstavecseseznamem"/>
              <w:numPr>
                <w:ilvl w:val="0"/>
                <w:numId w:val="1"/>
              </w:numPr>
              <w:spacing w:line="360" w:lineRule="auto"/>
              <w:jc w:val="both"/>
              <w:rPr>
                <w:rFonts w:ascii="Arial" w:hAnsi="Arial" w:cs="Arial"/>
                <w:bCs/>
                <w:color w:val="1B174A" w:themeColor="text1" w:themeTint="E6"/>
                <w:sz w:val="20"/>
                <w:szCs w:val="20"/>
              </w:rPr>
            </w:pPr>
            <w:r w:rsidRPr="00680248">
              <w:rPr>
                <w:rFonts w:ascii="Arial" w:hAnsi="Arial" w:cs="Arial"/>
                <w:bCs/>
                <w:color w:val="1B174A" w:themeColor="text1" w:themeTint="E6"/>
                <w:sz w:val="20"/>
                <w:szCs w:val="20"/>
              </w:rPr>
              <w:t>Návrh vyhlášky, kterou se mění vyhláška č. 467/2022 Sb., o změně sazby základní náhrady za používání silničních motorových vozidel a stravného a o stanovení průměrné ceny pohonných hmot pro účely poskytování cestovních náhrad pro rok 2023, ve znění vyhlášky č. 85/2023 Sb.</w:t>
            </w:r>
          </w:p>
          <w:p w14:paraId="50C36D63" w14:textId="4D273BE0" w:rsidR="00680248" w:rsidRPr="0054187B" w:rsidRDefault="00680248" w:rsidP="00910407">
            <w:pPr>
              <w:pStyle w:val="Odstavecseseznamem"/>
              <w:numPr>
                <w:ilvl w:val="0"/>
                <w:numId w:val="1"/>
              </w:numPr>
              <w:spacing w:line="360" w:lineRule="auto"/>
              <w:jc w:val="both"/>
              <w:rPr>
                <w:rFonts w:ascii="Arial" w:hAnsi="Arial" w:cs="Arial"/>
                <w:bCs/>
                <w:color w:val="1B174A" w:themeColor="text1" w:themeTint="E6"/>
                <w:sz w:val="20"/>
                <w:szCs w:val="20"/>
              </w:rPr>
            </w:pPr>
            <w:r w:rsidRPr="00680248">
              <w:rPr>
                <w:rFonts w:ascii="Arial" w:hAnsi="Arial" w:cs="Arial"/>
                <w:bCs/>
                <w:color w:val="1B174A" w:themeColor="text1" w:themeTint="E6"/>
                <w:sz w:val="20"/>
                <w:szCs w:val="20"/>
              </w:rPr>
              <w:t xml:space="preserve">Návrh vyhlášky, kterou se mění vyhláška č. 252/2004 Sb., kterou se stanoví hygienické požadavky na </w:t>
            </w:r>
            <w:r w:rsidRPr="0054187B">
              <w:rPr>
                <w:rFonts w:ascii="Arial" w:hAnsi="Arial" w:cs="Arial"/>
                <w:bCs/>
                <w:color w:val="1B174A" w:themeColor="text1" w:themeTint="E6"/>
                <w:sz w:val="20"/>
                <w:szCs w:val="20"/>
              </w:rPr>
              <w:t>pitnou a teplou vodu a četnost a rozsah kontroly pitné vody, ve znění pozdějších předpisů</w:t>
            </w:r>
          </w:p>
          <w:p w14:paraId="33C29018" w14:textId="77777777" w:rsidR="00910407" w:rsidRPr="0054187B" w:rsidRDefault="00910407" w:rsidP="00910407">
            <w:pPr>
              <w:pStyle w:val="Odstavecseseznamem"/>
              <w:spacing w:line="360" w:lineRule="auto"/>
              <w:ind w:left="786"/>
              <w:jc w:val="both"/>
              <w:rPr>
                <w:rFonts w:ascii="Arial" w:hAnsi="Arial" w:cs="Arial"/>
                <w:bCs/>
                <w:color w:val="1B174A" w:themeColor="text1" w:themeTint="E6"/>
                <w:sz w:val="20"/>
                <w:szCs w:val="20"/>
              </w:rPr>
            </w:pPr>
          </w:p>
          <w:p w14:paraId="118937B2" w14:textId="0DA6C21D" w:rsidR="0014703E" w:rsidRPr="00825113" w:rsidRDefault="0014703E" w:rsidP="008E3CAD">
            <w:pPr>
              <w:pStyle w:val="Bezmezer"/>
              <w:spacing w:line="360" w:lineRule="auto"/>
              <w:jc w:val="both"/>
              <w:rPr>
                <w:rFonts w:ascii="Arial" w:hAnsi="Arial" w:cs="Arial"/>
                <w:b/>
                <w:color w:val="0F0D29" w:themeColor="text1"/>
                <w:sz w:val="24"/>
                <w:szCs w:val="24"/>
              </w:rPr>
            </w:pPr>
            <w:r w:rsidRPr="0054187B">
              <w:rPr>
                <w:rFonts w:ascii="Arial" w:hAnsi="Arial" w:cs="Arial"/>
                <w:b/>
                <w:color w:val="0F0D29" w:themeColor="text1"/>
                <w:sz w:val="24"/>
                <w:szCs w:val="24"/>
              </w:rPr>
              <w:t>III. Judikatura a stanoviska</w:t>
            </w:r>
          </w:p>
          <w:p w14:paraId="2B96E6E3" w14:textId="40570FB8" w:rsidR="004B005C" w:rsidRDefault="0066776E" w:rsidP="00910407">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Z</w:t>
            </w:r>
            <w:r w:rsidR="0054187B" w:rsidRPr="0054187B">
              <w:rPr>
                <w:rFonts w:ascii="Arial" w:hAnsi="Arial" w:cs="Arial"/>
                <w:bCs/>
                <w:color w:val="0F0D29" w:themeColor="text1"/>
                <w:sz w:val="20"/>
                <w:szCs w:val="20"/>
              </w:rPr>
              <w:t>rušení zadávacího řízení zadavatelem</w:t>
            </w:r>
          </w:p>
          <w:p w14:paraId="6702E586" w14:textId="3EC7D2A4" w:rsidR="0066776E" w:rsidRDefault="0066776E" w:rsidP="00910407">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Poskytnutí informací</w:t>
            </w:r>
          </w:p>
          <w:p w14:paraId="638DE63D" w14:textId="55C69092" w:rsidR="004B005C" w:rsidRDefault="004B005C" w:rsidP="004B005C">
            <w:pPr>
              <w:spacing w:line="360" w:lineRule="auto"/>
              <w:jc w:val="both"/>
              <w:rPr>
                <w:rFonts w:ascii="Arial" w:hAnsi="Arial" w:cs="Arial"/>
                <w:bCs/>
                <w:color w:val="0F0D29" w:themeColor="text1"/>
                <w:sz w:val="20"/>
                <w:szCs w:val="20"/>
              </w:rPr>
            </w:pPr>
          </w:p>
          <w:p w14:paraId="3DA505C9" w14:textId="7EDBB433" w:rsidR="004B005C" w:rsidRDefault="004B005C" w:rsidP="004B005C">
            <w:pPr>
              <w:spacing w:line="360" w:lineRule="auto"/>
              <w:jc w:val="both"/>
              <w:rPr>
                <w:rFonts w:ascii="Arial" w:hAnsi="Arial" w:cs="Arial"/>
                <w:bCs/>
                <w:color w:val="0F0D29" w:themeColor="text1"/>
                <w:sz w:val="20"/>
                <w:szCs w:val="20"/>
              </w:rPr>
            </w:pPr>
          </w:p>
          <w:p w14:paraId="4D9D13F8" w14:textId="1E13EC49" w:rsidR="004B005C" w:rsidRDefault="004B005C" w:rsidP="004B005C">
            <w:pPr>
              <w:spacing w:line="360" w:lineRule="auto"/>
              <w:jc w:val="both"/>
              <w:rPr>
                <w:rFonts w:ascii="Arial" w:hAnsi="Arial" w:cs="Arial"/>
                <w:bCs/>
                <w:color w:val="0F0D29" w:themeColor="text1"/>
                <w:sz w:val="20"/>
                <w:szCs w:val="20"/>
              </w:rPr>
            </w:pPr>
          </w:p>
          <w:p w14:paraId="7D5C622A" w14:textId="5C2EE78F" w:rsidR="004B005C" w:rsidRDefault="004B005C" w:rsidP="004B005C">
            <w:pPr>
              <w:spacing w:line="360" w:lineRule="auto"/>
              <w:jc w:val="both"/>
              <w:rPr>
                <w:rFonts w:ascii="Arial" w:hAnsi="Arial" w:cs="Arial"/>
                <w:bCs/>
                <w:color w:val="0F0D29" w:themeColor="text1"/>
                <w:sz w:val="20"/>
                <w:szCs w:val="20"/>
              </w:rPr>
            </w:pPr>
          </w:p>
          <w:p w14:paraId="0E762DFF" w14:textId="66CF4954" w:rsidR="004B005C" w:rsidRDefault="004B005C" w:rsidP="004B005C">
            <w:pPr>
              <w:spacing w:line="360" w:lineRule="auto"/>
              <w:jc w:val="both"/>
              <w:rPr>
                <w:rFonts w:ascii="Arial" w:hAnsi="Arial" w:cs="Arial"/>
                <w:bCs/>
                <w:color w:val="0F0D29" w:themeColor="text1"/>
                <w:sz w:val="20"/>
                <w:szCs w:val="20"/>
              </w:rPr>
            </w:pPr>
          </w:p>
          <w:p w14:paraId="393D1679" w14:textId="7793FC91" w:rsidR="004B005C" w:rsidRDefault="004B005C" w:rsidP="004B005C">
            <w:pPr>
              <w:spacing w:line="360" w:lineRule="auto"/>
              <w:jc w:val="both"/>
              <w:rPr>
                <w:rFonts w:ascii="Arial" w:hAnsi="Arial" w:cs="Arial"/>
                <w:bCs/>
                <w:color w:val="0F0D29" w:themeColor="text1"/>
                <w:sz w:val="20"/>
                <w:szCs w:val="20"/>
              </w:rPr>
            </w:pPr>
          </w:p>
          <w:p w14:paraId="034D3400" w14:textId="43D09813" w:rsidR="004B005C" w:rsidRDefault="004B005C" w:rsidP="004B005C">
            <w:pPr>
              <w:spacing w:line="360" w:lineRule="auto"/>
              <w:jc w:val="both"/>
              <w:rPr>
                <w:rFonts w:ascii="Arial" w:hAnsi="Arial" w:cs="Arial"/>
                <w:bCs/>
                <w:color w:val="0F0D29" w:themeColor="text1"/>
                <w:sz w:val="20"/>
                <w:szCs w:val="20"/>
              </w:rPr>
            </w:pPr>
          </w:p>
          <w:p w14:paraId="3466F3F6" w14:textId="6CA9F3CA" w:rsidR="004B005C" w:rsidRDefault="004B005C" w:rsidP="004B005C">
            <w:pPr>
              <w:spacing w:line="360" w:lineRule="auto"/>
              <w:jc w:val="both"/>
              <w:rPr>
                <w:rFonts w:ascii="Arial" w:hAnsi="Arial" w:cs="Arial"/>
                <w:bCs/>
                <w:color w:val="0F0D29" w:themeColor="text1"/>
                <w:sz w:val="20"/>
                <w:szCs w:val="20"/>
              </w:rPr>
            </w:pPr>
          </w:p>
          <w:p w14:paraId="4EFA7AE7" w14:textId="7A49C6C2" w:rsidR="004B005C" w:rsidRDefault="004B005C" w:rsidP="004B005C">
            <w:pPr>
              <w:spacing w:line="360" w:lineRule="auto"/>
              <w:jc w:val="both"/>
              <w:rPr>
                <w:rFonts w:ascii="Arial" w:hAnsi="Arial" w:cs="Arial"/>
                <w:bCs/>
                <w:color w:val="0F0D29" w:themeColor="text1"/>
                <w:sz w:val="20"/>
                <w:szCs w:val="20"/>
              </w:rPr>
            </w:pPr>
          </w:p>
          <w:p w14:paraId="6ED62FA4" w14:textId="50BCBE9B" w:rsidR="0014703E" w:rsidRPr="005078C0" w:rsidRDefault="0014703E" w:rsidP="005078C0">
            <w:pPr>
              <w:pStyle w:val="Bezmezer"/>
              <w:numPr>
                <w:ilvl w:val="0"/>
                <w:numId w:val="4"/>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lastRenderedPageBreak/>
              <w:t>Platné právní předpisy vyhlášené ve Sbírce zákonů</w:t>
            </w:r>
          </w:p>
          <w:p w14:paraId="5081D4CD" w14:textId="47A2F9AF" w:rsidR="00BF66CB" w:rsidRDefault="00BF66CB" w:rsidP="00BF66CB">
            <w:pPr>
              <w:pStyle w:val="Bezmezer"/>
              <w:spacing w:line="360" w:lineRule="auto"/>
              <w:rPr>
                <w:rStyle w:val="Hypertextovodkaz"/>
                <w:rFonts w:ascii="Arial" w:eastAsia="Times New Roman" w:hAnsi="Arial" w:cs="Arial"/>
                <w:b/>
                <w:bCs/>
                <w:color w:val="0F0D29" w:themeColor="text1"/>
                <w:kern w:val="36"/>
                <w:sz w:val="24"/>
                <w:szCs w:val="24"/>
                <w:lang w:eastAsia="cs-CZ"/>
              </w:rPr>
            </w:pPr>
          </w:p>
          <w:p w14:paraId="7E4CDC0C" w14:textId="385C1EC8" w:rsidR="00C203E7" w:rsidRPr="006E530F" w:rsidRDefault="00A86F93" w:rsidP="00A86F93">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A86F93">
              <w:rPr>
                <w:rStyle w:val="Hypertextovodkaz"/>
                <w:rFonts w:ascii="Arial" w:eastAsia="Times New Roman" w:hAnsi="Arial" w:cs="Arial"/>
                <w:b/>
                <w:bCs/>
                <w:color w:val="0F0D29" w:themeColor="text1"/>
                <w:kern w:val="36"/>
                <w:sz w:val="24"/>
                <w:szCs w:val="24"/>
                <w:u w:val="none"/>
                <w:lang w:eastAsia="cs-CZ"/>
              </w:rPr>
              <w:t>Vyhláška</w:t>
            </w:r>
            <w:r>
              <w:rPr>
                <w:rStyle w:val="Hypertextovodkaz"/>
                <w:rFonts w:ascii="Arial" w:eastAsia="Times New Roman" w:hAnsi="Arial" w:cs="Arial"/>
                <w:b/>
                <w:bCs/>
                <w:color w:val="0F0D29" w:themeColor="text1"/>
                <w:kern w:val="36"/>
                <w:sz w:val="24"/>
                <w:szCs w:val="24"/>
                <w:u w:val="none"/>
                <w:lang w:eastAsia="cs-CZ"/>
              </w:rPr>
              <w:t xml:space="preserve"> č. 112/2023 Sb.</w:t>
            </w:r>
            <w:r w:rsidRPr="00A86F93">
              <w:rPr>
                <w:rStyle w:val="Hypertextovodkaz"/>
                <w:rFonts w:ascii="Arial" w:eastAsia="Times New Roman" w:hAnsi="Arial" w:cs="Arial"/>
                <w:b/>
                <w:bCs/>
                <w:color w:val="0F0D29" w:themeColor="text1"/>
                <w:kern w:val="36"/>
                <w:sz w:val="24"/>
                <w:szCs w:val="24"/>
                <w:u w:val="none"/>
                <w:lang w:eastAsia="cs-CZ"/>
              </w:rPr>
              <w:t xml:space="preserve">, kterou se mění vyhláška č. 457/2020 Sb., o formulářových podáních pro daň z přidané hodnoty, ve znění vyhlášky č. 358/2021 Sb., a vyhláška č. 525/2020 Sb., o formulářových podáních pro daně z příjmů, ve znění pozdějších předpisů  </w:t>
            </w:r>
            <w:r w:rsidR="001255F9">
              <w:rPr>
                <w:rStyle w:val="Hypertextovodkaz"/>
                <w:rFonts w:ascii="Arial" w:eastAsia="Times New Roman" w:hAnsi="Arial" w:cs="Arial"/>
                <w:b/>
                <w:bCs/>
                <w:color w:val="0F0D29" w:themeColor="text1"/>
                <w:kern w:val="36"/>
                <w:sz w:val="24"/>
                <w:szCs w:val="24"/>
                <w:u w:val="none"/>
                <w:lang w:eastAsia="cs-CZ"/>
              </w:rPr>
              <w:pict w14:anchorId="5D475690">
                <v:rect id="_x0000_i1025" style="width:0;height:1.5pt" o:hralign="center" o:hrstd="t" o:hr="t" fillcolor="#a0a0a0" stroked="f"/>
              </w:pict>
            </w:r>
          </w:p>
          <w:p w14:paraId="65A2A647" w14:textId="5E7B6450" w:rsidR="00C203E7" w:rsidRPr="001A0EC5"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Účinnost</w:t>
            </w:r>
            <w:r w:rsidR="00916FC4" w:rsidRPr="001A0EC5">
              <w:rPr>
                <w:rFonts w:asciiTheme="majorHAnsi" w:hAnsiTheme="majorHAnsi" w:cstheme="majorHAnsi"/>
                <w:color w:val="3B3B3B"/>
                <w:sz w:val="20"/>
                <w:szCs w:val="20"/>
              </w:rPr>
              <w:t xml:space="preserve"> od </w:t>
            </w:r>
            <w:r w:rsidR="00A86F93">
              <w:rPr>
                <w:rFonts w:asciiTheme="majorHAnsi" w:hAnsiTheme="majorHAnsi" w:cstheme="majorHAnsi"/>
                <w:color w:val="3B3B3B"/>
                <w:sz w:val="20"/>
                <w:szCs w:val="20"/>
              </w:rPr>
              <w:t>27. 4. 2023</w:t>
            </w:r>
            <w:r w:rsidRPr="001A0EC5">
              <w:rPr>
                <w:rFonts w:asciiTheme="majorHAnsi" w:hAnsiTheme="majorHAnsi" w:cstheme="majorHAnsi"/>
                <w:color w:val="3B3B3B"/>
                <w:sz w:val="20"/>
                <w:szCs w:val="20"/>
              </w:rPr>
              <w:t xml:space="preserve"> </w:t>
            </w:r>
          </w:p>
          <w:p w14:paraId="2BD1DD9E" w14:textId="77777777" w:rsidR="00C203E7" w:rsidRPr="001A0EC5"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0D10EB3B" w14:textId="755E410A" w:rsidR="00916FC4" w:rsidRDefault="00916FC4"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sidR="00A86F93">
              <w:rPr>
                <w:rFonts w:asciiTheme="majorHAnsi" w:hAnsiTheme="majorHAnsi" w:cstheme="majorHAnsi"/>
                <w:color w:val="3B3B3B"/>
                <w:sz w:val="20"/>
                <w:szCs w:val="20"/>
              </w:rPr>
              <w:t>26</w:t>
            </w:r>
            <w:r w:rsidR="008B5919">
              <w:rPr>
                <w:rFonts w:asciiTheme="majorHAnsi" w:hAnsiTheme="majorHAnsi" w:cstheme="majorHAnsi"/>
                <w:color w:val="3B3B3B"/>
                <w:sz w:val="20"/>
                <w:szCs w:val="20"/>
              </w:rPr>
              <w:t>. 4</w:t>
            </w:r>
            <w:r w:rsidR="008602AE" w:rsidRPr="001A0EC5">
              <w:rPr>
                <w:rFonts w:asciiTheme="majorHAnsi" w:hAnsiTheme="majorHAnsi" w:cstheme="majorHAnsi"/>
                <w:color w:val="3B3B3B"/>
                <w:sz w:val="20"/>
                <w:szCs w:val="20"/>
              </w:rPr>
              <w:t>.2023</w:t>
            </w:r>
            <w:r w:rsidRPr="001A0EC5">
              <w:rPr>
                <w:rFonts w:asciiTheme="majorHAnsi" w:hAnsiTheme="majorHAnsi" w:cstheme="majorHAnsi"/>
                <w:color w:val="3B3B3B"/>
                <w:sz w:val="20"/>
                <w:szCs w:val="20"/>
              </w:rPr>
              <w:t xml:space="preserve"> byla ve Sbírce zákonů publikována </w:t>
            </w:r>
            <w:r w:rsidR="008602AE" w:rsidRPr="001A0EC5">
              <w:rPr>
                <w:rFonts w:asciiTheme="majorHAnsi" w:hAnsiTheme="majorHAnsi" w:cstheme="majorHAnsi"/>
                <w:color w:val="3B3B3B"/>
                <w:sz w:val="20"/>
                <w:szCs w:val="20"/>
              </w:rPr>
              <w:t xml:space="preserve">novela </w:t>
            </w:r>
            <w:r w:rsidR="002A7630" w:rsidRPr="002A7630">
              <w:rPr>
                <w:rFonts w:asciiTheme="majorHAnsi" w:hAnsiTheme="majorHAnsi" w:cstheme="majorHAnsi"/>
                <w:color w:val="3B3B3B"/>
                <w:sz w:val="20"/>
                <w:szCs w:val="20"/>
              </w:rPr>
              <w:t>vyhlášk</w:t>
            </w:r>
            <w:r w:rsidR="002A7630">
              <w:rPr>
                <w:rFonts w:asciiTheme="majorHAnsi" w:hAnsiTheme="majorHAnsi" w:cstheme="majorHAnsi"/>
                <w:color w:val="3B3B3B"/>
                <w:sz w:val="20"/>
                <w:szCs w:val="20"/>
              </w:rPr>
              <w:t>y</w:t>
            </w:r>
            <w:r w:rsidR="002A7630" w:rsidRPr="002A7630">
              <w:rPr>
                <w:rFonts w:asciiTheme="majorHAnsi" w:hAnsiTheme="majorHAnsi" w:cstheme="majorHAnsi"/>
                <w:color w:val="3B3B3B"/>
                <w:sz w:val="20"/>
                <w:szCs w:val="20"/>
              </w:rPr>
              <w:t xml:space="preserve"> č. 457/2020 Sb., o formulářových podáních pro daň z přidané hodnoty, ve znění vyhlášky č. 358/2021 Sb., a vyhláška č. 525/2020 Sb., o formulářových podáních pro daně z příjmů, ve znění pozdějších předpisů</w:t>
            </w:r>
            <w:r w:rsidR="002A7630">
              <w:rPr>
                <w:rFonts w:asciiTheme="majorHAnsi" w:hAnsiTheme="majorHAnsi" w:cstheme="majorHAnsi"/>
                <w:color w:val="3B3B3B"/>
                <w:sz w:val="20"/>
                <w:szCs w:val="20"/>
              </w:rPr>
              <w:t>.</w:t>
            </w:r>
          </w:p>
          <w:p w14:paraId="7041FEED" w14:textId="2EDDB15A" w:rsidR="008B5919" w:rsidRDefault="008B5919"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09E988DD" w14:textId="50CE7B06" w:rsidR="008B5919" w:rsidRDefault="002A7630"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 xml:space="preserve">Novela obsahuje nové formuláře pro kontrolní hlášení a </w:t>
            </w:r>
            <w:r w:rsidRPr="002A7630">
              <w:rPr>
                <w:rFonts w:asciiTheme="majorHAnsi" w:hAnsiTheme="majorHAnsi" w:cstheme="majorHAnsi"/>
                <w:color w:val="3B3B3B"/>
                <w:sz w:val="20"/>
                <w:szCs w:val="20"/>
              </w:rPr>
              <w:t>přiznání k dani z neočekávaných zisků</w:t>
            </w:r>
            <w:r>
              <w:rPr>
                <w:rFonts w:asciiTheme="majorHAnsi" w:hAnsiTheme="majorHAnsi" w:cstheme="majorHAnsi"/>
                <w:color w:val="3B3B3B"/>
                <w:sz w:val="20"/>
                <w:szCs w:val="20"/>
              </w:rPr>
              <w:t>.</w:t>
            </w:r>
          </w:p>
          <w:p w14:paraId="6524B888" w14:textId="77777777" w:rsidR="003F7659" w:rsidRPr="005C048D" w:rsidRDefault="003F7659" w:rsidP="00C203E7">
            <w:pPr>
              <w:pStyle w:val="text-large"/>
              <w:shd w:val="clear" w:color="auto" w:fill="FFFFFF"/>
              <w:spacing w:before="0" w:beforeAutospacing="0" w:after="0" w:afterAutospacing="0" w:line="408" w:lineRule="atLeast"/>
              <w:jc w:val="both"/>
              <w:rPr>
                <w:rFonts w:asciiTheme="majorHAnsi" w:hAnsiTheme="majorHAnsi" w:cstheme="majorHAnsi"/>
                <w:sz w:val="20"/>
                <w:szCs w:val="20"/>
              </w:rPr>
            </w:pPr>
          </w:p>
          <w:p w14:paraId="2F61B049" w14:textId="4D8D04C3" w:rsidR="00C203E7" w:rsidRPr="005C048D" w:rsidRDefault="002A7630" w:rsidP="00C203E7">
            <w:pPr>
              <w:pStyle w:val="Bezmezer"/>
              <w:shd w:val="clear" w:color="auto" w:fill="D9D9D9" w:themeFill="background1" w:themeFillShade="D9"/>
              <w:spacing w:line="276" w:lineRule="auto"/>
              <w:rPr>
                <w:rStyle w:val="Hypertextovodkaz"/>
                <w:rFonts w:ascii="Arial" w:eastAsia="Times New Roman" w:hAnsi="Arial" w:cs="Arial"/>
                <w:b/>
                <w:bCs/>
                <w:i/>
                <w:color w:val="auto"/>
                <w:kern w:val="36"/>
                <w:sz w:val="20"/>
                <w:szCs w:val="20"/>
                <w:u w:val="none"/>
                <w:lang w:eastAsia="cs-CZ"/>
              </w:rPr>
            </w:pPr>
            <w:r>
              <w:rPr>
                <w:rStyle w:val="Hypertextovodkaz"/>
                <w:rFonts w:ascii="Arial" w:eastAsia="Times New Roman" w:hAnsi="Arial" w:cs="Arial"/>
                <w:b/>
                <w:bCs/>
                <w:i/>
                <w:color w:val="auto"/>
                <w:kern w:val="36"/>
                <w:sz w:val="20"/>
                <w:szCs w:val="20"/>
                <w:u w:val="none"/>
                <w:lang w:eastAsia="cs-CZ"/>
              </w:rPr>
              <w:t>Na vědomí FÚ.</w:t>
            </w:r>
          </w:p>
          <w:p w14:paraId="491551C1" w14:textId="51EE2AEF" w:rsidR="004B005C" w:rsidRDefault="004B005C"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38F1FA27" w14:textId="36167027" w:rsidR="004B005C" w:rsidRDefault="004B005C"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60A8AC80" w14:textId="77777777" w:rsidR="001E048A" w:rsidRPr="00DE0025" w:rsidRDefault="001E048A"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745291D9" w14:textId="3E9798D4" w:rsidR="0014703E" w:rsidRPr="005078C0" w:rsidRDefault="0014703E" w:rsidP="00DE0025">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263EDF86" w14:textId="643E3F4D" w:rsidR="0014703E" w:rsidRDefault="0014703E" w:rsidP="001822B6">
            <w:pPr>
              <w:pStyle w:val="Bezmezer"/>
              <w:jc w:val="both"/>
              <w:rPr>
                <w:rStyle w:val="Hypertextovodkaz"/>
                <w:rFonts w:ascii="Arial" w:eastAsia="Times New Roman" w:hAnsi="Arial" w:cs="Arial"/>
                <w:b/>
                <w:bCs/>
                <w:color w:val="0F0D29" w:themeColor="text1"/>
                <w:kern w:val="36"/>
                <w:u w:val="none"/>
                <w:lang w:eastAsia="cs-CZ"/>
              </w:rPr>
            </w:pPr>
          </w:p>
          <w:p w14:paraId="7115E88E" w14:textId="6A44D79E" w:rsidR="00252F73" w:rsidRPr="00252F73" w:rsidRDefault="00252F73" w:rsidP="00252F73">
            <w:pPr>
              <w:pStyle w:val="Bezmezer"/>
              <w:spacing w:line="360" w:lineRule="auto"/>
              <w:jc w:val="both"/>
              <w:rPr>
                <w:rStyle w:val="Hypertextovodkaz"/>
                <w:rFonts w:ascii="Arial" w:hAnsi="Arial" w:cs="Arial"/>
                <w:i/>
                <w:iCs/>
                <w:color w:val="auto"/>
                <w:sz w:val="20"/>
                <w:szCs w:val="20"/>
                <w:u w:val="none"/>
                <w:lang w:eastAsia="cs-CZ"/>
              </w:rPr>
            </w:pPr>
            <w:r w:rsidRPr="00252F73">
              <w:rPr>
                <w:rStyle w:val="Hypertextovodkaz"/>
                <w:rFonts w:ascii="Arial" w:hAnsi="Arial" w:cs="Arial"/>
                <w:i/>
                <w:iCs/>
                <w:color w:val="auto"/>
                <w:sz w:val="20"/>
                <w:szCs w:val="20"/>
                <w:u w:val="none"/>
                <w:lang w:eastAsia="cs-CZ"/>
              </w:rPr>
              <w:t>Ve sledovaném období nebyly předloženy žádné výstupy s dopady do procesů společnosti.</w:t>
            </w:r>
          </w:p>
          <w:p w14:paraId="1297514C" w14:textId="52169338" w:rsidR="00C6452A" w:rsidRDefault="00C6452A" w:rsidP="00F54BC8">
            <w:pPr>
              <w:pStyle w:val="Bezmezer"/>
              <w:spacing w:line="360" w:lineRule="auto"/>
              <w:jc w:val="both"/>
              <w:rPr>
                <w:rFonts w:ascii="Arial" w:hAnsi="Arial" w:cs="Arial"/>
                <w:sz w:val="20"/>
                <w:szCs w:val="20"/>
                <w:lang w:eastAsia="cs-CZ"/>
              </w:rPr>
            </w:pPr>
          </w:p>
          <w:p w14:paraId="3EA2DB20" w14:textId="5B0B8D16" w:rsidR="0014703E" w:rsidRDefault="0014703E"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28455D94" w14:textId="390BB2CB" w:rsidR="00C90A3E" w:rsidRPr="005078C0" w:rsidRDefault="00D856E2" w:rsidP="005F4E9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D856E2">
              <w:rPr>
                <w:rStyle w:val="Hypertextovodkaz"/>
                <w:rFonts w:ascii="Arial" w:eastAsia="Times New Roman" w:hAnsi="Arial" w:cs="Arial"/>
                <w:b/>
                <w:bCs/>
                <w:color w:val="0F0D29" w:themeColor="text1"/>
                <w:kern w:val="36"/>
                <w:sz w:val="24"/>
                <w:szCs w:val="20"/>
                <w:u w:val="none"/>
                <w:lang w:eastAsia="cs-CZ"/>
              </w:rPr>
              <w:t>Návrh zákona, kterým se mění zákon č. 201/2012 Sb., o ochraně ovzduší, ve znění pozdějších předpisů, a další související zákony</w:t>
            </w:r>
            <w:r w:rsidR="001255F9">
              <w:rPr>
                <w:rStyle w:val="Hypertextovodkaz"/>
                <w:rFonts w:ascii="Arial" w:eastAsia="Times New Roman" w:hAnsi="Arial" w:cs="Arial"/>
                <w:b/>
                <w:bCs/>
                <w:color w:val="0F0D29" w:themeColor="text1"/>
                <w:kern w:val="36"/>
                <w:sz w:val="24"/>
                <w:szCs w:val="24"/>
                <w:u w:val="none"/>
                <w:lang w:eastAsia="cs-CZ"/>
              </w:rPr>
              <w:pict w14:anchorId="32314C35">
                <v:rect id="_x0000_i1026" style="width:0;height:1.5pt" o:hralign="center" o:hrstd="t" o:hr="t" fillcolor="#a0a0a0" stroked="f"/>
              </w:pict>
            </w:r>
          </w:p>
          <w:p w14:paraId="3CB1F5E4" w14:textId="77777777" w:rsidR="00D856E2" w:rsidRDefault="00D856E2" w:rsidP="004405C5">
            <w:pPr>
              <w:pStyle w:val="Bezmezer"/>
              <w:jc w:val="right"/>
              <w:rPr>
                <w:rStyle w:val="Hypertextovodkaz"/>
                <w:rFonts w:ascii="Arial" w:hAnsi="Arial" w:cs="Arial"/>
                <w:color w:val="auto"/>
                <w:sz w:val="20"/>
                <w:szCs w:val="20"/>
                <w:u w:val="none"/>
                <w:lang w:eastAsia="cs-CZ"/>
              </w:rPr>
            </w:pPr>
            <w:r w:rsidRPr="00D856E2">
              <w:rPr>
                <w:rStyle w:val="Hypertextovodkaz"/>
                <w:rFonts w:ascii="Arial" w:hAnsi="Arial" w:cs="Arial"/>
                <w:color w:val="auto"/>
                <w:sz w:val="20"/>
                <w:szCs w:val="20"/>
                <w:u w:val="none"/>
                <w:lang w:eastAsia="cs-CZ"/>
              </w:rPr>
              <w:t>ALBSCRGHEMYG</w:t>
            </w:r>
          </w:p>
          <w:p w14:paraId="56306A1A" w14:textId="1233042C" w:rsidR="004405C5" w:rsidRPr="004405C5" w:rsidRDefault="000C53CA"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Mezirezortní připomínkové řízení </w:t>
            </w:r>
          </w:p>
          <w:p w14:paraId="1A635571" w14:textId="77777777" w:rsidR="004405C5" w:rsidRPr="004405C5" w:rsidRDefault="004405C5" w:rsidP="004405C5">
            <w:pPr>
              <w:pStyle w:val="Bezmezer"/>
              <w:jc w:val="right"/>
              <w:rPr>
                <w:rStyle w:val="Hypertextovodkaz"/>
                <w:rFonts w:ascii="Arial" w:hAnsi="Arial" w:cs="Arial"/>
                <w:color w:val="auto"/>
                <w:sz w:val="20"/>
                <w:szCs w:val="20"/>
                <w:u w:val="none"/>
                <w:lang w:eastAsia="cs-CZ"/>
              </w:rPr>
            </w:pPr>
          </w:p>
          <w:p w14:paraId="6FD19C66" w14:textId="77777777" w:rsidR="004405C5" w:rsidRPr="004405C5" w:rsidRDefault="004405C5" w:rsidP="004405C5">
            <w:pPr>
              <w:pStyle w:val="Bezmezer"/>
              <w:spacing w:line="360" w:lineRule="auto"/>
              <w:jc w:val="both"/>
              <w:rPr>
                <w:rStyle w:val="Hypertextovodkaz"/>
                <w:rFonts w:ascii="Arial" w:hAnsi="Arial" w:cs="Arial"/>
                <w:b/>
                <w:bCs/>
                <w:color w:val="auto"/>
                <w:sz w:val="20"/>
                <w:szCs w:val="20"/>
                <w:u w:val="none"/>
                <w:lang w:eastAsia="cs-CZ"/>
              </w:rPr>
            </w:pPr>
          </w:p>
          <w:p w14:paraId="11C48DBF" w14:textId="423540C4" w:rsidR="00D856E2" w:rsidRDefault="00D856E2" w:rsidP="00D856E2">
            <w:pPr>
              <w:pStyle w:val="Bezmezer"/>
              <w:spacing w:line="360" w:lineRule="auto"/>
              <w:jc w:val="both"/>
              <w:rPr>
                <w:rStyle w:val="Hypertextovodkaz"/>
                <w:rFonts w:ascii="Arial" w:hAnsi="Arial" w:cs="Arial"/>
                <w:color w:val="auto"/>
                <w:sz w:val="20"/>
                <w:szCs w:val="20"/>
                <w:u w:val="none"/>
                <w:lang w:eastAsia="cs-CZ"/>
              </w:rPr>
            </w:pPr>
            <w:r w:rsidRPr="00D856E2">
              <w:rPr>
                <w:rStyle w:val="Hypertextovodkaz"/>
                <w:rFonts w:ascii="Arial" w:hAnsi="Arial" w:cs="Arial"/>
                <w:color w:val="auto"/>
                <w:sz w:val="20"/>
                <w:szCs w:val="20"/>
                <w:u w:val="none"/>
                <w:lang w:eastAsia="cs-CZ"/>
              </w:rPr>
              <w:t>Navrhovaná novela zákona o ochraně ovzduší je předkládána primárně na základě úkolu vyplývajícího z bodu 5 usnesení vlády č. 917 ze dne 16. prosince 2019 o aktualizaci Národního programu snižování emisí České republiky.</w:t>
            </w:r>
          </w:p>
          <w:p w14:paraId="10026A5C" w14:textId="47B70604" w:rsidR="00D856E2" w:rsidRDefault="00D856E2" w:rsidP="00D856E2">
            <w:pPr>
              <w:pStyle w:val="Bezmezer"/>
              <w:spacing w:line="360" w:lineRule="auto"/>
              <w:jc w:val="both"/>
              <w:rPr>
                <w:rStyle w:val="Hypertextovodkaz"/>
                <w:rFonts w:ascii="Arial" w:hAnsi="Arial" w:cs="Arial"/>
                <w:color w:val="auto"/>
                <w:sz w:val="20"/>
                <w:szCs w:val="20"/>
                <w:u w:val="none"/>
                <w:lang w:eastAsia="cs-CZ"/>
              </w:rPr>
            </w:pPr>
          </w:p>
          <w:p w14:paraId="4258E0BE" w14:textId="77777777" w:rsidR="00D856E2" w:rsidRPr="00D856E2" w:rsidRDefault="00D856E2" w:rsidP="00D856E2">
            <w:pPr>
              <w:pStyle w:val="Bezmezer"/>
              <w:spacing w:line="360" w:lineRule="auto"/>
              <w:jc w:val="both"/>
              <w:rPr>
                <w:rStyle w:val="Hypertextovodkaz"/>
                <w:rFonts w:ascii="Arial" w:hAnsi="Arial" w:cs="Arial"/>
                <w:color w:val="auto"/>
                <w:sz w:val="20"/>
                <w:szCs w:val="20"/>
                <w:u w:val="none"/>
                <w:lang w:eastAsia="cs-CZ"/>
              </w:rPr>
            </w:pPr>
            <w:r w:rsidRPr="00D856E2">
              <w:rPr>
                <w:rStyle w:val="Hypertextovodkaz"/>
                <w:rFonts w:ascii="Arial" w:hAnsi="Arial" w:cs="Arial"/>
                <w:color w:val="auto"/>
                <w:sz w:val="20"/>
                <w:szCs w:val="20"/>
                <w:u w:val="none"/>
                <w:lang w:eastAsia="cs-CZ"/>
              </w:rPr>
              <w:t xml:space="preserve">Oproti platné právní úpravě se navrhují zejména následující změny: </w:t>
            </w:r>
          </w:p>
          <w:p w14:paraId="6A064257" w14:textId="77777777" w:rsidR="00D856E2" w:rsidRDefault="00D856E2" w:rsidP="00D856E2">
            <w:pPr>
              <w:pStyle w:val="Bezmezer"/>
              <w:numPr>
                <w:ilvl w:val="0"/>
                <w:numId w:val="11"/>
              </w:numPr>
              <w:spacing w:line="360" w:lineRule="auto"/>
              <w:jc w:val="both"/>
              <w:rPr>
                <w:rStyle w:val="Hypertextovodkaz"/>
                <w:rFonts w:ascii="Arial" w:hAnsi="Arial" w:cs="Arial"/>
                <w:color w:val="auto"/>
                <w:sz w:val="20"/>
                <w:szCs w:val="20"/>
                <w:u w:val="none"/>
                <w:lang w:eastAsia="cs-CZ"/>
              </w:rPr>
            </w:pPr>
            <w:r w:rsidRPr="00D856E2">
              <w:rPr>
                <w:rStyle w:val="Hypertextovodkaz"/>
                <w:rFonts w:ascii="Arial" w:hAnsi="Arial" w:cs="Arial"/>
                <w:color w:val="auto"/>
                <w:sz w:val="20"/>
                <w:szCs w:val="20"/>
                <w:u w:val="none"/>
                <w:lang w:eastAsia="cs-CZ"/>
              </w:rPr>
              <w:lastRenderedPageBreak/>
              <w:t>Ohlašování jednorázového měření emisí nově prostřednictvím integrovaného systému plnění ohlašovacích povinností v oblasti životního prostředí (ISPOP); spojeno s převedením povinnosti ohlašovat výsledky jednorázového měření z provozovatele stacionárního zdroje na autorizovanou osobu.</w:t>
            </w:r>
          </w:p>
          <w:p w14:paraId="00F44086" w14:textId="77777777" w:rsidR="00D856E2" w:rsidRDefault="00D856E2" w:rsidP="00D856E2">
            <w:pPr>
              <w:pStyle w:val="Bezmezer"/>
              <w:numPr>
                <w:ilvl w:val="0"/>
                <w:numId w:val="11"/>
              </w:numPr>
              <w:spacing w:line="360" w:lineRule="auto"/>
              <w:jc w:val="both"/>
              <w:rPr>
                <w:rStyle w:val="Hypertextovodkaz"/>
                <w:rFonts w:ascii="Arial" w:hAnsi="Arial" w:cs="Arial"/>
                <w:color w:val="auto"/>
                <w:sz w:val="20"/>
                <w:szCs w:val="20"/>
                <w:u w:val="none"/>
                <w:lang w:eastAsia="cs-CZ"/>
              </w:rPr>
            </w:pPr>
            <w:r w:rsidRPr="00D856E2">
              <w:rPr>
                <w:rStyle w:val="Hypertextovodkaz"/>
                <w:rFonts w:ascii="Arial" w:hAnsi="Arial" w:cs="Arial"/>
                <w:color w:val="auto"/>
                <w:sz w:val="20"/>
                <w:szCs w:val="20"/>
                <w:u w:val="none"/>
                <w:lang w:eastAsia="cs-CZ"/>
              </w:rPr>
              <w:t>Zavedení nového institutu nepřetržitého sledování provozního parametru pro kontrolu správné funkce technologie ke snižování emisí nebo opatření ke snížení emisí pro vymezené stacionární zdroje, u nichž provozovatel zjišťuje úroveň znečišťování pravidelným jednorázovým měřením emisí.</w:t>
            </w:r>
          </w:p>
          <w:p w14:paraId="1CA4F0AA" w14:textId="77777777" w:rsidR="00D856E2" w:rsidRDefault="00D856E2" w:rsidP="00D856E2">
            <w:pPr>
              <w:pStyle w:val="Bezmezer"/>
              <w:numPr>
                <w:ilvl w:val="0"/>
                <w:numId w:val="11"/>
              </w:numPr>
              <w:spacing w:line="360" w:lineRule="auto"/>
              <w:jc w:val="both"/>
              <w:rPr>
                <w:rStyle w:val="Hypertextovodkaz"/>
                <w:rFonts w:ascii="Arial" w:hAnsi="Arial" w:cs="Arial"/>
                <w:color w:val="auto"/>
                <w:sz w:val="20"/>
                <w:szCs w:val="20"/>
                <w:u w:val="none"/>
                <w:lang w:eastAsia="cs-CZ"/>
              </w:rPr>
            </w:pPr>
            <w:r w:rsidRPr="00D856E2">
              <w:rPr>
                <w:rStyle w:val="Hypertextovodkaz"/>
                <w:rFonts w:ascii="Arial" w:hAnsi="Arial" w:cs="Arial"/>
                <w:color w:val="auto"/>
                <w:sz w:val="20"/>
                <w:szCs w:val="20"/>
                <w:u w:val="none"/>
                <w:lang w:eastAsia="cs-CZ"/>
              </w:rPr>
              <w:t>Zavedení povinnosti ohlašování výsledků kontinuálního měření emisí, a to elektronicky v téměř reálném čase prostřednictvím informačního systému kvality ovzduší.</w:t>
            </w:r>
          </w:p>
          <w:p w14:paraId="17958E6E" w14:textId="77777777" w:rsidR="00D856E2" w:rsidRDefault="00D856E2" w:rsidP="00D856E2">
            <w:pPr>
              <w:pStyle w:val="Bezmezer"/>
              <w:numPr>
                <w:ilvl w:val="0"/>
                <w:numId w:val="11"/>
              </w:numPr>
              <w:spacing w:line="360" w:lineRule="auto"/>
              <w:jc w:val="both"/>
              <w:rPr>
                <w:rStyle w:val="Hypertextovodkaz"/>
                <w:rFonts w:ascii="Arial" w:hAnsi="Arial" w:cs="Arial"/>
                <w:color w:val="auto"/>
                <w:sz w:val="20"/>
                <w:szCs w:val="20"/>
                <w:u w:val="none"/>
                <w:lang w:eastAsia="cs-CZ"/>
              </w:rPr>
            </w:pPr>
            <w:r w:rsidRPr="00D856E2">
              <w:rPr>
                <w:rStyle w:val="Hypertextovodkaz"/>
                <w:rFonts w:ascii="Arial" w:hAnsi="Arial" w:cs="Arial"/>
                <w:color w:val="auto"/>
                <w:sz w:val="20"/>
                <w:szCs w:val="20"/>
                <w:u w:val="none"/>
                <w:lang w:eastAsia="cs-CZ"/>
              </w:rPr>
              <w:t xml:space="preserve">Rozšíření povinnosti kontinuálního měření emisí na další stacionární zdroje. </w:t>
            </w:r>
          </w:p>
          <w:p w14:paraId="1F36F0E8" w14:textId="77777777" w:rsidR="00D856E2" w:rsidRDefault="00D856E2" w:rsidP="00D856E2">
            <w:pPr>
              <w:pStyle w:val="Bezmezer"/>
              <w:numPr>
                <w:ilvl w:val="0"/>
                <w:numId w:val="11"/>
              </w:numPr>
              <w:spacing w:line="360" w:lineRule="auto"/>
              <w:jc w:val="both"/>
              <w:rPr>
                <w:rStyle w:val="Hypertextovodkaz"/>
                <w:rFonts w:ascii="Arial" w:hAnsi="Arial" w:cs="Arial"/>
                <w:color w:val="auto"/>
                <w:sz w:val="20"/>
                <w:szCs w:val="20"/>
                <w:u w:val="none"/>
                <w:lang w:eastAsia="cs-CZ"/>
              </w:rPr>
            </w:pPr>
            <w:r w:rsidRPr="00D856E2">
              <w:rPr>
                <w:rStyle w:val="Hypertextovodkaz"/>
                <w:rFonts w:ascii="Arial" w:hAnsi="Arial" w:cs="Arial"/>
                <w:color w:val="auto"/>
                <w:sz w:val="20"/>
                <w:szCs w:val="20"/>
                <w:u w:val="none"/>
                <w:lang w:eastAsia="cs-CZ"/>
              </w:rPr>
              <w:t>Změny v úpravě zařazování stacionárních zdrojů a sčítacích pravidel.</w:t>
            </w:r>
          </w:p>
          <w:p w14:paraId="58AA97B3" w14:textId="77777777" w:rsidR="00D856E2" w:rsidRDefault="00D856E2" w:rsidP="00D856E2">
            <w:pPr>
              <w:pStyle w:val="Bezmezer"/>
              <w:numPr>
                <w:ilvl w:val="0"/>
                <w:numId w:val="11"/>
              </w:numPr>
              <w:spacing w:line="360" w:lineRule="auto"/>
              <w:jc w:val="both"/>
              <w:rPr>
                <w:rStyle w:val="Hypertextovodkaz"/>
                <w:rFonts w:ascii="Arial" w:hAnsi="Arial" w:cs="Arial"/>
                <w:color w:val="auto"/>
                <w:sz w:val="20"/>
                <w:szCs w:val="20"/>
                <w:u w:val="none"/>
                <w:lang w:eastAsia="cs-CZ"/>
              </w:rPr>
            </w:pPr>
            <w:r w:rsidRPr="00D856E2">
              <w:rPr>
                <w:rStyle w:val="Hypertextovodkaz"/>
                <w:rFonts w:ascii="Arial" w:hAnsi="Arial" w:cs="Arial"/>
                <w:color w:val="auto"/>
                <w:sz w:val="20"/>
                <w:szCs w:val="20"/>
                <w:u w:val="none"/>
                <w:lang w:eastAsia="cs-CZ"/>
              </w:rPr>
              <w:t>Změny u správních řízení a jiných postupů týkajících se povolování stacionárních zdrojů za účelem zefektivnění výkonu státní správy, včetně nové úpravy rozhodování v pochybnostech, zda se jedná o stacionární zdroj uvedený v příloze č. 2 (tzv. vyjmenovaný stacionární zdroj) nebo o stacionární zdroj sloužící výhradně k výzkumu a vývoji.</w:t>
            </w:r>
          </w:p>
          <w:p w14:paraId="30389D9E" w14:textId="77777777" w:rsidR="00D856E2" w:rsidRDefault="00D856E2" w:rsidP="00D856E2">
            <w:pPr>
              <w:pStyle w:val="Bezmezer"/>
              <w:numPr>
                <w:ilvl w:val="0"/>
                <w:numId w:val="11"/>
              </w:numPr>
              <w:spacing w:line="360" w:lineRule="auto"/>
              <w:jc w:val="both"/>
              <w:rPr>
                <w:rStyle w:val="Hypertextovodkaz"/>
                <w:rFonts w:ascii="Arial" w:hAnsi="Arial" w:cs="Arial"/>
                <w:color w:val="auto"/>
                <w:sz w:val="20"/>
                <w:szCs w:val="20"/>
                <w:u w:val="none"/>
                <w:lang w:eastAsia="cs-CZ"/>
              </w:rPr>
            </w:pPr>
            <w:r w:rsidRPr="00D856E2">
              <w:rPr>
                <w:rStyle w:val="Hypertextovodkaz"/>
                <w:rFonts w:ascii="Arial" w:hAnsi="Arial" w:cs="Arial"/>
                <w:color w:val="auto"/>
                <w:sz w:val="20"/>
                <w:szCs w:val="20"/>
                <w:u w:val="none"/>
                <w:lang w:eastAsia="cs-CZ"/>
              </w:rPr>
              <w:t xml:space="preserve">Změny u programů zlepšování kvality ovzduší za účelem zlepšení jejich účinnosti, </w:t>
            </w:r>
          </w:p>
          <w:p w14:paraId="0D366079" w14:textId="77777777" w:rsidR="00D856E2" w:rsidRDefault="00D856E2" w:rsidP="00D856E2">
            <w:pPr>
              <w:pStyle w:val="Bezmezer"/>
              <w:numPr>
                <w:ilvl w:val="0"/>
                <w:numId w:val="11"/>
              </w:numPr>
              <w:spacing w:line="360" w:lineRule="auto"/>
              <w:jc w:val="both"/>
              <w:rPr>
                <w:rStyle w:val="Hypertextovodkaz"/>
                <w:rFonts w:ascii="Arial" w:hAnsi="Arial" w:cs="Arial"/>
                <w:color w:val="auto"/>
                <w:sz w:val="20"/>
                <w:szCs w:val="20"/>
                <w:u w:val="none"/>
                <w:lang w:eastAsia="cs-CZ"/>
              </w:rPr>
            </w:pPr>
            <w:r w:rsidRPr="00D856E2">
              <w:rPr>
                <w:rStyle w:val="Hypertextovodkaz"/>
                <w:rFonts w:ascii="Arial" w:hAnsi="Arial" w:cs="Arial"/>
                <w:color w:val="auto"/>
                <w:sz w:val="20"/>
                <w:szCs w:val="20"/>
                <w:u w:val="none"/>
                <w:lang w:eastAsia="cs-CZ"/>
              </w:rPr>
              <w:t>Nové nastavení právní úpravy postupů při smogových situacích.</w:t>
            </w:r>
          </w:p>
          <w:p w14:paraId="5DC2F365" w14:textId="77777777" w:rsidR="00D856E2" w:rsidRDefault="00D856E2" w:rsidP="00D856E2">
            <w:pPr>
              <w:pStyle w:val="Bezmezer"/>
              <w:numPr>
                <w:ilvl w:val="0"/>
                <w:numId w:val="11"/>
              </w:numPr>
              <w:spacing w:line="360" w:lineRule="auto"/>
              <w:jc w:val="both"/>
              <w:rPr>
                <w:rStyle w:val="Hypertextovodkaz"/>
                <w:rFonts w:ascii="Arial" w:hAnsi="Arial" w:cs="Arial"/>
                <w:color w:val="auto"/>
                <w:sz w:val="20"/>
                <w:szCs w:val="20"/>
                <w:u w:val="none"/>
                <w:lang w:eastAsia="cs-CZ"/>
              </w:rPr>
            </w:pPr>
            <w:r w:rsidRPr="00D856E2">
              <w:rPr>
                <w:rStyle w:val="Hypertextovodkaz"/>
                <w:rFonts w:ascii="Arial" w:hAnsi="Arial" w:cs="Arial"/>
                <w:color w:val="auto"/>
                <w:sz w:val="20"/>
                <w:szCs w:val="20"/>
                <w:u w:val="none"/>
                <w:lang w:eastAsia="cs-CZ"/>
              </w:rPr>
              <w:t>Stanovení opatření k předcházení vzniku prašnosti a k omezování jejího šíření, zavedení s tím souvisejících povinností stavebníka a zhotovitele stavby,</w:t>
            </w:r>
          </w:p>
          <w:p w14:paraId="70A9EF16" w14:textId="77777777" w:rsidR="00D856E2" w:rsidRDefault="00D856E2" w:rsidP="00D856E2">
            <w:pPr>
              <w:pStyle w:val="Bezmezer"/>
              <w:numPr>
                <w:ilvl w:val="0"/>
                <w:numId w:val="11"/>
              </w:numPr>
              <w:spacing w:line="360" w:lineRule="auto"/>
              <w:jc w:val="both"/>
              <w:rPr>
                <w:rStyle w:val="Hypertextovodkaz"/>
                <w:rFonts w:ascii="Arial" w:hAnsi="Arial" w:cs="Arial"/>
                <w:color w:val="auto"/>
                <w:sz w:val="20"/>
                <w:szCs w:val="20"/>
                <w:u w:val="none"/>
                <w:lang w:eastAsia="cs-CZ"/>
              </w:rPr>
            </w:pPr>
            <w:r w:rsidRPr="00D856E2">
              <w:rPr>
                <w:rStyle w:val="Hypertextovodkaz"/>
                <w:rFonts w:ascii="Arial" w:hAnsi="Arial" w:cs="Arial"/>
                <w:color w:val="auto"/>
                <w:sz w:val="20"/>
                <w:szCs w:val="20"/>
                <w:u w:val="none"/>
                <w:lang w:eastAsia="cs-CZ"/>
              </w:rPr>
              <w:t xml:space="preserve">Zavedení nové povinnosti orgánů ochrany ovzduší vycházet při vydávání podkladových správních aktů a správních rozhodnutí regulujících provoz tzv. vyjmenovaných stacionárních zdrojů též ze stanovených minimálních vzdáleností stacionárních zdrojů a některých v územních plánech vymezených ploch. </w:t>
            </w:r>
          </w:p>
          <w:p w14:paraId="5792777A" w14:textId="77777777" w:rsidR="00D856E2" w:rsidRDefault="00D856E2" w:rsidP="00D856E2">
            <w:pPr>
              <w:pStyle w:val="Bezmezer"/>
              <w:numPr>
                <w:ilvl w:val="0"/>
                <w:numId w:val="11"/>
              </w:numPr>
              <w:spacing w:line="360" w:lineRule="auto"/>
              <w:jc w:val="both"/>
              <w:rPr>
                <w:rStyle w:val="Hypertextovodkaz"/>
                <w:rFonts w:ascii="Arial" w:hAnsi="Arial" w:cs="Arial"/>
                <w:color w:val="auto"/>
                <w:sz w:val="20"/>
                <w:szCs w:val="20"/>
                <w:u w:val="none"/>
                <w:lang w:eastAsia="cs-CZ"/>
              </w:rPr>
            </w:pPr>
            <w:r w:rsidRPr="00D856E2">
              <w:rPr>
                <w:rStyle w:val="Hypertextovodkaz"/>
                <w:rFonts w:ascii="Arial" w:hAnsi="Arial" w:cs="Arial"/>
                <w:color w:val="auto"/>
                <w:sz w:val="20"/>
                <w:szCs w:val="20"/>
                <w:u w:val="none"/>
                <w:lang w:eastAsia="cs-CZ"/>
              </w:rPr>
              <w:t>Nové nastavení právní úpravy nízkoemisních zón za účelem jejich zefektivnění, včetně zavedení nového informačního systému nízkoemisních zón.</w:t>
            </w:r>
          </w:p>
          <w:p w14:paraId="0FFFD6D6" w14:textId="77777777" w:rsidR="00D856E2" w:rsidRDefault="00D856E2" w:rsidP="00D856E2">
            <w:pPr>
              <w:pStyle w:val="Bezmezer"/>
              <w:numPr>
                <w:ilvl w:val="0"/>
                <w:numId w:val="11"/>
              </w:numPr>
              <w:spacing w:line="360" w:lineRule="auto"/>
              <w:jc w:val="both"/>
              <w:rPr>
                <w:rStyle w:val="Hypertextovodkaz"/>
                <w:rFonts w:ascii="Arial" w:hAnsi="Arial" w:cs="Arial"/>
                <w:color w:val="auto"/>
                <w:sz w:val="20"/>
                <w:szCs w:val="20"/>
                <w:u w:val="none"/>
                <w:lang w:eastAsia="cs-CZ"/>
              </w:rPr>
            </w:pPr>
            <w:r w:rsidRPr="00D856E2">
              <w:rPr>
                <w:rStyle w:val="Hypertextovodkaz"/>
                <w:rFonts w:ascii="Arial" w:hAnsi="Arial" w:cs="Arial"/>
                <w:color w:val="auto"/>
                <w:sz w:val="20"/>
                <w:szCs w:val="20"/>
                <w:u w:val="none"/>
                <w:lang w:eastAsia="cs-CZ"/>
              </w:rPr>
              <w:t>Komplexně revidovaná právní úprava podmínek pro výkon činnosti autorizovaných osob.</w:t>
            </w:r>
          </w:p>
          <w:p w14:paraId="54C4453E" w14:textId="77777777" w:rsidR="00D856E2" w:rsidRDefault="00D856E2" w:rsidP="00D856E2">
            <w:pPr>
              <w:pStyle w:val="Bezmezer"/>
              <w:numPr>
                <w:ilvl w:val="0"/>
                <w:numId w:val="11"/>
              </w:numPr>
              <w:spacing w:line="360" w:lineRule="auto"/>
              <w:jc w:val="both"/>
              <w:rPr>
                <w:rStyle w:val="Hypertextovodkaz"/>
                <w:rFonts w:ascii="Arial" w:hAnsi="Arial" w:cs="Arial"/>
                <w:color w:val="auto"/>
                <w:sz w:val="20"/>
                <w:szCs w:val="20"/>
                <w:u w:val="none"/>
                <w:lang w:eastAsia="cs-CZ"/>
              </w:rPr>
            </w:pPr>
            <w:r w:rsidRPr="00D856E2">
              <w:rPr>
                <w:rStyle w:val="Hypertextovodkaz"/>
                <w:rFonts w:ascii="Arial" w:hAnsi="Arial" w:cs="Arial"/>
                <w:color w:val="auto"/>
                <w:sz w:val="20"/>
                <w:szCs w:val="20"/>
                <w:u w:val="none"/>
                <w:lang w:eastAsia="cs-CZ"/>
              </w:rPr>
              <w:t>Komplexně revidovaná právní úprava přestupků.</w:t>
            </w:r>
          </w:p>
          <w:p w14:paraId="42C70BD6" w14:textId="77777777" w:rsidR="00D856E2" w:rsidRDefault="00D856E2" w:rsidP="00D856E2">
            <w:pPr>
              <w:pStyle w:val="Bezmezer"/>
              <w:numPr>
                <w:ilvl w:val="0"/>
                <w:numId w:val="11"/>
              </w:numPr>
              <w:spacing w:line="360" w:lineRule="auto"/>
              <w:jc w:val="both"/>
              <w:rPr>
                <w:rStyle w:val="Hypertextovodkaz"/>
                <w:rFonts w:ascii="Arial" w:hAnsi="Arial" w:cs="Arial"/>
                <w:color w:val="auto"/>
                <w:sz w:val="20"/>
                <w:szCs w:val="20"/>
                <w:u w:val="none"/>
                <w:lang w:eastAsia="cs-CZ"/>
              </w:rPr>
            </w:pPr>
            <w:r w:rsidRPr="00D856E2">
              <w:rPr>
                <w:rStyle w:val="Hypertextovodkaz"/>
                <w:rFonts w:ascii="Arial" w:hAnsi="Arial" w:cs="Arial"/>
                <w:color w:val="auto"/>
                <w:sz w:val="20"/>
                <w:szCs w:val="20"/>
                <w:u w:val="none"/>
                <w:lang w:eastAsia="cs-CZ"/>
              </w:rPr>
              <w:t>Změny ve vymezení tzv. vyjmenovaných stacionárních zdrojů v příloze č. 2.</w:t>
            </w:r>
          </w:p>
          <w:p w14:paraId="4184FA67" w14:textId="77777777" w:rsidR="00D856E2" w:rsidRDefault="00D856E2" w:rsidP="00D856E2">
            <w:pPr>
              <w:pStyle w:val="Bezmezer"/>
              <w:numPr>
                <w:ilvl w:val="0"/>
                <w:numId w:val="11"/>
              </w:numPr>
              <w:spacing w:line="360" w:lineRule="auto"/>
              <w:jc w:val="both"/>
              <w:rPr>
                <w:rStyle w:val="Hypertextovodkaz"/>
                <w:rFonts w:ascii="Arial" w:hAnsi="Arial" w:cs="Arial"/>
                <w:color w:val="auto"/>
                <w:sz w:val="20"/>
                <w:szCs w:val="20"/>
                <w:u w:val="none"/>
                <w:lang w:eastAsia="cs-CZ"/>
              </w:rPr>
            </w:pPr>
            <w:r w:rsidRPr="00D856E2">
              <w:rPr>
                <w:rStyle w:val="Hypertextovodkaz"/>
                <w:rFonts w:ascii="Arial" w:hAnsi="Arial" w:cs="Arial"/>
                <w:color w:val="auto"/>
                <w:sz w:val="20"/>
                <w:szCs w:val="20"/>
                <w:u w:val="none"/>
                <w:lang w:eastAsia="cs-CZ"/>
              </w:rPr>
              <w:t xml:space="preserve">Zákaz uvádění na trh od roku 2025 pro spalovací stacionární zdroje o jmenovitém tepelném příkonu 300 kW a nižším určené ke spalování pevných fosilních paliv. </w:t>
            </w:r>
          </w:p>
          <w:p w14:paraId="53338DAF" w14:textId="04E7EC1B" w:rsidR="001A6DA8" w:rsidRPr="001A6DA8" w:rsidRDefault="00D856E2" w:rsidP="00D856E2">
            <w:pPr>
              <w:pStyle w:val="Bezmezer"/>
              <w:numPr>
                <w:ilvl w:val="0"/>
                <w:numId w:val="11"/>
              </w:numPr>
              <w:spacing w:line="360" w:lineRule="auto"/>
              <w:jc w:val="both"/>
              <w:rPr>
                <w:rFonts w:ascii="Arial" w:hAnsi="Arial" w:cs="Arial"/>
                <w:sz w:val="20"/>
                <w:szCs w:val="20"/>
                <w:lang w:eastAsia="cs-CZ"/>
              </w:rPr>
            </w:pPr>
            <w:r w:rsidRPr="00D856E2">
              <w:rPr>
                <w:rStyle w:val="Hypertextovodkaz"/>
                <w:rFonts w:ascii="Arial" w:hAnsi="Arial" w:cs="Arial"/>
                <w:color w:val="auto"/>
                <w:sz w:val="20"/>
                <w:szCs w:val="20"/>
                <w:u w:val="none"/>
                <w:lang w:eastAsia="cs-CZ"/>
              </w:rPr>
              <w:t>Rozšíření oprávnění nařídit provedení měření emisí v rámci silniční technické kontroly na obecní policii.</w:t>
            </w:r>
            <w:r w:rsidR="001A6DA8" w:rsidRPr="001A6DA8">
              <w:rPr>
                <w:rFonts w:asciiTheme="majorHAnsi" w:hAnsiTheme="majorHAnsi" w:cstheme="majorHAnsi"/>
                <w:sz w:val="20"/>
                <w:szCs w:val="20"/>
              </w:rPr>
              <w:t>.</w:t>
            </w:r>
          </w:p>
          <w:p w14:paraId="48DB51B1" w14:textId="6A4CF7DA" w:rsidR="001A6DA8" w:rsidRDefault="001A6DA8" w:rsidP="00D856E2">
            <w:pPr>
              <w:pStyle w:val="Bezmezer"/>
              <w:spacing w:line="360" w:lineRule="auto"/>
              <w:jc w:val="both"/>
              <w:rPr>
                <w:rStyle w:val="Hypertextovodkaz"/>
                <w:rFonts w:asciiTheme="majorHAnsi" w:hAnsiTheme="majorHAnsi" w:cstheme="majorHAnsi"/>
                <w:color w:val="auto"/>
                <w:sz w:val="20"/>
                <w:szCs w:val="20"/>
                <w:u w:val="none"/>
                <w:lang w:eastAsia="cs-CZ"/>
              </w:rPr>
            </w:pPr>
          </w:p>
          <w:p w14:paraId="667188E3" w14:textId="2C99B316" w:rsidR="001A6DA8" w:rsidRPr="001A6DA8" w:rsidRDefault="001A6DA8" w:rsidP="006402B1">
            <w:pPr>
              <w:spacing w:line="360" w:lineRule="auto"/>
              <w:jc w:val="both"/>
              <w:rPr>
                <w:rFonts w:asciiTheme="majorHAnsi" w:hAnsiTheme="majorHAnsi" w:cstheme="majorHAnsi"/>
                <w:b w:val="0"/>
                <w:bCs/>
                <w:color w:val="0F0D29" w:themeColor="text1"/>
                <w:sz w:val="20"/>
                <w:szCs w:val="20"/>
              </w:rPr>
            </w:pPr>
            <w:r w:rsidRPr="001A6DA8">
              <w:rPr>
                <w:rStyle w:val="Hypertextovodkaz"/>
                <w:rFonts w:asciiTheme="majorHAnsi" w:hAnsiTheme="majorHAnsi" w:cstheme="majorHAnsi"/>
                <w:b w:val="0"/>
                <w:bCs/>
                <w:color w:val="0F0D29" w:themeColor="text1"/>
                <w:sz w:val="20"/>
                <w:szCs w:val="20"/>
                <w:u w:val="none"/>
                <w:lang w:eastAsia="cs-CZ"/>
              </w:rPr>
              <w:t xml:space="preserve">Dle externího právního posouzení AK </w:t>
            </w:r>
            <w:proofErr w:type="spellStart"/>
            <w:r w:rsidRPr="001A6DA8">
              <w:rPr>
                <w:rStyle w:val="Hypertextovodkaz"/>
                <w:rFonts w:asciiTheme="majorHAnsi" w:hAnsiTheme="majorHAnsi" w:cstheme="majorHAnsi"/>
                <w:b w:val="0"/>
                <w:bCs/>
                <w:color w:val="0F0D29" w:themeColor="text1"/>
                <w:sz w:val="20"/>
                <w:szCs w:val="20"/>
                <w:u w:val="none"/>
                <w:lang w:eastAsia="cs-CZ"/>
              </w:rPr>
              <w:t>Becker</w:t>
            </w:r>
            <w:proofErr w:type="spellEnd"/>
            <w:r w:rsidRPr="001A6DA8">
              <w:rPr>
                <w:rStyle w:val="Hypertextovodkaz"/>
                <w:rFonts w:asciiTheme="majorHAnsi" w:hAnsiTheme="majorHAnsi" w:cstheme="majorHAnsi"/>
                <w:b w:val="0"/>
                <w:bCs/>
                <w:color w:val="0F0D29" w:themeColor="text1"/>
                <w:sz w:val="20"/>
                <w:szCs w:val="20"/>
                <w:u w:val="none"/>
                <w:lang w:eastAsia="cs-CZ"/>
              </w:rPr>
              <w:t xml:space="preserve"> a </w:t>
            </w:r>
            <w:proofErr w:type="spellStart"/>
            <w:r w:rsidRPr="001A6DA8">
              <w:rPr>
                <w:rStyle w:val="Hypertextovodkaz"/>
                <w:rFonts w:asciiTheme="majorHAnsi" w:hAnsiTheme="majorHAnsi" w:cstheme="majorHAnsi"/>
                <w:b w:val="0"/>
                <w:bCs/>
                <w:color w:val="0F0D29" w:themeColor="text1"/>
                <w:sz w:val="20"/>
                <w:szCs w:val="20"/>
                <w:u w:val="none"/>
                <w:lang w:eastAsia="cs-CZ"/>
              </w:rPr>
              <w:t>Poliakoff</w:t>
            </w:r>
            <w:proofErr w:type="spellEnd"/>
            <w:r w:rsidRPr="001A6DA8">
              <w:rPr>
                <w:rStyle w:val="Hypertextovodkaz"/>
                <w:rFonts w:asciiTheme="majorHAnsi" w:hAnsiTheme="majorHAnsi" w:cstheme="majorHAnsi"/>
                <w:b w:val="0"/>
                <w:bCs/>
                <w:color w:val="0F0D29" w:themeColor="text1"/>
                <w:sz w:val="20"/>
                <w:szCs w:val="20"/>
                <w:u w:val="none"/>
                <w:lang w:eastAsia="cs-CZ"/>
              </w:rPr>
              <w:t xml:space="preserve">  se v</w:t>
            </w:r>
            <w:r w:rsidRPr="001A6DA8">
              <w:rPr>
                <w:rFonts w:asciiTheme="majorHAnsi" w:hAnsiTheme="majorHAnsi" w:cstheme="majorHAnsi"/>
                <w:b w:val="0"/>
                <w:bCs/>
                <w:color w:val="0F0D29" w:themeColor="text1"/>
                <w:sz w:val="20"/>
                <w:szCs w:val="20"/>
              </w:rPr>
              <w:t xml:space="preserve"> současné době, kdy by nebyl vydán prováděcí právní předpis blíže definující pojem „vyspělá biopaliva“ jeví jako problematická a nelze předpokládat, jak by tento pojem správní orgány nebo soudy v takové situaci vykládaly. V oblasti přestupků na úseku ochrany ovzduší došlo ke změně v systematice přestupků v rámci Zákona o ochraně ovzduší v rámci snahy o zpřehlednění této úpravy. Na </w:t>
            </w:r>
            <w:r w:rsidRPr="001A6DA8">
              <w:rPr>
                <w:rFonts w:asciiTheme="majorHAnsi" w:hAnsiTheme="majorHAnsi" w:cstheme="majorHAnsi"/>
                <w:b w:val="0"/>
                <w:bCs/>
                <w:color w:val="0F0D29" w:themeColor="text1"/>
                <w:sz w:val="20"/>
                <w:szCs w:val="20"/>
              </w:rPr>
              <w:t>ČEPRO dopa</w:t>
            </w:r>
            <w:r w:rsidRPr="001A6DA8">
              <w:rPr>
                <w:rFonts w:asciiTheme="majorHAnsi" w:hAnsiTheme="majorHAnsi" w:cstheme="majorHAnsi"/>
                <w:b w:val="0"/>
                <w:bCs/>
                <w:color w:val="0F0D29" w:themeColor="text1"/>
                <w:sz w:val="20"/>
                <w:szCs w:val="20"/>
              </w:rPr>
              <w:t>dají především nové přestupky za porušení evidenční povinnosti údajů o biopalivech a nakládání s nimi.</w:t>
            </w:r>
            <w:r w:rsidRPr="001A6DA8">
              <w:rPr>
                <w:rFonts w:asciiTheme="majorHAnsi" w:hAnsiTheme="majorHAnsi" w:cstheme="majorHAnsi"/>
                <w:b w:val="0"/>
                <w:bCs/>
                <w:color w:val="0F0D29" w:themeColor="text1"/>
                <w:sz w:val="20"/>
                <w:szCs w:val="20"/>
              </w:rPr>
              <w:t xml:space="preserve"> </w:t>
            </w:r>
            <w:r w:rsidRPr="001A6DA8">
              <w:rPr>
                <w:rFonts w:asciiTheme="majorHAnsi" w:hAnsiTheme="majorHAnsi" w:cstheme="majorHAnsi"/>
                <w:b w:val="0"/>
                <w:bCs/>
                <w:color w:val="0F0D29" w:themeColor="text1"/>
                <w:sz w:val="20"/>
                <w:szCs w:val="20"/>
              </w:rPr>
              <w:t xml:space="preserve">Novou povinností vyplývající z přímo použitelných předpisů Evropské unie a návrhu Novely Zákona o ochraně ovzduší je i povinnost vkládat údaje o biopalivech do databáze provozované Evropskou unií. Databáze Evropské unie může fungovat zároveň s národní databází, nicméně tato národní databáze v České republice v současné době spíše nevznikne. Ačkoliv v současné době nejsou stanoveny detaily provozu databáze Evropské unie, z výkladu Nařízení 2022/996 a Nařízení 2001/2018 lze dospět k závěru, že evidence a vkládání údajů bude probíhat elektronickou formou. Co se týče dalších dopadů Novely, lze poukázat především na nové </w:t>
            </w:r>
            <w:r w:rsidRPr="001A6DA8">
              <w:rPr>
                <w:rFonts w:asciiTheme="majorHAnsi" w:hAnsiTheme="majorHAnsi" w:cstheme="majorHAnsi"/>
                <w:b w:val="0"/>
                <w:bCs/>
                <w:color w:val="0F0D29" w:themeColor="text1"/>
                <w:sz w:val="20"/>
                <w:szCs w:val="20"/>
              </w:rPr>
              <w:lastRenderedPageBreak/>
              <w:t>povinnosti provozovatelů stacionárních zdrojů a změny v procesu povolování provozu stacionárních zdrojů. Tyto úpravy směřují především ke zvýšené úrovni ochrany životního prostředí, tedy povinnosti spíše zpřísňují.</w:t>
            </w:r>
          </w:p>
          <w:p w14:paraId="25CD51DF" w14:textId="2C9D4D80" w:rsidR="001A6DA8" w:rsidRPr="001A6DA8" w:rsidRDefault="001A6DA8" w:rsidP="00D856E2">
            <w:pPr>
              <w:pStyle w:val="Bezmezer"/>
              <w:spacing w:line="360" w:lineRule="auto"/>
              <w:jc w:val="both"/>
              <w:rPr>
                <w:rStyle w:val="Hypertextovodkaz"/>
                <w:rFonts w:asciiTheme="majorHAnsi" w:hAnsiTheme="majorHAnsi" w:cstheme="majorHAnsi"/>
                <w:color w:val="auto"/>
                <w:sz w:val="20"/>
                <w:szCs w:val="20"/>
                <w:u w:val="none"/>
                <w:lang w:eastAsia="cs-CZ"/>
              </w:rPr>
            </w:pPr>
          </w:p>
          <w:p w14:paraId="1D09A34F" w14:textId="66B783E9"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1A6DA8">
              <w:t xml:space="preserve"> </w:t>
            </w:r>
            <w:r w:rsidR="001A6DA8" w:rsidRPr="001A6DA8">
              <w:rPr>
                <w:rStyle w:val="Hypertextovodkaz"/>
                <w:rFonts w:ascii="Arial" w:eastAsia="Times New Roman" w:hAnsi="Arial" w:cs="Arial"/>
                <w:i/>
                <w:color w:val="0F0D29" w:themeColor="text1"/>
                <w:kern w:val="36"/>
                <w:sz w:val="20"/>
                <w:szCs w:val="20"/>
                <w:u w:val="none"/>
                <w:lang w:eastAsia="cs-CZ"/>
              </w:rPr>
              <w:t xml:space="preserve">Bylo provedeno interní vyhodnocení legislativy na straně OÚ za podpory OPS/HSE, na jehož základě byly legislativní podněty postoupeny AK </w:t>
            </w:r>
            <w:proofErr w:type="spellStart"/>
            <w:r w:rsidR="001A6DA8" w:rsidRPr="001A6DA8">
              <w:rPr>
                <w:rStyle w:val="Hypertextovodkaz"/>
                <w:rFonts w:ascii="Arial" w:eastAsia="Times New Roman" w:hAnsi="Arial" w:cs="Arial"/>
                <w:i/>
                <w:color w:val="0F0D29" w:themeColor="text1"/>
                <w:kern w:val="36"/>
                <w:sz w:val="20"/>
                <w:szCs w:val="20"/>
                <w:u w:val="none"/>
                <w:lang w:eastAsia="cs-CZ"/>
              </w:rPr>
              <w:t>Becker</w:t>
            </w:r>
            <w:proofErr w:type="spellEnd"/>
            <w:r w:rsidR="001A6DA8" w:rsidRPr="001A6DA8">
              <w:rPr>
                <w:rStyle w:val="Hypertextovodkaz"/>
                <w:rFonts w:ascii="Arial" w:eastAsia="Times New Roman" w:hAnsi="Arial" w:cs="Arial"/>
                <w:i/>
                <w:color w:val="0F0D29" w:themeColor="text1"/>
                <w:kern w:val="36"/>
                <w:sz w:val="20"/>
                <w:szCs w:val="20"/>
                <w:u w:val="none"/>
                <w:lang w:eastAsia="cs-CZ"/>
              </w:rPr>
              <w:t xml:space="preserve"> a </w:t>
            </w:r>
            <w:proofErr w:type="spellStart"/>
            <w:r w:rsidR="001A6DA8" w:rsidRPr="001A6DA8">
              <w:rPr>
                <w:rStyle w:val="Hypertextovodkaz"/>
                <w:rFonts w:ascii="Arial" w:eastAsia="Times New Roman" w:hAnsi="Arial" w:cs="Arial"/>
                <w:i/>
                <w:color w:val="0F0D29" w:themeColor="text1"/>
                <w:kern w:val="36"/>
                <w:sz w:val="20"/>
                <w:szCs w:val="20"/>
                <w:u w:val="none"/>
                <w:lang w:eastAsia="cs-CZ"/>
              </w:rPr>
              <w:t>Poliakoff</w:t>
            </w:r>
            <w:proofErr w:type="spellEnd"/>
            <w:r w:rsidR="001A6DA8" w:rsidRPr="001A6DA8">
              <w:rPr>
                <w:rStyle w:val="Hypertextovodkaz"/>
                <w:rFonts w:ascii="Arial" w:eastAsia="Times New Roman" w:hAnsi="Arial" w:cs="Arial"/>
                <w:i/>
                <w:color w:val="0F0D29" w:themeColor="text1"/>
                <w:kern w:val="36"/>
                <w:sz w:val="20"/>
                <w:szCs w:val="20"/>
                <w:u w:val="none"/>
                <w:lang w:eastAsia="cs-CZ"/>
              </w:rPr>
              <w:t xml:space="preserve"> k právnímu posouzení. Výstup AK </w:t>
            </w:r>
            <w:proofErr w:type="spellStart"/>
            <w:r w:rsidR="001A6DA8" w:rsidRPr="001A6DA8">
              <w:rPr>
                <w:rStyle w:val="Hypertextovodkaz"/>
                <w:rFonts w:ascii="Arial" w:eastAsia="Times New Roman" w:hAnsi="Arial" w:cs="Arial"/>
                <w:i/>
                <w:color w:val="0F0D29" w:themeColor="text1"/>
                <w:kern w:val="36"/>
                <w:sz w:val="20"/>
                <w:szCs w:val="20"/>
                <w:u w:val="none"/>
                <w:lang w:eastAsia="cs-CZ"/>
              </w:rPr>
              <w:t>Becker</w:t>
            </w:r>
            <w:proofErr w:type="spellEnd"/>
            <w:r w:rsidR="001A6DA8" w:rsidRPr="001A6DA8">
              <w:rPr>
                <w:rStyle w:val="Hypertextovodkaz"/>
                <w:rFonts w:ascii="Arial" w:eastAsia="Times New Roman" w:hAnsi="Arial" w:cs="Arial"/>
                <w:i/>
                <w:color w:val="0F0D29" w:themeColor="text1"/>
                <w:kern w:val="36"/>
                <w:sz w:val="20"/>
                <w:szCs w:val="20"/>
                <w:u w:val="none"/>
                <w:lang w:eastAsia="cs-CZ"/>
              </w:rPr>
              <w:t xml:space="preserve"> a </w:t>
            </w:r>
            <w:proofErr w:type="spellStart"/>
            <w:r w:rsidR="001A6DA8" w:rsidRPr="001A6DA8">
              <w:rPr>
                <w:rStyle w:val="Hypertextovodkaz"/>
                <w:rFonts w:ascii="Arial" w:eastAsia="Times New Roman" w:hAnsi="Arial" w:cs="Arial"/>
                <w:i/>
                <w:color w:val="0F0D29" w:themeColor="text1"/>
                <w:kern w:val="36"/>
                <w:sz w:val="20"/>
                <w:szCs w:val="20"/>
                <w:u w:val="none"/>
                <w:lang w:eastAsia="cs-CZ"/>
              </w:rPr>
              <w:t>Poliakoff</w:t>
            </w:r>
            <w:proofErr w:type="spellEnd"/>
            <w:r w:rsidR="001A6DA8" w:rsidRPr="001A6DA8">
              <w:rPr>
                <w:rStyle w:val="Hypertextovodkaz"/>
                <w:rFonts w:ascii="Arial" w:eastAsia="Times New Roman" w:hAnsi="Arial" w:cs="Arial"/>
                <w:i/>
                <w:color w:val="0F0D29" w:themeColor="text1"/>
                <w:kern w:val="36"/>
                <w:sz w:val="20"/>
                <w:szCs w:val="20"/>
                <w:u w:val="none"/>
                <w:lang w:eastAsia="cs-CZ"/>
              </w:rPr>
              <w:t xml:space="preserve"> byl použit pro finální specifikaci připomínek k zákonné úpravě, které byly odeslány prostřednictvím ČAPPO Hospodářské komoře ČR k dalšímu postupu.</w:t>
            </w:r>
            <w:r w:rsidR="001A6DA8" w:rsidRPr="001A6DA8">
              <w:rPr>
                <w:rStyle w:val="Hypertextovodkaz"/>
                <w:rFonts w:ascii="Arial" w:eastAsia="Times New Roman" w:hAnsi="Arial" w:cs="Arial"/>
                <w:i/>
                <w:color w:val="0F0D29" w:themeColor="text1"/>
                <w:kern w:val="36"/>
                <w:sz w:val="20"/>
                <w:szCs w:val="20"/>
                <w:u w:val="none"/>
                <w:lang w:eastAsia="cs-CZ"/>
              </w:rPr>
              <w:t xml:space="preserve"> OÚ v kooperaci s OPS budou dále monitorovat legislativní proces. </w:t>
            </w:r>
          </w:p>
          <w:p w14:paraId="15CACB85" w14:textId="77777777" w:rsidR="0014703E" w:rsidRPr="005078C0" w:rsidRDefault="0014703E" w:rsidP="008E3CA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FEE5B2D" w14:textId="74D2D1BF" w:rsidR="0014703E" w:rsidRPr="005078C0" w:rsidRDefault="0014703E" w:rsidP="008E3CA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D856E2">
              <w:rPr>
                <w:rStyle w:val="Hypertextovodkaz"/>
                <w:rFonts w:ascii="Arial" w:eastAsia="Times New Roman" w:hAnsi="Arial" w:cs="Arial"/>
                <w:i/>
                <w:color w:val="0F0D29" w:themeColor="text1"/>
                <w:kern w:val="36"/>
                <w:sz w:val="20"/>
                <w:szCs w:val="20"/>
                <w:u w:val="none"/>
                <w:lang w:eastAsia="cs-CZ"/>
              </w:rPr>
              <w:t>O</w:t>
            </w:r>
            <w:r w:rsidR="001A6DA8">
              <w:rPr>
                <w:rStyle w:val="Hypertextovodkaz"/>
                <w:rFonts w:ascii="Arial" w:eastAsia="Times New Roman" w:hAnsi="Arial" w:cs="Arial"/>
                <w:i/>
                <w:color w:val="0F0D29" w:themeColor="text1"/>
                <w:kern w:val="36"/>
                <w:sz w:val="20"/>
                <w:szCs w:val="20"/>
                <w:u w:val="none"/>
                <w:lang w:eastAsia="cs-CZ"/>
              </w:rPr>
              <w:t>Ú</w:t>
            </w:r>
            <w:r w:rsidR="000B31AD">
              <w:rPr>
                <w:rStyle w:val="Hypertextovodkaz"/>
                <w:rFonts w:ascii="Arial" w:eastAsia="Times New Roman" w:hAnsi="Arial" w:cs="Arial"/>
                <w:i/>
                <w:color w:val="0F0D29" w:themeColor="text1"/>
                <w:kern w:val="36"/>
                <w:sz w:val="20"/>
                <w:szCs w:val="20"/>
                <w:u w:val="none"/>
                <w:lang w:eastAsia="cs-CZ"/>
              </w:rPr>
              <w:t xml:space="preserve"> – </w:t>
            </w:r>
            <w:r w:rsidR="00D856E2">
              <w:rPr>
                <w:rStyle w:val="Hypertextovodkaz"/>
                <w:rFonts w:ascii="Arial" w:eastAsia="Times New Roman" w:hAnsi="Arial" w:cs="Arial"/>
                <w:i/>
                <w:color w:val="0F0D29" w:themeColor="text1"/>
                <w:kern w:val="36"/>
                <w:sz w:val="20"/>
                <w:szCs w:val="20"/>
                <w:u w:val="none"/>
                <w:lang w:eastAsia="cs-CZ"/>
              </w:rPr>
              <w:t xml:space="preserve">Ing. </w:t>
            </w:r>
            <w:r w:rsidR="001A6DA8">
              <w:rPr>
                <w:rStyle w:val="Hypertextovodkaz"/>
                <w:rFonts w:ascii="Arial" w:eastAsia="Times New Roman" w:hAnsi="Arial" w:cs="Arial"/>
                <w:i/>
                <w:color w:val="0F0D29" w:themeColor="text1"/>
                <w:kern w:val="36"/>
                <w:sz w:val="20"/>
                <w:szCs w:val="20"/>
                <w:u w:val="none"/>
                <w:lang w:eastAsia="cs-CZ"/>
              </w:rPr>
              <w:t>Martin Vojtíšek</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D856E2">
              <w:rPr>
                <w:rStyle w:val="Hypertextovodkaz"/>
                <w:rFonts w:ascii="Arial" w:eastAsia="Times New Roman" w:hAnsi="Arial" w:cs="Arial"/>
                <w:b/>
                <w:bCs/>
                <w:i/>
                <w:color w:val="0F0D29" w:themeColor="text1"/>
                <w:kern w:val="36"/>
                <w:sz w:val="20"/>
                <w:szCs w:val="20"/>
                <w:u w:val="none"/>
                <w:lang w:eastAsia="cs-CZ"/>
              </w:rPr>
              <w:t>31. 7. 2023</w:t>
            </w:r>
          </w:p>
          <w:p w14:paraId="162C871F" w14:textId="69E63BC8" w:rsidR="0014703E" w:rsidRDefault="0014703E"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5D79ABAC" w14:textId="77777777" w:rsidR="00E14631" w:rsidRDefault="00E14631" w:rsidP="008E3CAD">
            <w:pPr>
              <w:pStyle w:val="Bezmezer"/>
              <w:spacing w:line="276" w:lineRule="auto"/>
              <w:jc w:val="both"/>
              <w:rPr>
                <w:rStyle w:val="Hypertextovodkaz"/>
                <w:rFonts w:ascii="Arial" w:eastAsia="Times New Roman" w:hAnsi="Arial" w:cs="Arial"/>
                <w:bCs/>
                <w:color w:val="0F0D29" w:themeColor="text1"/>
                <w:kern w:val="36"/>
                <w:sz w:val="20"/>
                <w:szCs w:val="20"/>
                <w:u w:val="none"/>
                <w:lang w:eastAsia="cs-CZ"/>
              </w:rPr>
            </w:pPr>
          </w:p>
          <w:p w14:paraId="7F9ECBC6" w14:textId="70626974" w:rsidR="00932F08" w:rsidRPr="005078C0" w:rsidRDefault="00D856E2" w:rsidP="00932F08">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D856E2">
              <w:rPr>
                <w:rStyle w:val="Hypertextovodkaz"/>
                <w:rFonts w:ascii="Arial" w:eastAsia="Times New Roman" w:hAnsi="Arial" w:cs="Arial"/>
                <w:b/>
                <w:bCs/>
                <w:color w:val="0F0D29" w:themeColor="text1"/>
                <w:kern w:val="36"/>
                <w:sz w:val="24"/>
                <w:szCs w:val="20"/>
                <w:u w:val="none"/>
                <w:lang w:eastAsia="cs-CZ"/>
              </w:rPr>
              <w:t>Návrh vyhlášky, kterou se stanoví podrobnosti značkování a barvení vybraných minerálních olejů a značkování některých dalších minerálních olejů</w:t>
            </w:r>
            <w:r w:rsidR="001255F9">
              <w:rPr>
                <w:rStyle w:val="Hypertextovodkaz"/>
                <w:rFonts w:ascii="Arial" w:eastAsia="Times New Roman" w:hAnsi="Arial" w:cs="Arial"/>
                <w:b/>
                <w:bCs/>
                <w:color w:val="0F0D29" w:themeColor="text1"/>
                <w:kern w:val="36"/>
                <w:sz w:val="24"/>
                <w:szCs w:val="24"/>
                <w:u w:val="none"/>
                <w:lang w:eastAsia="cs-CZ"/>
              </w:rPr>
              <w:pict w14:anchorId="4BDFEB6C">
                <v:rect id="_x0000_i1027" style="width:0;height:1.5pt" o:hralign="center" o:hrstd="t" o:hr="t" fillcolor="#a0a0a0" stroked="f"/>
              </w:pict>
            </w:r>
          </w:p>
          <w:p w14:paraId="1E8455E4" w14:textId="77777777" w:rsidR="007C4877" w:rsidRDefault="007C4877" w:rsidP="004405C5">
            <w:pPr>
              <w:pStyle w:val="Bezmezer"/>
              <w:jc w:val="right"/>
              <w:rPr>
                <w:rStyle w:val="Hypertextovodkaz"/>
                <w:rFonts w:ascii="Arial" w:hAnsi="Arial" w:cs="Arial"/>
                <w:color w:val="auto"/>
                <w:sz w:val="20"/>
                <w:szCs w:val="20"/>
                <w:u w:val="none"/>
                <w:lang w:eastAsia="cs-CZ"/>
              </w:rPr>
            </w:pPr>
            <w:r w:rsidRPr="007C4877">
              <w:rPr>
                <w:rStyle w:val="Hypertextovodkaz"/>
                <w:rFonts w:ascii="Arial" w:hAnsi="Arial" w:cs="Arial"/>
                <w:color w:val="auto"/>
                <w:sz w:val="20"/>
                <w:szCs w:val="20"/>
                <w:u w:val="none"/>
                <w:lang w:eastAsia="cs-CZ"/>
              </w:rPr>
              <w:t>ALBSCR9G6ZZG</w:t>
            </w:r>
          </w:p>
          <w:p w14:paraId="42CD8CB4" w14:textId="027B94BC" w:rsidR="004405C5" w:rsidRPr="004405C5" w:rsidRDefault="000C53CA"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Mezirezortní připomínkové řízení</w:t>
            </w:r>
          </w:p>
          <w:p w14:paraId="12EF2DC8" w14:textId="77777777" w:rsidR="00932F08" w:rsidRPr="00FE4C3F" w:rsidRDefault="00932F08" w:rsidP="00932F08">
            <w:pPr>
              <w:pStyle w:val="Bezmezer"/>
              <w:spacing w:line="276" w:lineRule="auto"/>
              <w:jc w:val="right"/>
              <w:rPr>
                <w:rStyle w:val="Hypertextovodkaz"/>
                <w:rFonts w:ascii="Arial" w:eastAsia="Times New Roman" w:hAnsi="Arial" w:cs="Arial"/>
                <w:bCs/>
                <w:color w:val="0F0D29" w:themeColor="text1"/>
                <w:kern w:val="36"/>
                <w:sz w:val="20"/>
                <w:szCs w:val="20"/>
                <w:highlight w:val="yellow"/>
                <w:u w:val="none"/>
                <w:lang w:eastAsia="cs-CZ"/>
              </w:rPr>
            </w:pPr>
          </w:p>
          <w:p w14:paraId="4FEFBFE9" w14:textId="77777777" w:rsidR="006E225F" w:rsidRPr="00FE4C3F" w:rsidRDefault="006E225F" w:rsidP="00932F08">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highlight w:val="yellow"/>
                <w:u w:val="none"/>
                <w:lang w:eastAsia="cs-CZ"/>
              </w:rPr>
            </w:pPr>
          </w:p>
          <w:p w14:paraId="383D7640" w14:textId="1324F6FD" w:rsidR="000C53CA" w:rsidRDefault="007C4877" w:rsidP="000C53CA">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Pr>
                <w:rStyle w:val="Hypertextovodkaz"/>
                <w:rFonts w:asciiTheme="majorHAnsi" w:eastAsia="Times New Roman" w:hAnsiTheme="majorHAnsi" w:cstheme="majorHAnsi"/>
                <w:bCs/>
                <w:color w:val="0F0D29" w:themeColor="text1"/>
                <w:kern w:val="36"/>
                <w:sz w:val="20"/>
                <w:szCs w:val="20"/>
                <w:u w:val="none"/>
                <w:lang w:eastAsia="cs-CZ"/>
              </w:rPr>
              <w:t>V</w:t>
            </w:r>
            <w:r w:rsidR="000C53CA" w:rsidRPr="000C53CA">
              <w:rPr>
                <w:rStyle w:val="Hypertextovodkaz"/>
                <w:rFonts w:asciiTheme="majorHAnsi" w:eastAsia="Times New Roman" w:hAnsiTheme="majorHAnsi" w:cstheme="majorHAnsi"/>
                <w:bCs/>
                <w:color w:val="0F0D29" w:themeColor="text1"/>
                <w:kern w:val="36"/>
                <w:sz w:val="20"/>
                <w:szCs w:val="20"/>
                <w:u w:val="none"/>
                <w:lang w:eastAsia="cs-CZ"/>
              </w:rPr>
              <w:t>yhlášk</w:t>
            </w:r>
            <w:r>
              <w:rPr>
                <w:rStyle w:val="Hypertextovodkaz"/>
                <w:rFonts w:asciiTheme="majorHAnsi" w:eastAsia="Times New Roman" w:hAnsiTheme="majorHAnsi" w:cstheme="majorHAnsi"/>
                <w:bCs/>
                <w:color w:val="0F0D29" w:themeColor="text1"/>
                <w:kern w:val="36"/>
                <w:sz w:val="20"/>
                <w:szCs w:val="20"/>
                <w:u w:val="none"/>
                <w:lang w:eastAsia="cs-CZ"/>
              </w:rPr>
              <w:t>a</w:t>
            </w:r>
            <w:r w:rsidR="000C53CA" w:rsidRPr="000C53CA">
              <w:rPr>
                <w:rStyle w:val="Hypertextovodkaz"/>
                <w:rFonts w:asciiTheme="majorHAnsi" w:eastAsia="Times New Roman" w:hAnsiTheme="majorHAnsi" w:cstheme="majorHAnsi"/>
                <w:bCs/>
                <w:color w:val="0F0D29" w:themeColor="text1"/>
                <w:kern w:val="36"/>
                <w:sz w:val="20"/>
                <w:szCs w:val="20"/>
                <w:u w:val="none"/>
                <w:lang w:eastAsia="cs-CZ"/>
              </w:rPr>
              <w:t xml:space="preserve"> </w:t>
            </w:r>
            <w:r>
              <w:t xml:space="preserve"> </w:t>
            </w:r>
            <w:r w:rsidRPr="007C4877">
              <w:rPr>
                <w:rStyle w:val="Hypertextovodkaz"/>
                <w:rFonts w:asciiTheme="majorHAnsi" w:eastAsia="Times New Roman" w:hAnsiTheme="majorHAnsi" w:cstheme="majorHAnsi"/>
                <w:bCs/>
                <w:color w:val="0F0D29" w:themeColor="text1"/>
                <w:kern w:val="36"/>
                <w:sz w:val="20"/>
                <w:szCs w:val="20"/>
                <w:u w:val="none"/>
                <w:lang w:eastAsia="cs-CZ"/>
              </w:rPr>
              <w:t>je předkládán</w:t>
            </w:r>
            <w:r>
              <w:rPr>
                <w:rStyle w:val="Hypertextovodkaz"/>
                <w:rFonts w:asciiTheme="majorHAnsi" w:eastAsia="Times New Roman" w:hAnsiTheme="majorHAnsi" w:cstheme="majorHAnsi"/>
                <w:bCs/>
                <w:color w:val="0F0D29" w:themeColor="text1"/>
                <w:kern w:val="36"/>
                <w:sz w:val="20"/>
                <w:szCs w:val="20"/>
                <w:u w:val="none"/>
                <w:lang w:eastAsia="cs-CZ"/>
              </w:rPr>
              <w:t>a</w:t>
            </w:r>
            <w:r w:rsidRPr="007C4877">
              <w:rPr>
                <w:rStyle w:val="Hypertextovodkaz"/>
                <w:rFonts w:asciiTheme="majorHAnsi" w:eastAsia="Times New Roman" w:hAnsiTheme="majorHAnsi" w:cstheme="majorHAnsi"/>
                <w:bCs/>
                <w:color w:val="0F0D29" w:themeColor="text1"/>
                <w:kern w:val="36"/>
                <w:sz w:val="20"/>
                <w:szCs w:val="20"/>
                <w:u w:val="none"/>
                <w:lang w:eastAsia="cs-CZ"/>
              </w:rPr>
              <w:t xml:space="preserve"> v návaznosti na změnu evropské legislativy, která změnila společný evropský značkovač pro vybrané minerální oleje z původního značkovače SOLVENT YELLOW 124 na nový společný evropský značkovač vybraných minerálních olejů ACCUTRACETM PLUS,  a to s povinností jeho používání od 19. ledna 2024</w:t>
            </w:r>
            <w:r w:rsidR="004065E3">
              <w:rPr>
                <w:rStyle w:val="Hypertextovodkaz"/>
                <w:rFonts w:asciiTheme="majorHAnsi" w:eastAsia="Times New Roman" w:hAnsiTheme="majorHAnsi" w:cstheme="majorHAnsi"/>
                <w:bCs/>
                <w:color w:val="0F0D29" w:themeColor="text1"/>
                <w:kern w:val="36"/>
                <w:sz w:val="20"/>
                <w:szCs w:val="20"/>
                <w:u w:val="none"/>
                <w:lang w:eastAsia="cs-CZ"/>
              </w:rPr>
              <w:t>.</w:t>
            </w:r>
          </w:p>
          <w:p w14:paraId="0C23FBC4" w14:textId="5B7E35FD" w:rsidR="004065E3" w:rsidRDefault="004065E3" w:rsidP="000C53CA">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5F2323B4" w14:textId="77777777" w:rsidR="004065E3" w:rsidRDefault="004065E3" w:rsidP="004065E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Pr>
                <w:rStyle w:val="Hypertextovodkaz"/>
                <w:rFonts w:asciiTheme="majorHAnsi" w:eastAsia="Times New Roman" w:hAnsiTheme="majorHAnsi" w:cstheme="majorHAnsi"/>
                <w:bCs/>
                <w:color w:val="0F0D29" w:themeColor="text1"/>
                <w:kern w:val="36"/>
                <w:sz w:val="20"/>
                <w:szCs w:val="20"/>
                <w:u w:val="none"/>
                <w:lang w:eastAsia="cs-CZ"/>
              </w:rPr>
              <w:t>Z úvodního posouzení ze strany OPS plyne následující:</w:t>
            </w:r>
          </w:p>
          <w:p w14:paraId="3A95CD83" w14:textId="425BE820" w:rsidR="004065E3" w:rsidRPr="004065E3" w:rsidRDefault="004065E3" w:rsidP="004065E3">
            <w:pPr>
              <w:pStyle w:val="Bezmezer"/>
              <w:numPr>
                <w:ilvl w:val="0"/>
                <w:numId w:val="12"/>
              </w:numPr>
              <w:spacing w:line="360" w:lineRule="auto"/>
              <w:jc w:val="both"/>
              <w:rPr>
                <w:rFonts w:asciiTheme="majorHAnsi" w:eastAsia="Times New Roman" w:hAnsiTheme="majorHAnsi" w:cstheme="majorHAnsi"/>
                <w:color w:val="0F0D29" w:themeColor="text1"/>
                <w:kern w:val="36"/>
                <w:sz w:val="20"/>
                <w:szCs w:val="20"/>
                <w:lang w:eastAsia="cs-CZ"/>
              </w:rPr>
            </w:pPr>
            <w:r w:rsidRPr="004065E3">
              <w:rPr>
                <w:rFonts w:asciiTheme="majorHAnsi" w:eastAsia="Times New Roman" w:hAnsiTheme="majorHAnsi" w:cstheme="majorHAnsi"/>
                <w:sz w:val="20"/>
                <w:szCs w:val="20"/>
              </w:rPr>
              <w:t>Postup podle Vyhláška č. 61/2007 Sb., kterou se stanoví podrobnosti značkování a barvení vybraných minerálních olejů a značkování některých dalších minerálních olejů je možný (po dobu přechodného období) a to z důvodu, že na něj odkazuje předpis nový (návrh vyhlášky).</w:t>
            </w:r>
          </w:p>
          <w:p w14:paraId="2B9546E2" w14:textId="1EBAB0BF" w:rsidR="004065E3" w:rsidRPr="004065E3" w:rsidRDefault="004065E3" w:rsidP="004065E3">
            <w:pPr>
              <w:pStyle w:val="Odstavecseseznamem"/>
              <w:numPr>
                <w:ilvl w:val="0"/>
                <w:numId w:val="12"/>
              </w:numPr>
              <w:spacing w:after="160" w:line="360" w:lineRule="auto"/>
              <w:jc w:val="both"/>
              <w:rPr>
                <w:rFonts w:asciiTheme="majorHAnsi" w:eastAsia="Times New Roman" w:hAnsiTheme="majorHAnsi" w:cstheme="majorHAnsi"/>
                <w:sz w:val="20"/>
                <w:szCs w:val="20"/>
              </w:rPr>
            </w:pPr>
            <w:r w:rsidRPr="004065E3">
              <w:rPr>
                <w:rFonts w:asciiTheme="majorHAnsi" w:eastAsia="Times New Roman" w:hAnsiTheme="majorHAnsi" w:cstheme="majorHAnsi"/>
                <w:sz w:val="20"/>
                <w:szCs w:val="20"/>
              </w:rPr>
              <w:t>Ohledně smísení produktů lze odkázat na důvodovou zprávu a závěry v ní uvedené</w:t>
            </w:r>
            <w:r w:rsidRPr="004065E3">
              <w:rPr>
                <w:rFonts w:asciiTheme="majorHAnsi" w:eastAsia="Times New Roman" w:hAnsiTheme="majorHAnsi" w:cstheme="majorHAnsi"/>
                <w:sz w:val="20"/>
                <w:szCs w:val="20"/>
              </w:rPr>
              <w:t xml:space="preserve">. </w:t>
            </w:r>
          </w:p>
          <w:p w14:paraId="408E1091" w14:textId="677FE0E7" w:rsidR="00932F08" w:rsidRPr="005078C0" w:rsidRDefault="00932F08" w:rsidP="00932F0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0C53CA">
              <w:rPr>
                <w:rStyle w:val="Hypertextovodkaz"/>
                <w:rFonts w:ascii="Arial" w:eastAsia="Times New Roman" w:hAnsi="Arial" w:cs="Arial"/>
                <w:bCs/>
                <w:i/>
                <w:color w:val="0F0D29" w:themeColor="text1"/>
                <w:kern w:val="36"/>
                <w:sz w:val="20"/>
                <w:szCs w:val="20"/>
                <w:u w:val="none"/>
                <w:lang w:eastAsia="cs-CZ"/>
              </w:rPr>
              <w:t>O</w:t>
            </w:r>
            <w:r w:rsidR="007C4877">
              <w:rPr>
                <w:rStyle w:val="Hypertextovodkaz"/>
                <w:rFonts w:ascii="Arial" w:eastAsia="Times New Roman" w:hAnsi="Arial" w:cs="Arial"/>
                <w:bCs/>
                <w:i/>
                <w:color w:val="0F0D29" w:themeColor="text1"/>
                <w:kern w:val="36"/>
                <w:sz w:val="20"/>
                <w:szCs w:val="20"/>
                <w:u w:val="none"/>
                <w:lang w:eastAsia="cs-CZ"/>
              </w:rPr>
              <w:t>Ú</w:t>
            </w:r>
            <w:r w:rsidR="009F3BD4">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251E5276" w14:textId="77777777" w:rsidR="00932F08" w:rsidRPr="005078C0" w:rsidRDefault="00932F08" w:rsidP="00932F0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74E2CCC" w14:textId="354B2CC2" w:rsidR="00932F08" w:rsidRPr="005078C0" w:rsidRDefault="00932F08" w:rsidP="00932F08">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0C53CA">
              <w:rPr>
                <w:rStyle w:val="Hypertextovodkaz"/>
                <w:rFonts w:ascii="Arial" w:eastAsia="Times New Roman" w:hAnsi="Arial" w:cs="Arial"/>
                <w:i/>
                <w:color w:val="0F0D29" w:themeColor="text1"/>
                <w:kern w:val="36"/>
                <w:sz w:val="20"/>
                <w:szCs w:val="20"/>
                <w:u w:val="none"/>
                <w:lang w:eastAsia="cs-CZ"/>
              </w:rPr>
              <w:t>O</w:t>
            </w:r>
            <w:r w:rsidR="007C4877">
              <w:rPr>
                <w:rStyle w:val="Hypertextovodkaz"/>
                <w:rFonts w:ascii="Arial" w:eastAsia="Times New Roman" w:hAnsi="Arial" w:cs="Arial"/>
                <w:i/>
                <w:color w:val="0F0D29" w:themeColor="text1"/>
                <w:kern w:val="36"/>
                <w:sz w:val="20"/>
                <w:szCs w:val="20"/>
                <w:u w:val="none"/>
                <w:lang w:eastAsia="cs-CZ"/>
              </w:rPr>
              <w:t>Ú</w:t>
            </w:r>
            <w:r w:rsidR="000C53CA">
              <w:rPr>
                <w:rStyle w:val="Hypertextovodkaz"/>
                <w:rFonts w:ascii="Arial" w:eastAsia="Times New Roman" w:hAnsi="Arial" w:cs="Arial"/>
                <w:i/>
                <w:color w:val="0F0D29" w:themeColor="text1"/>
                <w:kern w:val="36"/>
                <w:sz w:val="20"/>
                <w:szCs w:val="20"/>
                <w:u w:val="none"/>
                <w:lang w:eastAsia="cs-CZ"/>
              </w:rPr>
              <w:t xml:space="preserve"> – </w:t>
            </w:r>
            <w:r w:rsidR="007C4877">
              <w:rPr>
                <w:rStyle w:val="Hypertextovodkaz"/>
                <w:rFonts w:ascii="Arial" w:eastAsia="Times New Roman" w:hAnsi="Arial" w:cs="Arial"/>
                <w:i/>
                <w:color w:val="0F0D29" w:themeColor="text1"/>
                <w:kern w:val="36"/>
                <w:sz w:val="20"/>
                <w:szCs w:val="20"/>
                <w:u w:val="none"/>
                <w:lang w:eastAsia="cs-CZ"/>
              </w:rPr>
              <w:t>Ing. Martin Vojtíšek</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w:t>
            </w:r>
            <w:r w:rsidR="000C53CA">
              <w:rPr>
                <w:rStyle w:val="Hypertextovodkaz"/>
                <w:rFonts w:ascii="Arial" w:eastAsia="Times New Roman" w:hAnsi="Arial" w:cs="Arial"/>
                <w:b/>
                <w:bCs/>
                <w:i/>
                <w:color w:val="0F0D29" w:themeColor="text1"/>
                <w:kern w:val="36"/>
                <w:sz w:val="20"/>
                <w:szCs w:val="20"/>
                <w:u w:val="none"/>
                <w:lang w:eastAsia="cs-CZ"/>
              </w:rPr>
              <w:t xml:space="preserve"> </w:t>
            </w:r>
            <w:r w:rsidR="007C4877">
              <w:rPr>
                <w:rStyle w:val="Hypertextovodkaz"/>
                <w:rFonts w:ascii="Arial" w:eastAsia="Times New Roman" w:hAnsi="Arial" w:cs="Arial"/>
                <w:b/>
                <w:bCs/>
                <w:i/>
                <w:color w:val="0F0D29" w:themeColor="text1"/>
                <w:kern w:val="36"/>
                <w:sz w:val="20"/>
                <w:szCs w:val="20"/>
                <w:u w:val="none"/>
                <w:lang w:eastAsia="cs-CZ"/>
              </w:rPr>
              <w:t>7.2023</w:t>
            </w:r>
          </w:p>
          <w:p w14:paraId="46DC81AF" w14:textId="706FAEAF" w:rsidR="00A06F4B" w:rsidRDefault="00A06F4B" w:rsidP="00932F08">
            <w:pPr>
              <w:pStyle w:val="Bezmezer"/>
              <w:tabs>
                <w:tab w:val="left" w:pos="6360"/>
              </w:tabs>
              <w:spacing w:line="360" w:lineRule="auto"/>
              <w:rPr>
                <w:rStyle w:val="Hypertextovodkaz"/>
                <w:rFonts w:ascii="Arial" w:eastAsia="Times New Roman" w:hAnsi="Arial" w:cs="Arial"/>
                <w:b/>
                <w:color w:val="0F0D29" w:themeColor="text1"/>
                <w:kern w:val="36"/>
                <w:sz w:val="24"/>
                <w:szCs w:val="24"/>
                <w:u w:val="none"/>
                <w:lang w:eastAsia="cs-CZ"/>
              </w:rPr>
            </w:pPr>
          </w:p>
          <w:p w14:paraId="6F483DFC" w14:textId="22EDADD1" w:rsidR="00DA4CC0" w:rsidRPr="005078C0" w:rsidRDefault="007C4877" w:rsidP="00DA4CC0">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7C4877">
              <w:rPr>
                <w:rStyle w:val="Hypertextovodkaz"/>
                <w:rFonts w:ascii="Arial" w:eastAsia="Times New Roman" w:hAnsi="Arial" w:cs="Arial"/>
                <w:b/>
                <w:bCs/>
                <w:color w:val="0F0D29" w:themeColor="text1"/>
                <w:kern w:val="36"/>
                <w:sz w:val="24"/>
                <w:szCs w:val="20"/>
                <w:u w:val="none"/>
                <w:lang w:eastAsia="cs-CZ"/>
              </w:rPr>
              <w:t>Návrh zákona, kterým se mění zákon č. 353/2003 Sb., o spotřebních daních, ve znění pozdějších předpisů, a zákon č. 286/2022 Sb., kterým se mění zákon č. 353/2003 Sb., o spotřebních daních, ve znění pozdějších předpisů</w:t>
            </w:r>
            <w:r w:rsidR="001255F9">
              <w:rPr>
                <w:rStyle w:val="Hypertextovodkaz"/>
                <w:rFonts w:ascii="Arial" w:eastAsia="Times New Roman" w:hAnsi="Arial" w:cs="Arial"/>
                <w:b/>
                <w:bCs/>
                <w:color w:val="0F0D29" w:themeColor="text1"/>
                <w:kern w:val="36"/>
                <w:sz w:val="24"/>
                <w:szCs w:val="24"/>
                <w:u w:val="none"/>
                <w:lang w:eastAsia="cs-CZ"/>
              </w:rPr>
              <w:pict w14:anchorId="0712976F">
                <v:rect id="_x0000_i1028" style="width:0;height:1.5pt" o:hralign="center" o:hrstd="t" o:hr="t" fillcolor="#a0a0a0" stroked="f"/>
              </w:pict>
            </w:r>
          </w:p>
          <w:p w14:paraId="417EE362" w14:textId="36EB4DF8" w:rsidR="00DA4CC0" w:rsidRPr="00205C10" w:rsidRDefault="007C4877" w:rsidP="00DA4CC0">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Sněmovní tisk 444</w:t>
            </w:r>
          </w:p>
          <w:p w14:paraId="292785CA" w14:textId="12E931E9" w:rsidR="00DA4CC0" w:rsidRDefault="007C4877" w:rsidP="007C4877">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Proběhlo 1. čtení v PS</w:t>
            </w:r>
          </w:p>
          <w:p w14:paraId="4BA6491B" w14:textId="77777777" w:rsidR="007C4877" w:rsidRPr="00205C10" w:rsidRDefault="007C4877" w:rsidP="007C4877">
            <w:pPr>
              <w:pStyle w:val="Bezmezer"/>
              <w:spacing w:line="360" w:lineRule="auto"/>
              <w:jc w:val="right"/>
              <w:rPr>
                <w:rStyle w:val="Hypertextovodkaz"/>
                <w:rFonts w:asciiTheme="majorHAnsi" w:eastAsia="Times New Roman" w:hAnsiTheme="majorHAnsi" w:cstheme="majorHAnsi"/>
                <w:bCs/>
                <w:color w:val="0F0D29" w:themeColor="text1"/>
                <w:kern w:val="36"/>
                <w:sz w:val="20"/>
                <w:szCs w:val="20"/>
                <w:u w:val="none"/>
                <w:lang w:eastAsia="cs-CZ"/>
              </w:rPr>
            </w:pPr>
          </w:p>
          <w:p w14:paraId="7F401169" w14:textId="75C2C476" w:rsidR="00E46109" w:rsidRDefault="007C4877" w:rsidP="007C4877">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7C4877">
              <w:rPr>
                <w:rStyle w:val="Hypertextovodkaz"/>
                <w:rFonts w:asciiTheme="majorHAnsi" w:eastAsia="Times New Roman" w:hAnsiTheme="majorHAnsi" w:cstheme="majorHAnsi"/>
                <w:bCs/>
                <w:color w:val="0F0D29" w:themeColor="text1"/>
                <w:kern w:val="36"/>
                <w:sz w:val="20"/>
                <w:szCs w:val="20"/>
                <w:u w:val="none"/>
                <w:lang w:eastAsia="cs-CZ"/>
              </w:rPr>
              <w:t>Hlavním bodem předloženého návrhu je navrácení systému zdanění motorové nafty a jejích přímých substitutů do původního stavu v dřívějším termínu, než předpokládá zákon č. 286/2022 Sb., kterým se mění zákon o spotřebních daních. Návrhem tak dochází k navýšení sazby</w:t>
            </w:r>
            <w:r>
              <w:rPr>
                <w:rStyle w:val="Hypertextovodkaz"/>
                <w:rFonts w:asciiTheme="majorHAnsi" w:eastAsia="Times New Roman" w:hAnsiTheme="majorHAnsi" w:cstheme="majorHAnsi"/>
                <w:bCs/>
                <w:color w:val="0F0D29" w:themeColor="text1"/>
                <w:kern w:val="36"/>
                <w:sz w:val="20"/>
                <w:szCs w:val="20"/>
                <w:u w:val="none"/>
                <w:lang w:eastAsia="cs-CZ"/>
              </w:rPr>
              <w:t xml:space="preserve"> </w:t>
            </w:r>
            <w:r w:rsidRPr="007C4877">
              <w:rPr>
                <w:rStyle w:val="Hypertextovodkaz"/>
                <w:rFonts w:asciiTheme="majorHAnsi" w:eastAsia="Times New Roman" w:hAnsiTheme="majorHAnsi" w:cstheme="majorHAnsi"/>
                <w:bCs/>
                <w:color w:val="0F0D29" w:themeColor="text1"/>
                <w:kern w:val="36"/>
                <w:sz w:val="20"/>
                <w:szCs w:val="20"/>
                <w:u w:val="none"/>
                <w:lang w:eastAsia="cs-CZ"/>
              </w:rPr>
              <w:t>spotřební daně těchto komodit z 8 450 Kč/1 000 litrů na 9 950 Kč/1 000 litrů s účinností od prvního dne prvního kalendářního měsíce následujícího po jeho vyhlášení.</w:t>
            </w:r>
          </w:p>
          <w:p w14:paraId="54AD7301" w14:textId="77777777" w:rsidR="007C4877" w:rsidRPr="00E46109" w:rsidRDefault="007C4877" w:rsidP="007C4877">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1261A641" w14:textId="4C1F7853" w:rsidR="00DA4CC0" w:rsidRPr="005078C0" w:rsidRDefault="00DA4CC0" w:rsidP="00DA4CC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7C4877">
              <w:rPr>
                <w:rStyle w:val="Hypertextovodkaz"/>
                <w:rFonts w:ascii="Arial" w:eastAsia="Times New Roman" w:hAnsi="Arial" w:cs="Arial"/>
                <w:bCs/>
                <w:i/>
                <w:color w:val="0F0D29" w:themeColor="text1"/>
                <w:kern w:val="36"/>
                <w:sz w:val="20"/>
                <w:szCs w:val="20"/>
                <w:u w:val="none"/>
                <w:lang w:eastAsia="cs-CZ"/>
              </w:rPr>
              <w:t>FÚ a OÚ</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4733D053" w14:textId="77777777" w:rsidR="00DA4CC0" w:rsidRPr="005078C0" w:rsidRDefault="00DA4CC0" w:rsidP="00DA4CC0">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9CBC949" w14:textId="2EEF07BF" w:rsidR="00DA4CC0" w:rsidRPr="005078C0" w:rsidRDefault="00DA4CC0" w:rsidP="00DA4CC0">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7C4877">
              <w:rPr>
                <w:rStyle w:val="Hypertextovodkaz"/>
                <w:rFonts w:ascii="Arial" w:eastAsia="Times New Roman" w:hAnsi="Arial" w:cs="Arial"/>
                <w:i/>
                <w:color w:val="0F0D29" w:themeColor="text1"/>
                <w:kern w:val="36"/>
                <w:sz w:val="20"/>
                <w:szCs w:val="20"/>
                <w:u w:val="none"/>
                <w:lang w:eastAsia="cs-CZ"/>
              </w:rPr>
              <w:t>FÚ – Ing. Hostková, OÚ – Ing. Vojtíšek</w:t>
            </w:r>
            <w:r w:rsidR="006402B1">
              <w:rPr>
                <w:rStyle w:val="Hypertextovodkaz"/>
                <w:rFonts w:ascii="Arial" w:eastAsia="Times New Roman" w:hAnsi="Arial" w:cs="Arial"/>
                <w:i/>
                <w:color w:val="0F0D29" w:themeColor="text1"/>
                <w:kern w:val="36"/>
                <w:sz w:val="20"/>
                <w:szCs w:val="20"/>
                <w:u w:val="none"/>
                <w:lang w:eastAsia="cs-CZ"/>
              </w:rPr>
              <w:t>, OČS – Ing. Krejsa</w:t>
            </w:r>
            <w:r w:rsidRPr="005078C0">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7C4877">
              <w:rPr>
                <w:rStyle w:val="Hypertextovodkaz"/>
                <w:rFonts w:ascii="Arial" w:eastAsia="Times New Roman" w:hAnsi="Arial" w:cs="Arial"/>
                <w:b/>
                <w:bCs/>
                <w:i/>
                <w:color w:val="0F0D29" w:themeColor="text1"/>
                <w:kern w:val="36"/>
                <w:sz w:val="20"/>
                <w:szCs w:val="20"/>
                <w:u w:val="none"/>
                <w:lang w:eastAsia="cs-CZ"/>
              </w:rPr>
              <w:t>neprodleně</w:t>
            </w:r>
          </w:p>
          <w:p w14:paraId="078D6F1B" w14:textId="0D86CDFD" w:rsidR="00DA4CC0" w:rsidRDefault="00DA4CC0" w:rsidP="00932F08">
            <w:pPr>
              <w:pStyle w:val="Bezmezer"/>
              <w:tabs>
                <w:tab w:val="left" w:pos="6360"/>
              </w:tabs>
              <w:spacing w:line="360" w:lineRule="auto"/>
            </w:pPr>
          </w:p>
          <w:p w14:paraId="2124F9E1" w14:textId="7474D019" w:rsidR="00214F9E" w:rsidRPr="005C048D" w:rsidRDefault="007C4877" w:rsidP="00214F9E">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7C4877">
              <w:rPr>
                <w:rStyle w:val="Hypertextovodkaz"/>
                <w:rFonts w:ascii="Arial" w:eastAsia="Times New Roman" w:hAnsi="Arial" w:cs="Arial"/>
                <w:b/>
                <w:bCs/>
                <w:color w:val="auto"/>
                <w:kern w:val="36"/>
                <w:sz w:val="24"/>
                <w:szCs w:val="24"/>
                <w:u w:val="none"/>
                <w:lang w:eastAsia="cs-CZ"/>
              </w:rPr>
              <w:t>Novela zákona č. 269/2021 Sb., o občanských průkazech</w:t>
            </w:r>
            <w:r w:rsidR="001255F9">
              <w:rPr>
                <w:rStyle w:val="Hypertextovodkaz"/>
                <w:rFonts w:ascii="Arial" w:eastAsia="Times New Roman" w:hAnsi="Arial" w:cs="Arial"/>
                <w:b/>
                <w:bCs/>
                <w:color w:val="auto"/>
                <w:kern w:val="36"/>
                <w:sz w:val="24"/>
                <w:szCs w:val="24"/>
                <w:u w:val="none"/>
                <w:lang w:eastAsia="cs-CZ"/>
              </w:rPr>
              <w:pict w14:anchorId="19FF02FB">
                <v:rect id="_x0000_i1029" style="width:0;height:1.5pt" o:hralign="center" o:hrstd="t" o:hr="t" fillcolor="#a0a0a0" stroked="f"/>
              </w:pict>
            </w:r>
          </w:p>
          <w:p w14:paraId="6833B9A5" w14:textId="1EA38A62" w:rsidR="00446F61" w:rsidRPr="00446F61" w:rsidRDefault="007C4877" w:rsidP="00446F61">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Sněmovní tisk 451</w:t>
            </w:r>
            <w:r w:rsidR="00E46109">
              <w:rPr>
                <w:rStyle w:val="Hypertextovodkaz"/>
                <w:rFonts w:ascii="Arial" w:eastAsia="Times New Roman" w:hAnsi="Arial" w:cs="Arial"/>
                <w:bCs/>
                <w:color w:val="0F0D29" w:themeColor="text1"/>
                <w:kern w:val="36"/>
                <w:sz w:val="20"/>
                <w:szCs w:val="20"/>
                <w:u w:val="none"/>
                <w:lang w:eastAsia="cs-CZ"/>
              </w:rPr>
              <w:t xml:space="preserve"> </w:t>
            </w:r>
            <w:r w:rsidR="00446F61" w:rsidRPr="00446F61">
              <w:rPr>
                <w:rStyle w:val="Hypertextovodkaz"/>
                <w:rFonts w:ascii="Arial" w:eastAsia="Times New Roman" w:hAnsi="Arial" w:cs="Arial"/>
                <w:bCs/>
                <w:color w:val="0F0D29" w:themeColor="text1"/>
                <w:kern w:val="36"/>
                <w:sz w:val="20"/>
                <w:szCs w:val="20"/>
                <w:u w:val="none"/>
                <w:lang w:eastAsia="cs-CZ"/>
              </w:rPr>
              <w:t xml:space="preserve"> </w:t>
            </w:r>
            <w:r w:rsidR="00E46109">
              <w:rPr>
                <w:rStyle w:val="Hypertextovodkaz"/>
                <w:rFonts w:ascii="Arial" w:eastAsia="Times New Roman" w:hAnsi="Arial" w:cs="Arial"/>
                <w:bCs/>
                <w:color w:val="0F0D29" w:themeColor="text1"/>
                <w:kern w:val="36"/>
                <w:sz w:val="20"/>
                <w:szCs w:val="20"/>
                <w:u w:val="none"/>
                <w:lang w:eastAsia="cs-CZ"/>
              </w:rPr>
              <w:t xml:space="preserve"> </w:t>
            </w:r>
          </w:p>
          <w:p w14:paraId="2365E614" w14:textId="4ED67A82" w:rsidR="00446F61" w:rsidRPr="00446F61" w:rsidRDefault="007C4877" w:rsidP="00446F61">
            <w:pPr>
              <w:pStyle w:val="Bezmezer"/>
              <w:spacing w:line="276" w:lineRule="auto"/>
              <w:ind w:left="720"/>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Předloženo do poslanecké sněmovny</w:t>
            </w:r>
            <w:r w:rsidR="00446F61" w:rsidRPr="00446F61">
              <w:rPr>
                <w:rStyle w:val="Hypertextovodkaz"/>
                <w:rFonts w:ascii="Arial" w:eastAsia="Times New Roman" w:hAnsi="Arial" w:cs="Arial"/>
                <w:bCs/>
                <w:color w:val="0F0D29" w:themeColor="text1"/>
                <w:kern w:val="36"/>
                <w:sz w:val="20"/>
                <w:szCs w:val="20"/>
                <w:u w:val="none"/>
                <w:lang w:eastAsia="cs-CZ"/>
              </w:rPr>
              <w:t xml:space="preserve"> </w:t>
            </w:r>
          </w:p>
          <w:p w14:paraId="2B88C508" w14:textId="6FCA91EF" w:rsidR="00887789" w:rsidRPr="00887789" w:rsidRDefault="00887789" w:rsidP="00887789">
            <w:pPr>
              <w:pStyle w:val="text-large"/>
              <w:shd w:val="clear" w:color="auto" w:fill="FFFFFF"/>
              <w:spacing w:line="408" w:lineRule="atLeast"/>
              <w:jc w:val="both"/>
              <w:rPr>
                <w:rFonts w:asciiTheme="majorHAnsi" w:hAnsiTheme="majorHAnsi" w:cstheme="majorHAnsi"/>
                <w:sz w:val="20"/>
                <w:szCs w:val="20"/>
              </w:rPr>
            </w:pPr>
            <w:r w:rsidRPr="00887789">
              <w:rPr>
                <w:rFonts w:asciiTheme="majorHAnsi" w:hAnsiTheme="majorHAnsi" w:cstheme="majorHAnsi"/>
                <w:sz w:val="20"/>
                <w:szCs w:val="20"/>
              </w:rPr>
              <w:t xml:space="preserve">Přijetím zákona č. 269/2021 Sb., o občanských průkazech, mělo dojít k upuštění od uvádění rodného čísla jako identifikátoru fyzické osoby v občanských průkazech ke dni 31. 12. 2023. Zákonem č. 471/2022 Sb., kterým se mění zákon č. 12/2020 Sb., o právu na digitální služby a o změně některých zákonů, ve znění pozdějších předpisů, a další související zákony, byl uvedený termín posunut až k 31. 12. 2024. Občanské průkazy vydané do tohoto data mají být i nadále opatřovány rodným číslem jakožto jedinečným identifikátorem fyzické osoby. Pro občanské průkazy vydané po tomto datu, tj. od 1. 1. 2025, to již nebude platit. </w:t>
            </w:r>
          </w:p>
          <w:p w14:paraId="680583D3" w14:textId="3AC4E4C4" w:rsidR="006C0197" w:rsidRPr="006C0197" w:rsidRDefault="00887789" w:rsidP="00887789">
            <w:pPr>
              <w:pStyle w:val="text-large"/>
              <w:shd w:val="clear" w:color="auto" w:fill="FFFFFF"/>
              <w:spacing w:line="408" w:lineRule="atLeast"/>
              <w:jc w:val="both"/>
              <w:rPr>
                <w:rFonts w:asciiTheme="majorHAnsi" w:hAnsiTheme="majorHAnsi" w:cstheme="majorHAnsi"/>
                <w:sz w:val="20"/>
                <w:szCs w:val="20"/>
              </w:rPr>
            </w:pPr>
            <w:r>
              <w:rPr>
                <w:rFonts w:asciiTheme="majorHAnsi" w:hAnsiTheme="majorHAnsi" w:cstheme="majorHAnsi"/>
                <w:sz w:val="20"/>
                <w:szCs w:val="20"/>
              </w:rPr>
              <w:t xml:space="preserve">Poslanecký návrh novely zákona navrhuje posunout termín až k 31.12.2028, a to z důvodu nepřipravenosti rozhraní informačních systémů veřejné správy směrem k soukromému sektoru, jakož i nepřipravenosti soukromého sektoru pracovat s alternativními identifikátory osob. </w:t>
            </w:r>
          </w:p>
          <w:p w14:paraId="7C96E284" w14:textId="16EF72F2" w:rsidR="00214F9E" w:rsidRPr="005078C0" w:rsidRDefault="00887789" w:rsidP="00214F9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Na vědomí POŘ.</w:t>
            </w:r>
          </w:p>
          <w:p w14:paraId="5C1E880B" w14:textId="1A55F241" w:rsidR="00252F73" w:rsidRDefault="00252F73" w:rsidP="00932F08">
            <w:pPr>
              <w:pStyle w:val="Bezmezer"/>
              <w:tabs>
                <w:tab w:val="left" w:pos="6360"/>
              </w:tabs>
              <w:spacing w:line="360" w:lineRule="auto"/>
            </w:pPr>
          </w:p>
          <w:p w14:paraId="5ECB7EF6" w14:textId="2134AA67" w:rsidR="00252F73" w:rsidRPr="005078C0" w:rsidRDefault="00252F73" w:rsidP="00252F7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252F73">
              <w:rPr>
                <w:rStyle w:val="Hypertextovodkaz"/>
                <w:rFonts w:ascii="Arial" w:eastAsia="Times New Roman" w:hAnsi="Arial" w:cs="Arial"/>
                <w:b/>
                <w:bCs/>
                <w:color w:val="0F0D29" w:themeColor="text1"/>
                <w:kern w:val="36"/>
                <w:sz w:val="24"/>
                <w:szCs w:val="20"/>
                <w:u w:val="none"/>
                <w:lang w:eastAsia="cs-CZ"/>
              </w:rPr>
              <w:t>Návrh zákona o konsolidaci veřejných rozpočtů</w:t>
            </w:r>
            <w:r w:rsidR="001255F9">
              <w:rPr>
                <w:rStyle w:val="Hypertextovodkaz"/>
                <w:rFonts w:ascii="Arial" w:eastAsia="Times New Roman" w:hAnsi="Arial" w:cs="Arial"/>
                <w:b/>
                <w:bCs/>
                <w:color w:val="0F0D29" w:themeColor="text1"/>
                <w:kern w:val="36"/>
                <w:sz w:val="24"/>
                <w:szCs w:val="24"/>
                <w:u w:val="none"/>
                <w:lang w:eastAsia="cs-CZ"/>
              </w:rPr>
              <w:pict w14:anchorId="765610B2">
                <v:rect id="_x0000_i1030" style="width:0;height:1.5pt" o:hralign="center" o:hrstd="t" o:hr="t" fillcolor="#a0a0a0" stroked="f"/>
              </w:pict>
            </w:r>
          </w:p>
          <w:p w14:paraId="5A3F0F58" w14:textId="79FEFCA8" w:rsidR="00252F73" w:rsidRDefault="00252F73" w:rsidP="00252F73">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EKLEP</w:t>
            </w:r>
            <w:r>
              <w:t xml:space="preserve"> </w:t>
            </w:r>
            <w:r w:rsidRPr="00252F73">
              <w:rPr>
                <w:rStyle w:val="Hypertextovodkaz"/>
                <w:rFonts w:ascii="Arial" w:eastAsia="Times New Roman" w:hAnsi="Arial" w:cs="Arial"/>
                <w:bCs/>
                <w:color w:val="0F0D29" w:themeColor="text1"/>
                <w:kern w:val="36"/>
                <w:sz w:val="20"/>
                <w:szCs w:val="20"/>
                <w:u w:val="none"/>
                <w:lang w:eastAsia="cs-CZ"/>
              </w:rPr>
              <w:t>KORNCS3JLKC2</w:t>
            </w:r>
            <w:r>
              <w:rPr>
                <w:rStyle w:val="Hypertextovodkaz"/>
                <w:rFonts w:ascii="Arial" w:eastAsia="Times New Roman" w:hAnsi="Arial" w:cs="Arial"/>
                <w:bCs/>
                <w:color w:val="0F0D29" w:themeColor="text1"/>
                <w:kern w:val="36"/>
                <w:sz w:val="20"/>
                <w:szCs w:val="20"/>
                <w:u w:val="none"/>
                <w:lang w:eastAsia="cs-CZ"/>
              </w:rPr>
              <w:t xml:space="preserve">   </w:t>
            </w:r>
          </w:p>
          <w:p w14:paraId="3FD29EC6" w14:textId="7AE5BAE0" w:rsidR="00252F73" w:rsidRPr="00205C10" w:rsidRDefault="00252F73" w:rsidP="00252F73">
            <w:pPr>
              <w:pStyle w:val="Bezmezer"/>
              <w:spacing w:line="276"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Mezirezortní připomínkové řízení</w:t>
            </w:r>
          </w:p>
          <w:p w14:paraId="474D4B81" w14:textId="77777777" w:rsidR="00252F73" w:rsidRPr="00205C10" w:rsidRDefault="00252F73" w:rsidP="00252F73">
            <w:pPr>
              <w:pStyle w:val="Bezmezer"/>
              <w:spacing w:line="360" w:lineRule="auto"/>
              <w:jc w:val="right"/>
              <w:rPr>
                <w:rStyle w:val="Hypertextovodkaz"/>
                <w:rFonts w:asciiTheme="majorHAnsi" w:eastAsia="Times New Roman" w:hAnsiTheme="majorHAnsi" w:cstheme="majorHAnsi"/>
                <w:bCs/>
                <w:color w:val="0F0D29" w:themeColor="text1"/>
                <w:kern w:val="36"/>
                <w:sz w:val="20"/>
                <w:szCs w:val="20"/>
                <w:u w:val="none"/>
                <w:lang w:eastAsia="cs-CZ"/>
              </w:rPr>
            </w:pPr>
          </w:p>
          <w:p w14:paraId="7C2FCEB2" w14:textId="37C1B303"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 xml:space="preserve">Návrh zákona o konsolidaci veřejných rozpočtů (tzv. konsolidační balíček) je jedním z klíčových výstupů dohody stran vládní koalice, která byla veřejnosti finálně představena dne 11. 5. 2023. Tvoří nejvýznamnější část opatření ke snižování strukturálního deficitu státního rozpočtu a konsolidaci veřejných financí, přičemž se soustředí na ta témata, která vyžadují legislativní řešení ve formě změny zákona a která nejsou řešena v rámci samostatných projektů. </w:t>
            </w:r>
          </w:p>
          <w:p w14:paraId="51196AE3" w14:textId="77777777"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Návrh zákona o konsolidaci veřejných rozpočtů (tzv. konsolidační balíček) je souborem novel těchto zákonů (řazeno chronologicky podle čísla ve Sbírce zákonů):</w:t>
            </w:r>
          </w:p>
          <w:p w14:paraId="572679C7" w14:textId="1CFD3D14"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1)</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141/1961 Sb., o trestním řízení soudním (trestní řád), </w:t>
            </w:r>
          </w:p>
          <w:p w14:paraId="7A1AB609" w14:textId="3A1CEA94"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2)</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99/1963 Sb., občanský soudní řád, </w:t>
            </w:r>
          </w:p>
          <w:p w14:paraId="6DC662F0" w14:textId="02600018"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3)</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44/1988 Sb., o ochraně a využití nerostného bohatství (horní zákon),</w:t>
            </w:r>
          </w:p>
          <w:p w14:paraId="6ECE9223" w14:textId="37F04168"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lastRenderedPageBreak/>
              <w:t>4)</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451/1991 Sb., kterým se stanoví některé další předpoklady pro výkon některých funkcí ve státních orgánech a organizacích České a Slovenské Federativní Republiky, České republiky a Slovenské republiky, </w:t>
            </w:r>
          </w:p>
          <w:p w14:paraId="05C939C9" w14:textId="7573D0E0"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5)</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549/1991 Sb., o soudních poplatcích, ve znění pozdějších předpisů </w:t>
            </w:r>
          </w:p>
          <w:p w14:paraId="13BA8B3F" w14:textId="55C4A2F6"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6)</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582/1991 Sb., o organizaci a provádění sociálního zabezpečení</w:t>
            </w:r>
          </w:p>
          <w:p w14:paraId="767C9E57" w14:textId="32BBE7E0"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7)</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21/1992 Sb., o bankách, ve znění pozdějších předpisů </w:t>
            </w:r>
          </w:p>
          <w:p w14:paraId="25D36120" w14:textId="73AC92ED"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8)</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zákona č. 338/1992 Sb., o dani z nemovitých věcí, ve znění pozdějších předpisů </w:t>
            </w:r>
          </w:p>
          <w:p w14:paraId="3941C34B" w14:textId="6DBB420E"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9)</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586/1992 Sb., o daních z příjmů, ve znění pozdějších předpisů</w:t>
            </w:r>
          </w:p>
          <w:p w14:paraId="2AEDF6B4" w14:textId="43E21071"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10)</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589/1992 Sb., o pojistném na sociální zabezpečení a příspěvku na státní politiku zaměstnanosti,</w:t>
            </w:r>
          </w:p>
          <w:p w14:paraId="061E24CC" w14:textId="1799EE3C"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11)</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16/1993 Sb., o dani silniční</w:t>
            </w:r>
          </w:p>
          <w:p w14:paraId="4D764B93" w14:textId="00C93FCF"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12)</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96/1993 Sb., o stavebním spoření a státní podpoře stavebního spoření</w:t>
            </w:r>
          </w:p>
          <w:p w14:paraId="4E3E1959" w14:textId="43A1A9FD"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13)</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182/1993 Sb., o Ústavním soudu</w:t>
            </w:r>
          </w:p>
          <w:p w14:paraId="3F5F4818" w14:textId="2C0314D2"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14)</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283/1993 Sb., o státním zastupitelství</w:t>
            </w:r>
          </w:p>
          <w:p w14:paraId="455D959D" w14:textId="115E8CF8"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15)</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293/1993 Sb., o výkonu vazby, ve znění pozdějších předpisů </w:t>
            </w:r>
          </w:p>
          <w:p w14:paraId="32417A28" w14:textId="74DC9E66"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16)</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236/1995 Sb., o platu a dalších náležitostech spojených s výkonem funkce představitelů státní moci a některých státních orgánů a soudců a poslanců Evropského parlamentu, </w:t>
            </w:r>
          </w:p>
          <w:p w14:paraId="14F82D5F" w14:textId="5542AC40"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17)</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13/1997 Sb., o pozemních komunikacích, ve znění pozdějších předpisů </w:t>
            </w:r>
          </w:p>
          <w:p w14:paraId="0FF14B04" w14:textId="4EB59A34"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18)</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111/1998 Sb., o vysokých školách a o změně a doplnění dalších zákonů</w:t>
            </w:r>
          </w:p>
          <w:p w14:paraId="36D78017" w14:textId="45D86629"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19)</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169/1999 Sb., o výkonu trestu odnětí svobody a o změně některých souvisejících zákonů</w:t>
            </w:r>
          </w:p>
          <w:p w14:paraId="0459CF92" w14:textId="19D402B2"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20)</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104/2000 Sb., o Státním fondu dopravní infrastruktury, ve znění pozdějších předpisů </w:t>
            </w:r>
          </w:p>
          <w:p w14:paraId="047CC605" w14:textId="75782B4C"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21)</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218/2000 Sb., o rozpočtových pravidlech a o změně některých souvisejících zákonů </w:t>
            </w:r>
          </w:p>
          <w:p w14:paraId="41C56736" w14:textId="1E21EB23"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22)</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243/2000 Sb., o rozpočtovém určení výnosů některých daní územním samosprávným celkům a některým státním fondům </w:t>
            </w:r>
          </w:p>
          <w:p w14:paraId="4D1561B3" w14:textId="1646602E"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23)</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250/2000 Sb., o rozpočtových pravidlech územních rozpočtů, </w:t>
            </w:r>
          </w:p>
          <w:p w14:paraId="4851FD1F" w14:textId="18C83FC2"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24)</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56/2001 Sb., o podmínkách provozu vozidel na pozemních komunikacích a o změně zákona č. 168/1999 Sb., o pojištění odpovědnosti za škodu způsobenou provozem vozidla a o změně některých souvisejících zákonů </w:t>
            </w:r>
          </w:p>
          <w:p w14:paraId="0C687A16" w14:textId="77777777"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25)</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120/2001 Sb., o soudních exekutorech a exekuční činnosti (exekuční řád) a o změně dalších zákonů, ve znění pozdějších předpisů (dále též „exekuční řád“),</w:t>
            </w:r>
          </w:p>
          <w:p w14:paraId="1F206015" w14:textId="77777777"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26)</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6/2002 Sb., o soudech, soudcích, přísedících a státní správě soudů a o změně některých dalších zákonů (zákon o soudech a soudcích), ve znění pozdějších předpisů (dále též „zákon o soudech a soudcích“),</w:t>
            </w:r>
          </w:p>
          <w:p w14:paraId="3812C10C" w14:textId="24E47C9C"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27)</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77/2002 Sb., o akciové společnosti České dráhy, státní organizaci Správa železnic a o změně zákona č. 266/1994 Sb., o dráhách, ve znění pozdějších předpisů, a zákona č. 77/1997 Sb., o státním podniku, </w:t>
            </w:r>
          </w:p>
          <w:p w14:paraId="4284C4C6" w14:textId="5D56C4CB"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28)</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150/2002 Sb., soudní řád správní,</w:t>
            </w:r>
          </w:p>
          <w:p w14:paraId="7A7DAA7B" w14:textId="6C8D337A"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29)</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229/2002 Sb., o finančním arbitrovi, </w:t>
            </w:r>
          </w:p>
          <w:p w14:paraId="4202269F" w14:textId="64C877EF"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30)</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353/2003 Sb., o spotřebních daních, ve znění pozdějších předpisů </w:t>
            </w:r>
          </w:p>
          <w:p w14:paraId="67907801" w14:textId="0DCAECF0"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31)</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440/2003 Sb., o nakládání se surovými diamanty, o podmínkách jejich dovozu, vývozu a tranzitu </w:t>
            </w:r>
          </w:p>
          <w:p w14:paraId="2C589AD4" w14:textId="79AE0402"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32)</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48/2004 Sb., o zabezpečení prezidenta republiky po skončení funkce, </w:t>
            </w:r>
          </w:p>
          <w:p w14:paraId="5E387009" w14:textId="23DCA80E"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33)</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235/2004 Sb., o dani z přidané hodnoty, ve znění pozdějších předpisů </w:t>
            </w:r>
          </w:p>
          <w:p w14:paraId="362EEBE0" w14:textId="6327E724"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34)</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435/2004 Sb., o zaměstnanosti, ve znění pozdějších předpisů </w:t>
            </w:r>
          </w:p>
          <w:p w14:paraId="411BCBB6" w14:textId="0CDB49EA"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35)</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634/2004 Sb., o správních poplatcích, ve znění pozdějších předpisů </w:t>
            </w:r>
          </w:p>
          <w:p w14:paraId="6262EF10" w14:textId="53AF56D2"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lastRenderedPageBreak/>
              <w:t>36)</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341/2005 Sb., o veřejných výzkumných institucích,</w:t>
            </w:r>
          </w:p>
          <w:p w14:paraId="087A32E0" w14:textId="08A294B4"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37)</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182/2006 Sb., o úpadku a způsobech jeho řešení (insolvenční zákon), </w:t>
            </w:r>
          </w:p>
          <w:p w14:paraId="52FE6ABB" w14:textId="602F6BC5"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38)</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187/2006 Sb., o nemocenském pojištění, ve znění pozdějších </w:t>
            </w:r>
          </w:p>
          <w:p w14:paraId="055159FC" w14:textId="16464F1E"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39)</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312/2006 Sb., o insolvenčních správcích, ve znění pozdějších předpisů</w:t>
            </w:r>
          </w:p>
          <w:p w14:paraId="1CF5C80E" w14:textId="2255F09E"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40)</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261/2007 Sb., o stabilizaci veřejných rozpočtů </w:t>
            </w:r>
          </w:p>
          <w:p w14:paraId="1C087AB5" w14:textId="557F90D9"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41)</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129/2008 Sb., o výkonu zabezpečovací detence a o změně některých souvisejících zákonů</w:t>
            </w:r>
          </w:p>
          <w:p w14:paraId="0C583F62" w14:textId="77777777"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42)</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280/2009 Sb., daňový řád, ve znění pozdějších předpisů (dále též „daňový řád“),</w:t>
            </w:r>
          </w:p>
          <w:p w14:paraId="30844CF9" w14:textId="19E4B4E5"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43)</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17/2012 Sb., o Celní správě České republiky, ve znění pozdějších předpisů </w:t>
            </w:r>
          </w:p>
          <w:p w14:paraId="5E89B30A" w14:textId="6CE498D6"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44)</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496/2012 Sb., o audiovizuálních dílech a podpoře kinematografie a o změně některých </w:t>
            </w:r>
            <w:proofErr w:type="spellStart"/>
            <w:r w:rsidRPr="00252F73">
              <w:rPr>
                <w:rStyle w:val="Hypertextovodkaz"/>
                <w:rFonts w:asciiTheme="majorHAnsi" w:eastAsia="Times New Roman" w:hAnsiTheme="majorHAnsi" w:cstheme="majorHAnsi"/>
                <w:bCs/>
                <w:color w:val="0F0D29" w:themeColor="text1"/>
                <w:kern w:val="36"/>
                <w:sz w:val="20"/>
                <w:szCs w:val="20"/>
                <w:u w:val="none"/>
                <w:lang w:eastAsia="cs-CZ"/>
              </w:rPr>
              <w:t>zákonů</w:t>
            </w:r>
            <w:r w:rsidR="0096171C">
              <w:rPr>
                <w:rStyle w:val="Hypertextovodkaz"/>
                <w:rFonts w:asciiTheme="majorHAnsi" w:eastAsia="Times New Roman" w:hAnsiTheme="majorHAnsi" w:cstheme="majorHAnsi"/>
                <w:bCs/>
                <w:color w:val="0F0D29" w:themeColor="text1"/>
                <w:kern w:val="36"/>
                <w:sz w:val="20"/>
                <w:szCs w:val="20"/>
                <w:u w:val="none"/>
                <w:lang w:eastAsia="cs-CZ"/>
              </w:rPr>
              <w:t>ů</w:t>
            </w:r>
            <w:proofErr w:type="spellEnd"/>
          </w:p>
          <w:p w14:paraId="63A66484" w14:textId="37F3F0D2"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45)</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104/2013 Sb., o mezinárodní justiční spolupráci ve věcech trestních</w:t>
            </w:r>
          </w:p>
          <w:p w14:paraId="016B0CA6" w14:textId="246A8B59"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46)</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292/2013 Sb., o zvláštních řízeních soudních</w:t>
            </w:r>
          </w:p>
          <w:p w14:paraId="02D0F6FA" w14:textId="26708DC1"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47)</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355/2014 Sb., o působnosti orgánů Celní správy České republiky v souvislosti s vymáháním práv duševního vlastnictví</w:t>
            </w:r>
          </w:p>
          <w:p w14:paraId="259F90EA" w14:textId="46FAF656"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48)</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186/2016 Sb., o hazardních hrách</w:t>
            </w:r>
          </w:p>
          <w:p w14:paraId="758739E8" w14:textId="24C91730"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49)</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187/2016 Sb., o dani z hazardních her</w:t>
            </w:r>
          </w:p>
          <w:p w14:paraId="5FC5631E" w14:textId="13B5C7C3"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50)</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250/2016 Sb., o odpovědnosti za přestupky a řízení o nich</w:t>
            </w:r>
          </w:p>
          <w:p w14:paraId="32785270" w14:textId="3FBD3C69"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51)</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257/2016 Sb., o spotřebitelském úvěru</w:t>
            </w:r>
          </w:p>
          <w:p w14:paraId="4CFF52AD" w14:textId="59C3674D"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52)</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23/2017 Sb., o pravidlech rozpočtové odpovědnosti</w:t>
            </w:r>
          </w:p>
          <w:p w14:paraId="7A139554" w14:textId="385EE90A"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53)</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59/2017 Sb., o použití peněžních prostředků z majetkových trestních sankcí uložených v trestním řízení a o změně některých zákonů, </w:t>
            </w:r>
          </w:p>
          <w:p w14:paraId="5C54B997" w14:textId="2C1EE5F9"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54)</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370/2017 Sb., o platebním styku, ve znění pozdějších předpisů </w:t>
            </w:r>
          </w:p>
          <w:p w14:paraId="3960BC48" w14:textId="395F6CA2"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55)</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128/2022 Sb., o opatřeních v oblasti daní v souvislosti s ozbrojeným konfliktem na území Ukrajiny vyvolaným invazí vojsk Ruské federace, ve znění zákona č. 366/2022 Sb</w:t>
            </w:r>
            <w:r w:rsidR="00BC6C2A">
              <w:rPr>
                <w:rStyle w:val="Hypertextovodkaz"/>
                <w:rFonts w:asciiTheme="majorHAnsi" w:eastAsia="Times New Roman" w:hAnsiTheme="majorHAnsi" w:cstheme="majorHAnsi"/>
                <w:bCs/>
                <w:color w:val="0F0D29" w:themeColor="text1"/>
                <w:kern w:val="36"/>
                <w:sz w:val="20"/>
                <w:szCs w:val="20"/>
                <w:u w:val="none"/>
                <w:lang w:eastAsia="cs-CZ"/>
              </w:rPr>
              <w:t>.</w:t>
            </w:r>
          </w:p>
          <w:p w14:paraId="4F23FB9C" w14:textId="1CD749A9" w:rsidR="00252F73" w:rsidRP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56)</w:t>
            </w:r>
            <w:r w:rsidRPr="00252F73">
              <w:rPr>
                <w:rStyle w:val="Hypertextovodkaz"/>
                <w:rFonts w:asciiTheme="majorHAnsi" w:eastAsia="Times New Roman" w:hAnsiTheme="majorHAnsi" w:cstheme="majorHAnsi"/>
                <w:bCs/>
                <w:color w:val="0F0D29" w:themeColor="text1"/>
                <w:kern w:val="36"/>
                <w:sz w:val="20"/>
                <w:szCs w:val="20"/>
                <w:u w:val="none"/>
                <w:lang w:eastAsia="cs-CZ"/>
              </w:rPr>
              <w:tab/>
              <w:t xml:space="preserve">zákon č. 432/2022 Sb., kterým se mění 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w:t>
            </w:r>
          </w:p>
          <w:p w14:paraId="3E25BF47" w14:textId="3B5D7BF2" w:rsidR="00252F73" w:rsidRDefault="00252F73"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r w:rsidRPr="00252F73">
              <w:rPr>
                <w:rStyle w:val="Hypertextovodkaz"/>
                <w:rFonts w:asciiTheme="majorHAnsi" w:eastAsia="Times New Roman" w:hAnsiTheme="majorHAnsi" w:cstheme="majorHAnsi"/>
                <w:bCs/>
                <w:color w:val="0F0D29" w:themeColor="text1"/>
                <w:kern w:val="36"/>
                <w:sz w:val="20"/>
                <w:szCs w:val="20"/>
                <w:u w:val="none"/>
                <w:lang w:eastAsia="cs-CZ"/>
              </w:rPr>
              <w:t>57)</w:t>
            </w:r>
            <w:r w:rsidRPr="00252F73">
              <w:rPr>
                <w:rStyle w:val="Hypertextovodkaz"/>
                <w:rFonts w:asciiTheme="majorHAnsi" w:eastAsia="Times New Roman" w:hAnsiTheme="majorHAnsi" w:cstheme="majorHAnsi"/>
                <w:bCs/>
                <w:color w:val="0F0D29" w:themeColor="text1"/>
                <w:kern w:val="36"/>
                <w:sz w:val="20"/>
                <w:szCs w:val="20"/>
                <w:u w:val="none"/>
                <w:lang w:eastAsia="cs-CZ"/>
              </w:rPr>
              <w:tab/>
              <w:t>zákon č. …/2023 Sb., o preventivní restrukturalizaci (sněmovní tisk č. 371)</w:t>
            </w:r>
          </w:p>
          <w:p w14:paraId="0C68D73F" w14:textId="77777777" w:rsidR="00BC6C2A" w:rsidRPr="00E46109" w:rsidRDefault="00BC6C2A" w:rsidP="00252F73">
            <w:pPr>
              <w:pStyle w:val="Bezmezer"/>
              <w:spacing w:line="360" w:lineRule="auto"/>
              <w:jc w:val="both"/>
              <w:rPr>
                <w:rStyle w:val="Hypertextovodkaz"/>
                <w:rFonts w:asciiTheme="majorHAnsi" w:eastAsia="Times New Roman" w:hAnsiTheme="majorHAnsi" w:cstheme="majorHAnsi"/>
                <w:bCs/>
                <w:color w:val="0F0D29" w:themeColor="text1"/>
                <w:kern w:val="36"/>
                <w:sz w:val="20"/>
                <w:szCs w:val="20"/>
                <w:u w:val="none"/>
                <w:lang w:eastAsia="cs-CZ"/>
              </w:rPr>
            </w:pPr>
          </w:p>
          <w:p w14:paraId="4927E13B" w14:textId="0D893E4D" w:rsidR="00252F73" w:rsidRPr="005078C0" w:rsidRDefault="00252F73" w:rsidP="00252F73">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FÚ</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9F8777E" w14:textId="77777777" w:rsidR="00252F73" w:rsidRPr="005078C0" w:rsidRDefault="00252F73" w:rsidP="00252F73">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6C0CD531" w14:textId="77A2CB48" w:rsidR="00252F73" w:rsidRPr="005078C0" w:rsidRDefault="00252F73" w:rsidP="00252F73">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FÚ – Ing. Helena Hostková</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BC6C2A">
              <w:rPr>
                <w:rStyle w:val="Hypertextovodkaz"/>
                <w:rFonts w:ascii="Arial" w:eastAsia="Times New Roman" w:hAnsi="Arial" w:cs="Arial"/>
                <w:b/>
                <w:bCs/>
                <w:i/>
                <w:color w:val="0F0D29" w:themeColor="text1"/>
                <w:kern w:val="36"/>
                <w:sz w:val="20"/>
                <w:szCs w:val="20"/>
                <w:u w:val="none"/>
                <w:lang w:eastAsia="cs-CZ"/>
              </w:rPr>
              <w:t>30.6.2023</w:t>
            </w:r>
          </w:p>
          <w:p w14:paraId="6E3B5C6F" w14:textId="23090401" w:rsidR="00252F73" w:rsidRDefault="00252F73" w:rsidP="00932F08">
            <w:pPr>
              <w:pStyle w:val="Bezmezer"/>
              <w:tabs>
                <w:tab w:val="left" w:pos="6360"/>
              </w:tabs>
              <w:spacing w:line="360" w:lineRule="auto"/>
            </w:pPr>
          </w:p>
          <w:p w14:paraId="2BEB5722" w14:textId="7E7A72BD" w:rsidR="006402B1" w:rsidRDefault="006402B1" w:rsidP="00932F08">
            <w:pPr>
              <w:pStyle w:val="Bezmezer"/>
              <w:tabs>
                <w:tab w:val="left" w:pos="6360"/>
              </w:tabs>
              <w:spacing w:line="360" w:lineRule="auto"/>
            </w:pPr>
          </w:p>
          <w:p w14:paraId="3A90B020" w14:textId="5BC19204" w:rsidR="006402B1" w:rsidRDefault="006402B1" w:rsidP="00932F08">
            <w:pPr>
              <w:pStyle w:val="Bezmezer"/>
              <w:tabs>
                <w:tab w:val="left" w:pos="6360"/>
              </w:tabs>
              <w:spacing w:line="360" w:lineRule="auto"/>
            </w:pPr>
          </w:p>
          <w:p w14:paraId="2C0B8DDA" w14:textId="524DBB56" w:rsidR="006402B1" w:rsidRDefault="006402B1" w:rsidP="00932F08">
            <w:pPr>
              <w:pStyle w:val="Bezmezer"/>
              <w:tabs>
                <w:tab w:val="left" w:pos="6360"/>
              </w:tabs>
              <w:spacing w:line="360" w:lineRule="auto"/>
            </w:pPr>
          </w:p>
          <w:p w14:paraId="0B18B59A" w14:textId="4DFB82E0" w:rsidR="006402B1" w:rsidRDefault="006402B1" w:rsidP="00932F08">
            <w:pPr>
              <w:pStyle w:val="Bezmezer"/>
              <w:tabs>
                <w:tab w:val="left" w:pos="6360"/>
              </w:tabs>
              <w:spacing w:line="360" w:lineRule="auto"/>
            </w:pPr>
          </w:p>
          <w:p w14:paraId="44D8B27A" w14:textId="77777777" w:rsidR="006402B1" w:rsidRDefault="006402B1" w:rsidP="00932F08">
            <w:pPr>
              <w:pStyle w:val="Bezmezer"/>
              <w:tabs>
                <w:tab w:val="left" w:pos="6360"/>
              </w:tabs>
              <w:spacing w:line="360" w:lineRule="auto"/>
            </w:pPr>
          </w:p>
          <w:p w14:paraId="36210017" w14:textId="2A0227C9" w:rsidR="008623F0" w:rsidRPr="005C048D" w:rsidRDefault="008623F0" w:rsidP="008623F0">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8623F0">
              <w:rPr>
                <w:rStyle w:val="Hypertextovodkaz"/>
                <w:rFonts w:ascii="Arial" w:eastAsia="Times New Roman" w:hAnsi="Arial" w:cs="Arial"/>
                <w:b/>
                <w:bCs/>
                <w:color w:val="auto"/>
                <w:kern w:val="36"/>
                <w:sz w:val="24"/>
                <w:szCs w:val="24"/>
                <w:u w:val="none"/>
                <w:lang w:eastAsia="cs-CZ"/>
              </w:rPr>
              <w:lastRenderedPageBreak/>
              <w:t>Návrh vyhlášky, kterou se mění vyhláška č. 467/2022 Sb., o změně sazby základní náhrady za používání silničních motorových vozidel a stravného a o stanovení průměrné ceny pohonných hmot pro účely poskytování cestovních náhrad pro rok 2023, ve znění vyhlášky č. 85/2023 Sb.</w:t>
            </w:r>
            <w:r w:rsidR="001255F9">
              <w:rPr>
                <w:rStyle w:val="Hypertextovodkaz"/>
                <w:rFonts w:ascii="Arial" w:eastAsia="Times New Roman" w:hAnsi="Arial" w:cs="Arial"/>
                <w:b/>
                <w:bCs/>
                <w:color w:val="auto"/>
                <w:kern w:val="36"/>
                <w:sz w:val="24"/>
                <w:szCs w:val="24"/>
                <w:u w:val="none"/>
                <w:lang w:eastAsia="cs-CZ"/>
              </w:rPr>
              <w:pict w14:anchorId="35DE8F02">
                <v:rect id="_x0000_i1031" style="width:0;height:1.5pt" o:hralign="center" o:hrstd="t" o:hr="t" fillcolor="#a0a0a0" stroked="f"/>
              </w:pict>
            </w:r>
          </w:p>
          <w:p w14:paraId="497825E7" w14:textId="263E4BD0" w:rsidR="008623F0" w:rsidRDefault="008623F0" w:rsidP="008623F0">
            <w:pPr>
              <w:shd w:val="clear" w:color="auto" w:fill="FFFFFF"/>
              <w:jc w:val="right"/>
              <w:rPr>
                <w:rStyle w:val="Hypertextovodkaz"/>
                <w:rFonts w:asciiTheme="majorHAnsi" w:hAnsiTheme="majorHAnsi" w:cstheme="majorHAnsi"/>
                <w:b w:val="0"/>
                <w:bCs/>
                <w:color w:val="0F0D29" w:themeColor="text1"/>
                <w:kern w:val="36"/>
                <w:sz w:val="20"/>
                <w:szCs w:val="20"/>
                <w:u w:val="none"/>
                <w:lang w:eastAsia="cs-CZ"/>
              </w:rPr>
            </w:pPr>
            <w:r w:rsidRPr="008623F0">
              <w:rPr>
                <w:rStyle w:val="Hypertextovodkaz"/>
                <w:rFonts w:asciiTheme="majorHAnsi" w:eastAsia="Times New Roman" w:hAnsiTheme="majorHAnsi" w:cstheme="majorHAnsi"/>
                <w:b w:val="0"/>
                <w:bCs/>
                <w:color w:val="0F0D29" w:themeColor="text1"/>
                <w:kern w:val="36"/>
                <w:sz w:val="20"/>
                <w:szCs w:val="20"/>
                <w:u w:val="none"/>
                <w:lang w:eastAsia="cs-CZ"/>
              </w:rPr>
              <w:t xml:space="preserve">EKLEP </w:t>
            </w:r>
            <w:r w:rsidRPr="008623F0">
              <w:rPr>
                <w:rStyle w:val="Hypertextovodkaz"/>
                <w:rFonts w:asciiTheme="majorHAnsi" w:hAnsiTheme="majorHAnsi" w:cstheme="majorHAnsi"/>
                <w:b w:val="0"/>
                <w:bCs/>
                <w:color w:val="0F0D29" w:themeColor="text1"/>
                <w:kern w:val="36"/>
                <w:sz w:val="20"/>
                <w:szCs w:val="20"/>
                <w:u w:val="none"/>
                <w:lang w:eastAsia="cs-CZ"/>
              </w:rPr>
              <w:t>KORNCRYFARF9</w:t>
            </w:r>
          </w:p>
          <w:p w14:paraId="3EEF27A1" w14:textId="482FCD62" w:rsidR="008623F0" w:rsidRDefault="008623F0" w:rsidP="008623F0">
            <w:pPr>
              <w:shd w:val="clear" w:color="auto" w:fill="FFFFFF"/>
              <w:jc w:val="right"/>
              <w:rPr>
                <w:rStyle w:val="Hypertextovodkaz"/>
                <w:rFonts w:asciiTheme="majorHAnsi" w:hAnsiTheme="majorHAnsi" w:cstheme="majorHAnsi"/>
                <w:b w:val="0"/>
                <w:bCs/>
                <w:color w:val="0F0D29" w:themeColor="text1"/>
                <w:kern w:val="36"/>
                <w:sz w:val="20"/>
                <w:szCs w:val="20"/>
                <w:u w:val="none"/>
                <w:lang w:eastAsia="cs-CZ"/>
              </w:rPr>
            </w:pPr>
            <w:r>
              <w:rPr>
                <w:rStyle w:val="Hypertextovodkaz"/>
                <w:rFonts w:asciiTheme="majorHAnsi" w:hAnsiTheme="majorHAnsi" w:cstheme="majorHAnsi"/>
                <w:b w:val="0"/>
                <w:bCs/>
                <w:color w:val="0F0D29" w:themeColor="text1"/>
                <w:kern w:val="36"/>
                <w:sz w:val="20"/>
                <w:szCs w:val="20"/>
                <w:u w:val="none"/>
                <w:lang w:eastAsia="cs-CZ"/>
              </w:rPr>
              <w:t>Mezirezortní připomínkové řízení</w:t>
            </w:r>
          </w:p>
          <w:p w14:paraId="06813797" w14:textId="77777777" w:rsidR="008623F0" w:rsidRDefault="008623F0" w:rsidP="008623F0">
            <w:pPr>
              <w:shd w:val="clear" w:color="auto" w:fill="FFFFFF"/>
              <w:jc w:val="right"/>
              <w:rPr>
                <w:rStyle w:val="Hypertextovodkaz"/>
                <w:b w:val="0"/>
                <w:bCs/>
                <w:color w:val="0F0D29" w:themeColor="text1"/>
                <w:kern w:val="36"/>
                <w:lang w:eastAsia="cs-CZ"/>
              </w:rPr>
            </w:pPr>
          </w:p>
          <w:p w14:paraId="3668BC39" w14:textId="77777777" w:rsidR="008623F0" w:rsidRDefault="008623F0" w:rsidP="008623F0">
            <w:pPr>
              <w:pStyle w:val="Bezmezer"/>
              <w:spacing w:line="276" w:lineRule="auto"/>
              <w:rPr>
                <w:rFonts w:asciiTheme="majorHAnsi" w:eastAsia="Times New Roman" w:hAnsiTheme="majorHAnsi" w:cstheme="majorHAnsi"/>
                <w:sz w:val="20"/>
                <w:szCs w:val="20"/>
                <w:lang w:eastAsia="cs-CZ"/>
              </w:rPr>
            </w:pPr>
            <w:r w:rsidRPr="008623F0">
              <w:rPr>
                <w:rFonts w:asciiTheme="majorHAnsi" w:eastAsia="Times New Roman" w:hAnsiTheme="majorHAnsi" w:cstheme="majorHAnsi"/>
                <w:sz w:val="20"/>
                <w:szCs w:val="20"/>
                <w:lang w:eastAsia="cs-CZ"/>
              </w:rPr>
              <w:t>Návrh vyhlášky obsahuje mimořádnou aktualizaci průměrné ceny motorové nafty pro účely poskytování cestovních náhrad.</w:t>
            </w:r>
          </w:p>
          <w:p w14:paraId="6DD23C03" w14:textId="77777777" w:rsidR="008623F0" w:rsidRDefault="008623F0" w:rsidP="008623F0">
            <w:pPr>
              <w:pStyle w:val="Bezmezer"/>
              <w:spacing w:line="276" w:lineRule="auto"/>
              <w:rPr>
                <w:rFonts w:asciiTheme="majorHAnsi" w:hAnsiTheme="majorHAnsi" w:cstheme="majorHAnsi"/>
              </w:rPr>
            </w:pPr>
          </w:p>
          <w:p w14:paraId="5284400D" w14:textId="75E874CC" w:rsidR="008623F0" w:rsidRPr="005078C0" w:rsidRDefault="008623F0" w:rsidP="008623F0">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Na vědomí OŘLZ.</w:t>
            </w:r>
          </w:p>
          <w:p w14:paraId="24514C89" w14:textId="1FBBE038" w:rsidR="008623F0" w:rsidRDefault="008623F0" w:rsidP="00932F08">
            <w:pPr>
              <w:pStyle w:val="Bezmezer"/>
              <w:tabs>
                <w:tab w:val="left" w:pos="6360"/>
              </w:tabs>
              <w:spacing w:line="360" w:lineRule="auto"/>
            </w:pPr>
          </w:p>
          <w:p w14:paraId="77ECF0FD" w14:textId="1940EBD1" w:rsidR="0096171C" w:rsidRPr="005C048D" w:rsidRDefault="0096171C" w:rsidP="0096171C">
            <w:pPr>
              <w:pStyle w:val="Bezmezer"/>
              <w:spacing w:line="360" w:lineRule="auto"/>
              <w:jc w:val="center"/>
              <w:rPr>
                <w:rStyle w:val="Hypertextovodkaz"/>
                <w:rFonts w:ascii="Arial" w:eastAsia="Times New Roman" w:hAnsi="Arial" w:cs="Arial"/>
                <w:b/>
                <w:bCs/>
                <w:color w:val="auto"/>
                <w:kern w:val="36"/>
                <w:sz w:val="24"/>
                <w:szCs w:val="24"/>
                <w:u w:val="none"/>
                <w:lang w:eastAsia="cs-CZ"/>
              </w:rPr>
            </w:pPr>
            <w:r w:rsidRPr="0096171C">
              <w:rPr>
                <w:rStyle w:val="Hypertextovodkaz"/>
                <w:rFonts w:ascii="Arial" w:eastAsia="Times New Roman" w:hAnsi="Arial" w:cs="Arial"/>
                <w:b/>
                <w:bCs/>
                <w:color w:val="auto"/>
                <w:kern w:val="36"/>
                <w:sz w:val="24"/>
                <w:szCs w:val="24"/>
                <w:u w:val="none"/>
                <w:lang w:eastAsia="cs-CZ"/>
              </w:rPr>
              <w:t>Návrh vyhlášky, kterou se mění vyhláška č. 252/2004 Sb., kterou se stanoví hygienické požadavky na pitnou a teplou vodu a četnost a rozsah kontroly pitné vody, ve znění pozdějších předpisů</w:t>
            </w:r>
            <w:r w:rsidR="001255F9">
              <w:rPr>
                <w:rStyle w:val="Hypertextovodkaz"/>
                <w:rFonts w:ascii="Arial" w:eastAsia="Times New Roman" w:hAnsi="Arial" w:cs="Arial"/>
                <w:b/>
                <w:bCs/>
                <w:color w:val="auto"/>
                <w:kern w:val="36"/>
                <w:sz w:val="24"/>
                <w:szCs w:val="24"/>
                <w:u w:val="none"/>
                <w:lang w:eastAsia="cs-CZ"/>
              </w:rPr>
              <w:pict w14:anchorId="15A1B6C2">
                <v:rect id="_x0000_i1032" style="width:0;height:1.5pt" o:hralign="center" o:hrstd="t" o:hr="t" fillcolor="#a0a0a0" stroked="f"/>
              </w:pict>
            </w:r>
          </w:p>
          <w:p w14:paraId="57E602CF" w14:textId="0AD6B91E" w:rsidR="0096171C" w:rsidRDefault="0096171C" w:rsidP="0096171C">
            <w:pPr>
              <w:shd w:val="clear" w:color="auto" w:fill="FFFFFF"/>
              <w:jc w:val="right"/>
              <w:rPr>
                <w:rStyle w:val="Hypertextovodkaz"/>
                <w:rFonts w:asciiTheme="majorHAnsi" w:hAnsiTheme="majorHAnsi" w:cstheme="majorHAnsi"/>
                <w:b w:val="0"/>
                <w:bCs/>
                <w:color w:val="0F0D29" w:themeColor="text1"/>
                <w:kern w:val="36"/>
                <w:sz w:val="20"/>
                <w:szCs w:val="20"/>
                <w:u w:val="none"/>
                <w:lang w:eastAsia="cs-CZ"/>
              </w:rPr>
            </w:pPr>
            <w:r w:rsidRPr="008623F0">
              <w:rPr>
                <w:rStyle w:val="Hypertextovodkaz"/>
                <w:rFonts w:asciiTheme="majorHAnsi" w:eastAsia="Times New Roman" w:hAnsiTheme="majorHAnsi" w:cstheme="majorHAnsi"/>
                <w:b w:val="0"/>
                <w:bCs/>
                <w:color w:val="0F0D29" w:themeColor="text1"/>
                <w:kern w:val="36"/>
                <w:sz w:val="20"/>
                <w:szCs w:val="20"/>
                <w:u w:val="none"/>
                <w:lang w:eastAsia="cs-CZ"/>
              </w:rPr>
              <w:t xml:space="preserve">EKLEP </w:t>
            </w:r>
            <w:r w:rsidRPr="0096171C">
              <w:rPr>
                <w:rStyle w:val="Hypertextovodkaz"/>
                <w:rFonts w:asciiTheme="majorHAnsi" w:hAnsiTheme="majorHAnsi" w:cstheme="majorHAnsi"/>
                <w:b w:val="0"/>
                <w:bCs/>
                <w:color w:val="0F0D29" w:themeColor="text1"/>
                <w:kern w:val="36"/>
                <w:sz w:val="20"/>
                <w:szCs w:val="20"/>
                <w:u w:val="none"/>
                <w:lang w:eastAsia="cs-CZ"/>
              </w:rPr>
              <w:t>ALBSCS3H3BYQ</w:t>
            </w:r>
          </w:p>
          <w:p w14:paraId="2E06A46E" w14:textId="77777777" w:rsidR="0096171C" w:rsidRDefault="0096171C" w:rsidP="0096171C">
            <w:pPr>
              <w:shd w:val="clear" w:color="auto" w:fill="FFFFFF"/>
              <w:jc w:val="right"/>
              <w:rPr>
                <w:rStyle w:val="Hypertextovodkaz"/>
                <w:rFonts w:asciiTheme="majorHAnsi" w:hAnsiTheme="majorHAnsi" w:cstheme="majorHAnsi"/>
                <w:b w:val="0"/>
                <w:bCs/>
                <w:color w:val="0F0D29" w:themeColor="text1"/>
                <w:kern w:val="36"/>
                <w:sz w:val="20"/>
                <w:szCs w:val="20"/>
                <w:u w:val="none"/>
                <w:lang w:eastAsia="cs-CZ"/>
              </w:rPr>
            </w:pPr>
            <w:r>
              <w:rPr>
                <w:rStyle w:val="Hypertextovodkaz"/>
                <w:rFonts w:asciiTheme="majorHAnsi" w:hAnsiTheme="majorHAnsi" w:cstheme="majorHAnsi"/>
                <w:b w:val="0"/>
                <w:bCs/>
                <w:color w:val="0F0D29" w:themeColor="text1"/>
                <w:kern w:val="36"/>
                <w:sz w:val="20"/>
                <w:szCs w:val="20"/>
                <w:u w:val="none"/>
                <w:lang w:eastAsia="cs-CZ"/>
              </w:rPr>
              <w:t>Mezirezortní připomínkové řízení</w:t>
            </w:r>
          </w:p>
          <w:p w14:paraId="4FDED2A5" w14:textId="77777777" w:rsidR="0096171C" w:rsidRDefault="0096171C" w:rsidP="0096171C">
            <w:pPr>
              <w:shd w:val="clear" w:color="auto" w:fill="FFFFFF"/>
              <w:spacing w:line="360" w:lineRule="auto"/>
              <w:jc w:val="right"/>
              <w:rPr>
                <w:rStyle w:val="Hypertextovodkaz"/>
                <w:b w:val="0"/>
                <w:bCs/>
                <w:color w:val="0F0D29" w:themeColor="text1"/>
                <w:kern w:val="36"/>
                <w:lang w:eastAsia="cs-CZ"/>
              </w:rPr>
            </w:pPr>
          </w:p>
          <w:p w14:paraId="746BA79D" w14:textId="73BDAD7A" w:rsidR="0096171C" w:rsidRDefault="0096171C" w:rsidP="0096171C">
            <w:pPr>
              <w:pStyle w:val="Bezmezer"/>
              <w:spacing w:line="360" w:lineRule="auto"/>
              <w:jc w:val="both"/>
              <w:rPr>
                <w:rFonts w:asciiTheme="majorHAnsi" w:eastAsia="Times New Roman" w:hAnsiTheme="majorHAnsi" w:cstheme="majorHAnsi"/>
                <w:sz w:val="20"/>
                <w:szCs w:val="20"/>
                <w:lang w:eastAsia="cs-CZ"/>
              </w:rPr>
            </w:pPr>
            <w:r w:rsidRPr="0096171C">
              <w:rPr>
                <w:rFonts w:asciiTheme="majorHAnsi" w:eastAsia="Times New Roman" w:hAnsiTheme="majorHAnsi" w:cstheme="majorHAnsi"/>
                <w:sz w:val="20"/>
                <w:szCs w:val="20"/>
                <w:lang w:eastAsia="cs-CZ"/>
              </w:rPr>
              <w:t>Vyhláška je prováděcím předpisem k novele zákona č. 258/2000 Sb., o ochraně veřejného zdraví a o změně některých souvisejících zákonů, který je v současnosti v legislativním procesu jako sněmovní tisk č. 311.</w:t>
            </w:r>
            <w:r>
              <w:rPr>
                <w:rFonts w:asciiTheme="majorHAnsi" w:eastAsia="Times New Roman" w:hAnsiTheme="majorHAnsi" w:cstheme="majorHAnsi"/>
                <w:sz w:val="20"/>
                <w:szCs w:val="20"/>
                <w:lang w:eastAsia="cs-CZ"/>
              </w:rPr>
              <w:t xml:space="preserve"> </w:t>
            </w:r>
            <w:r w:rsidRPr="0096171C">
              <w:rPr>
                <w:rFonts w:asciiTheme="majorHAnsi" w:eastAsia="Times New Roman" w:hAnsiTheme="majorHAnsi" w:cstheme="majorHAnsi"/>
                <w:sz w:val="20"/>
                <w:szCs w:val="20"/>
                <w:lang w:eastAsia="cs-CZ"/>
              </w:rPr>
              <w:t>Cílem navržené novely je provedení povinné transpozice evropské směrnice č. 2020/2184 do národní legislativy ČR.</w:t>
            </w:r>
          </w:p>
          <w:p w14:paraId="4EB50486" w14:textId="77777777" w:rsidR="0096171C" w:rsidRDefault="0096171C" w:rsidP="0096171C">
            <w:pPr>
              <w:pStyle w:val="Bezmezer"/>
              <w:spacing w:line="276" w:lineRule="auto"/>
              <w:jc w:val="both"/>
              <w:rPr>
                <w:rFonts w:asciiTheme="majorHAnsi" w:hAnsiTheme="majorHAnsi" w:cstheme="majorHAnsi"/>
              </w:rPr>
            </w:pPr>
          </w:p>
          <w:p w14:paraId="7C85C405" w14:textId="7AC4F31D" w:rsidR="0096171C" w:rsidRPr="005078C0" w:rsidRDefault="0096171C" w:rsidP="0096171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OHSE</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32BDDE71" w14:textId="77777777" w:rsidR="0096171C" w:rsidRPr="005078C0" w:rsidRDefault="0096171C" w:rsidP="0096171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390B5ACF" w14:textId="0EDAF301" w:rsidR="0096171C" w:rsidRPr="005078C0" w:rsidRDefault="0096171C" w:rsidP="0096171C">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OHSE – Ing. Zdeněk Stejskal</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30.6.2023</w:t>
            </w:r>
          </w:p>
          <w:p w14:paraId="3A34C621" w14:textId="4843C9C3" w:rsidR="0096171C" w:rsidRDefault="0096171C" w:rsidP="00932F08">
            <w:pPr>
              <w:pStyle w:val="Bezmezer"/>
              <w:tabs>
                <w:tab w:val="left" w:pos="6360"/>
              </w:tabs>
              <w:spacing w:line="360" w:lineRule="auto"/>
            </w:pPr>
          </w:p>
          <w:p w14:paraId="6BA016B4" w14:textId="7793E190" w:rsidR="006402B1" w:rsidRDefault="006402B1" w:rsidP="00932F08">
            <w:pPr>
              <w:pStyle w:val="Bezmezer"/>
              <w:tabs>
                <w:tab w:val="left" w:pos="6360"/>
              </w:tabs>
              <w:spacing w:line="360" w:lineRule="auto"/>
            </w:pPr>
          </w:p>
          <w:p w14:paraId="7F4139FC" w14:textId="045A6F50" w:rsidR="006402B1" w:rsidRDefault="006402B1" w:rsidP="00932F08">
            <w:pPr>
              <w:pStyle w:val="Bezmezer"/>
              <w:tabs>
                <w:tab w:val="left" w:pos="6360"/>
              </w:tabs>
              <w:spacing w:line="360" w:lineRule="auto"/>
            </w:pPr>
          </w:p>
          <w:p w14:paraId="1C6CFFCB" w14:textId="1C9DDD46" w:rsidR="006402B1" w:rsidRDefault="006402B1" w:rsidP="00932F08">
            <w:pPr>
              <w:pStyle w:val="Bezmezer"/>
              <w:tabs>
                <w:tab w:val="left" w:pos="6360"/>
              </w:tabs>
              <w:spacing w:line="360" w:lineRule="auto"/>
            </w:pPr>
          </w:p>
          <w:p w14:paraId="6F3E87B1" w14:textId="4CE87328" w:rsidR="006402B1" w:rsidRDefault="006402B1" w:rsidP="00932F08">
            <w:pPr>
              <w:pStyle w:val="Bezmezer"/>
              <w:tabs>
                <w:tab w:val="left" w:pos="6360"/>
              </w:tabs>
              <w:spacing w:line="360" w:lineRule="auto"/>
            </w:pPr>
          </w:p>
          <w:p w14:paraId="0C96A811" w14:textId="0ABA422F" w:rsidR="006402B1" w:rsidRDefault="006402B1" w:rsidP="00932F08">
            <w:pPr>
              <w:pStyle w:val="Bezmezer"/>
              <w:tabs>
                <w:tab w:val="left" w:pos="6360"/>
              </w:tabs>
              <w:spacing w:line="360" w:lineRule="auto"/>
            </w:pPr>
          </w:p>
          <w:p w14:paraId="2689CCC8" w14:textId="0F81E7FB" w:rsidR="006402B1" w:rsidRDefault="006402B1" w:rsidP="00932F08">
            <w:pPr>
              <w:pStyle w:val="Bezmezer"/>
              <w:tabs>
                <w:tab w:val="left" w:pos="6360"/>
              </w:tabs>
              <w:spacing w:line="360" w:lineRule="auto"/>
            </w:pPr>
          </w:p>
          <w:p w14:paraId="05AD3B10" w14:textId="61BF9519" w:rsidR="006402B1" w:rsidRDefault="006402B1" w:rsidP="00932F08">
            <w:pPr>
              <w:pStyle w:val="Bezmezer"/>
              <w:tabs>
                <w:tab w:val="left" w:pos="6360"/>
              </w:tabs>
              <w:spacing w:line="360" w:lineRule="auto"/>
            </w:pPr>
          </w:p>
          <w:p w14:paraId="0DC7DA71" w14:textId="4713EC47" w:rsidR="006402B1" w:rsidRDefault="006402B1" w:rsidP="00932F08">
            <w:pPr>
              <w:pStyle w:val="Bezmezer"/>
              <w:tabs>
                <w:tab w:val="left" w:pos="6360"/>
              </w:tabs>
              <w:spacing w:line="360" w:lineRule="auto"/>
            </w:pPr>
          </w:p>
          <w:p w14:paraId="625C47B7" w14:textId="09383537" w:rsidR="006402B1" w:rsidRDefault="006402B1" w:rsidP="00932F08">
            <w:pPr>
              <w:pStyle w:val="Bezmezer"/>
              <w:tabs>
                <w:tab w:val="left" w:pos="6360"/>
              </w:tabs>
              <w:spacing w:line="360" w:lineRule="auto"/>
            </w:pPr>
          </w:p>
          <w:p w14:paraId="4C5E2A83" w14:textId="77777777" w:rsidR="006402B1" w:rsidRPr="00DA4CC0" w:rsidRDefault="006402B1" w:rsidP="00932F08">
            <w:pPr>
              <w:pStyle w:val="Bezmezer"/>
              <w:tabs>
                <w:tab w:val="left" w:pos="6360"/>
              </w:tabs>
              <w:spacing w:line="360" w:lineRule="auto"/>
            </w:pPr>
          </w:p>
          <w:p w14:paraId="148728CE" w14:textId="4E2D0EE5" w:rsidR="006F0138" w:rsidRPr="005078C0" w:rsidRDefault="006F0138" w:rsidP="006F0138">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Fonts w:ascii="Arial" w:hAnsi="Arial" w:cs="Arial"/>
                <w:b/>
                <w:color w:val="FFFFFF" w:themeColor="background1"/>
                <w:sz w:val="28"/>
                <w:szCs w:val="20"/>
              </w:rPr>
              <w:lastRenderedPageBreak/>
              <w:t>Stanoviska a judikatura</w:t>
            </w:r>
          </w:p>
          <w:p w14:paraId="69B8C916" w14:textId="77777777" w:rsidR="00205C10" w:rsidRDefault="00205C10" w:rsidP="00205C1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963ED72" w14:textId="5A783DD9" w:rsidR="00325E58" w:rsidRPr="002F5594" w:rsidRDefault="0054187B" w:rsidP="00325E5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Z</w:t>
            </w:r>
            <w:r w:rsidRPr="0054187B">
              <w:rPr>
                <w:rStyle w:val="Hypertextovodkaz"/>
                <w:rFonts w:ascii="Arial" w:eastAsia="Times New Roman" w:hAnsi="Arial" w:cs="Arial"/>
                <w:b/>
                <w:bCs/>
                <w:color w:val="0F0D29" w:themeColor="text1"/>
                <w:kern w:val="36"/>
                <w:sz w:val="24"/>
                <w:szCs w:val="20"/>
                <w:u w:val="none"/>
                <w:lang w:eastAsia="cs-CZ"/>
              </w:rPr>
              <w:t>rušení zadávacího řízení zadavatelem</w:t>
            </w:r>
            <w:r w:rsidR="001255F9">
              <w:rPr>
                <w:rStyle w:val="Hypertextovodkaz"/>
                <w:rFonts w:ascii="Arial" w:eastAsia="Times New Roman" w:hAnsi="Arial" w:cs="Arial"/>
                <w:b/>
                <w:bCs/>
                <w:color w:val="0F0D29" w:themeColor="text1"/>
                <w:kern w:val="36"/>
                <w:sz w:val="24"/>
                <w:szCs w:val="24"/>
                <w:u w:val="none"/>
                <w:lang w:eastAsia="cs-CZ"/>
              </w:rPr>
              <w:pict w14:anchorId="2602181E">
                <v:rect id="_x0000_i1033" style="width:0;height:1.5pt" o:hralign="center" o:hrstd="t" o:hr="t" fillcolor="#a0a0a0" stroked="f"/>
              </w:pict>
            </w:r>
          </w:p>
          <w:p w14:paraId="103767C5" w14:textId="42BE6B8B" w:rsidR="00325E58" w:rsidRDefault="00325E58" w:rsidP="00325E5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57EFABF4" w14:textId="20E84A44" w:rsidR="00325E58" w:rsidRDefault="0054187B" w:rsidP="00325E5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54187B">
              <w:rPr>
                <w:rStyle w:val="Hypertextovodkaz"/>
                <w:rFonts w:ascii="Arial" w:eastAsia="Times New Roman" w:hAnsi="Arial" w:cs="Arial"/>
                <w:bCs/>
                <w:color w:val="0F0D29" w:themeColor="text1"/>
                <w:kern w:val="36"/>
                <w:sz w:val="20"/>
                <w:szCs w:val="20"/>
                <w:u w:val="none"/>
                <w:lang w:eastAsia="cs-CZ"/>
              </w:rPr>
              <w:t>Nemá-li zadavatel jinou možnost nápravy vlastního nezákonného postupu v zadávacím řízení, je obecně vzato oprávněn zadávací řízení podle § 127 odst. 2 písm. d) zákona č. 134/2016 Sb., o zadávání veřejných zakázek, zrušit. Vodítkem pro určení, kdy porušení zákona zadavatelem dosáhne intenzity dostačující ke zrušení zadávacího řízení, je možnost uložení nápravného opatření ze strany Úřadu pro ochranu hospodářské soutěže (§ 263 odst. 2 citovaného zákona).</w:t>
            </w:r>
          </w:p>
          <w:p w14:paraId="0A75E1C2" w14:textId="77777777" w:rsidR="0054187B" w:rsidRDefault="0054187B" w:rsidP="00325E5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9F8B920" w14:textId="6E12FB93" w:rsidR="00325E58" w:rsidRDefault="00325E58" w:rsidP="00325E5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 xml:space="preserve">Na vědomí </w:t>
            </w:r>
            <w:r>
              <w:rPr>
                <w:rStyle w:val="Hypertextovodkaz"/>
                <w:rFonts w:ascii="Arial" w:eastAsia="Times New Roman" w:hAnsi="Arial" w:cs="Arial"/>
                <w:bCs/>
                <w:i/>
                <w:color w:val="0F0D29" w:themeColor="text1"/>
                <w:kern w:val="36"/>
                <w:sz w:val="20"/>
                <w:szCs w:val="20"/>
                <w:u w:val="none"/>
                <w:lang w:eastAsia="cs-CZ"/>
              </w:rPr>
              <w:t>POŘ</w:t>
            </w:r>
            <w:r w:rsidR="0054187B">
              <w:rPr>
                <w:rStyle w:val="Hypertextovodkaz"/>
                <w:rFonts w:ascii="Arial" w:eastAsia="Times New Roman" w:hAnsi="Arial" w:cs="Arial"/>
                <w:bCs/>
                <w:i/>
                <w:color w:val="0F0D29" w:themeColor="text1"/>
                <w:kern w:val="36"/>
                <w:sz w:val="20"/>
                <w:szCs w:val="20"/>
                <w:u w:val="none"/>
                <w:lang w:eastAsia="cs-CZ"/>
              </w:rPr>
              <w:t xml:space="preserve"> a OCN</w:t>
            </w:r>
            <w:r>
              <w:rPr>
                <w:rStyle w:val="Hypertextovodkaz"/>
                <w:rFonts w:ascii="Arial" w:eastAsia="Times New Roman" w:hAnsi="Arial" w:cs="Arial"/>
                <w:bCs/>
                <w:i/>
                <w:color w:val="0F0D29" w:themeColor="text1"/>
                <w:kern w:val="36"/>
                <w:sz w:val="20"/>
                <w:szCs w:val="20"/>
                <w:u w:val="none"/>
                <w:lang w:eastAsia="cs-CZ"/>
              </w:rPr>
              <w:t xml:space="preserve">. </w:t>
            </w:r>
          </w:p>
          <w:p w14:paraId="55E2F896" w14:textId="56EE5DD9" w:rsidR="00325E58" w:rsidRDefault="00325E58" w:rsidP="00325E58">
            <w:pPr>
              <w:tabs>
                <w:tab w:val="left" w:pos="3696"/>
              </w:tabs>
              <w:rPr>
                <w:rFonts w:ascii="Arial" w:eastAsia="Times New Roman" w:hAnsi="Arial" w:cs="Arial"/>
                <w:sz w:val="20"/>
                <w:szCs w:val="20"/>
                <w:lang w:eastAsia="cs-CZ"/>
              </w:rPr>
            </w:pPr>
          </w:p>
          <w:p w14:paraId="0E6B7CDA" w14:textId="15B8F2FD" w:rsidR="00DF09B8" w:rsidRPr="002F5594" w:rsidRDefault="00DF09B8" w:rsidP="00DF09B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Poskytnutí informací</w:t>
            </w:r>
            <w:r w:rsidR="001255F9">
              <w:rPr>
                <w:rStyle w:val="Hypertextovodkaz"/>
                <w:rFonts w:ascii="Arial" w:eastAsia="Times New Roman" w:hAnsi="Arial" w:cs="Arial"/>
                <w:b/>
                <w:bCs/>
                <w:color w:val="0F0D29" w:themeColor="text1"/>
                <w:kern w:val="36"/>
                <w:sz w:val="24"/>
                <w:szCs w:val="24"/>
                <w:u w:val="none"/>
                <w:lang w:eastAsia="cs-CZ"/>
              </w:rPr>
              <w:pict w14:anchorId="570C5025">
                <v:rect id="_x0000_i1034" style="width:0;height:1.5pt" o:hralign="center" o:hrstd="t" o:hr="t" fillcolor="#a0a0a0" stroked="f"/>
              </w:pict>
            </w:r>
          </w:p>
          <w:p w14:paraId="4CA16FC4" w14:textId="77777777" w:rsidR="00DF09B8" w:rsidRDefault="00DF09B8" w:rsidP="00DF09B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95A6A7C" w14:textId="3AD23141" w:rsidR="00DF09B8" w:rsidRDefault="00DF09B8" w:rsidP="00DF09B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DF09B8">
              <w:rPr>
                <w:rStyle w:val="Hypertextovodkaz"/>
                <w:rFonts w:ascii="Arial" w:eastAsia="Times New Roman" w:hAnsi="Arial" w:cs="Arial"/>
                <w:bCs/>
                <w:color w:val="0F0D29" w:themeColor="text1"/>
                <w:kern w:val="36"/>
                <w:sz w:val="20"/>
                <w:szCs w:val="20"/>
                <w:u w:val="none"/>
                <w:lang w:eastAsia="cs-CZ"/>
              </w:rPr>
              <w:t xml:space="preserve">Ve světle závěrů nálezu sp. zn. </w:t>
            </w:r>
            <w:proofErr w:type="spellStart"/>
            <w:r w:rsidRPr="00DF09B8">
              <w:rPr>
                <w:rStyle w:val="Hypertextovodkaz"/>
                <w:rFonts w:ascii="Arial" w:eastAsia="Times New Roman" w:hAnsi="Arial" w:cs="Arial"/>
                <w:bCs/>
                <w:color w:val="0F0D29" w:themeColor="text1"/>
                <w:kern w:val="36"/>
                <w:sz w:val="20"/>
                <w:szCs w:val="20"/>
                <w:u w:val="none"/>
                <w:lang w:eastAsia="cs-CZ"/>
              </w:rPr>
              <w:t>Pl</w:t>
            </w:r>
            <w:proofErr w:type="spellEnd"/>
            <w:r w:rsidRPr="00DF09B8">
              <w:rPr>
                <w:rStyle w:val="Hypertextovodkaz"/>
                <w:rFonts w:ascii="Arial" w:eastAsia="Times New Roman" w:hAnsi="Arial" w:cs="Arial"/>
                <w:bCs/>
                <w:color w:val="0F0D29" w:themeColor="text1"/>
                <w:kern w:val="36"/>
                <w:sz w:val="20"/>
                <w:szCs w:val="20"/>
                <w:u w:val="none"/>
                <w:lang w:eastAsia="cs-CZ"/>
              </w:rPr>
              <w:t>. ÚS 25/21 není důvodu, pro který by v případě, kdy Ústav zdravotnických informací a statistiky („ÚZIS“) aplikuje konkrétní zákonný důvod pro neposkytnutí informace (§ 73 odst. 7 či 8 zákona č. 372/2011 Sb., o zdravotních službách), neměl současně zvažovat, zda dotčená zákonná ochrana poskytnutá těmto údajům je v konkrétním případě skutečně proporcionální z hlediska nezbytného omezení práva na přístup k informacím. Nelze aplikovat předmětné ustanovení, není-li neposkytnutí informací navíc odůvodněno ochranou jiných konkurujících práv či hodnot. Zákonné výluky pro neposkytnutí informací v celé jejich šíři by měl ÚZIS aplikovat pouze v nezbytných případech, kdy na základě poměřování shledal pro neposkytnutí informací důvod v demokratické společnosti nezbytný k ochraně jiných konkurujících práv či hodnot (například veřejný zájem, veřejná bezpečnost, práva a svobody jiných apod.). ÚZIS je i obecně správním orgánem, který je povinen podle zákona č. 106/1999 Sb., o svobodném přístupu k informacím („informační zákon“) poskytnout informace, nebrání-li tomu ochrana zájmů jiných dotčených subjektů.</w:t>
            </w:r>
          </w:p>
          <w:p w14:paraId="2CB865CD" w14:textId="77777777" w:rsidR="00DF09B8" w:rsidRDefault="00DF09B8" w:rsidP="00DF09B8">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CB3FEBF" w14:textId="039C2CD2" w:rsidR="00DF09B8" w:rsidRDefault="00DF09B8" w:rsidP="00DF09B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 xml:space="preserve">Na vědomí </w:t>
            </w:r>
            <w:r>
              <w:rPr>
                <w:rStyle w:val="Hypertextovodkaz"/>
                <w:rFonts w:ascii="Arial" w:eastAsia="Times New Roman" w:hAnsi="Arial" w:cs="Arial"/>
                <w:bCs/>
                <w:i/>
                <w:color w:val="0F0D29" w:themeColor="text1"/>
                <w:kern w:val="36"/>
                <w:sz w:val="20"/>
                <w:szCs w:val="20"/>
                <w:u w:val="none"/>
                <w:lang w:eastAsia="cs-CZ"/>
              </w:rPr>
              <w:t xml:space="preserve">POŘ. </w:t>
            </w:r>
          </w:p>
          <w:p w14:paraId="119332B0" w14:textId="77777777" w:rsidR="00DF09B8" w:rsidRDefault="00DF09B8" w:rsidP="00325E58">
            <w:pPr>
              <w:tabs>
                <w:tab w:val="left" w:pos="3696"/>
              </w:tabs>
              <w:rPr>
                <w:rFonts w:ascii="Arial" w:eastAsia="Times New Roman" w:hAnsi="Arial" w:cs="Arial"/>
                <w:sz w:val="20"/>
                <w:szCs w:val="20"/>
                <w:lang w:eastAsia="cs-CZ"/>
              </w:rPr>
            </w:pPr>
          </w:p>
          <w:p w14:paraId="596794EE" w14:textId="07460440" w:rsidR="00CB1423" w:rsidRDefault="00CB1423" w:rsidP="00FE4C3F">
            <w:pPr>
              <w:tabs>
                <w:tab w:val="left" w:pos="3696"/>
              </w:tabs>
              <w:rPr>
                <w:rFonts w:ascii="Arial" w:eastAsia="Times New Roman" w:hAnsi="Arial" w:cs="Arial"/>
                <w:sz w:val="20"/>
                <w:szCs w:val="20"/>
                <w:lang w:eastAsia="cs-CZ"/>
              </w:rPr>
            </w:pPr>
          </w:p>
          <w:p w14:paraId="710E2DBD" w14:textId="0D4213C8" w:rsidR="00CB1423" w:rsidRPr="00A81EDF" w:rsidRDefault="00CB1423" w:rsidP="00DF09B8">
            <w:pPr>
              <w:tabs>
                <w:tab w:val="left" w:pos="3696"/>
              </w:tabs>
              <w:rPr>
                <w:rFonts w:ascii="Arial" w:eastAsia="Times New Roman" w:hAnsi="Arial" w:cs="Arial"/>
                <w:bCs/>
                <w:color w:val="0F0D29" w:themeColor="text1"/>
                <w:kern w:val="36"/>
                <w:sz w:val="20"/>
                <w:szCs w:val="20"/>
                <w:lang w:eastAsia="cs-CZ"/>
              </w:rPr>
            </w:pPr>
          </w:p>
        </w:tc>
      </w:tr>
      <w:tr w:rsidR="00F75ED7" w:rsidRPr="005078C0" w14:paraId="68237412" w14:textId="77777777" w:rsidTr="00DA4CC0">
        <w:trPr>
          <w:trHeight w:val="5931"/>
        </w:trPr>
        <w:tc>
          <w:tcPr>
            <w:tcW w:w="9923" w:type="dxa"/>
            <w:shd w:val="clear" w:color="auto" w:fill="auto"/>
          </w:tcPr>
          <w:p w14:paraId="30AC96D7" w14:textId="26E38325" w:rsidR="008B5919" w:rsidRPr="006402B1" w:rsidRDefault="008B5919" w:rsidP="006402B1">
            <w:pPr>
              <w:spacing w:line="360" w:lineRule="auto"/>
              <w:jc w:val="both"/>
              <w:rPr>
                <w:rFonts w:ascii="Arial" w:hAnsi="Arial" w:cs="Arial"/>
                <w:color w:val="0F0D29" w:themeColor="text1"/>
              </w:rPr>
            </w:pPr>
          </w:p>
        </w:tc>
      </w:tr>
    </w:tbl>
    <w:p w14:paraId="36AC9AAC" w14:textId="5478FA9A" w:rsidR="00457844" w:rsidRPr="00E4461E" w:rsidRDefault="00457844" w:rsidP="006402B1">
      <w:pPr>
        <w:pStyle w:val="Bezmezer"/>
        <w:spacing w:line="360" w:lineRule="auto"/>
        <w:jc w:val="both"/>
        <w:rPr>
          <w:rStyle w:val="Hypertextovodkaz"/>
          <w:rFonts w:ascii="Arial" w:eastAsia="Times New Roman" w:hAnsi="Arial" w:cs="Arial"/>
          <w:b/>
          <w:color w:val="0F0D29" w:themeColor="text1"/>
          <w:kern w:val="36"/>
          <w:sz w:val="20"/>
          <w:szCs w:val="20"/>
          <w:u w:val="none"/>
          <w:lang w:eastAsia="cs-CZ"/>
        </w:rPr>
      </w:pPr>
    </w:p>
    <w:sectPr w:rsidR="00457844" w:rsidRPr="00E4461E" w:rsidSect="00AB02A7">
      <w:headerReference w:type="default" r:id="rId10"/>
      <w:footerReference w:type="default" r:id="rId11"/>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A264" w14:textId="77777777" w:rsidR="00A6323B" w:rsidRDefault="00A6323B">
      <w:r>
        <w:separator/>
      </w:r>
    </w:p>
    <w:p w14:paraId="1343CFB7" w14:textId="77777777" w:rsidR="00A6323B" w:rsidRDefault="00A6323B"/>
  </w:endnote>
  <w:endnote w:type="continuationSeparator" w:id="0">
    <w:p w14:paraId="0FEAC19C" w14:textId="77777777" w:rsidR="00A6323B" w:rsidRDefault="00A6323B">
      <w:r>
        <w:continuationSeparator/>
      </w:r>
    </w:p>
    <w:p w14:paraId="3C1229CE" w14:textId="77777777" w:rsidR="00A6323B" w:rsidRDefault="00A63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EndPr/>
    <w:sdtContent>
      <w:p w14:paraId="316DA8A2" w14:textId="37EC1B35"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6F0138">
          <w:rPr>
            <w:rFonts w:ascii="Arial" w:hAnsi="Arial" w:cs="Arial"/>
            <w:b w:val="0"/>
            <w:bCs/>
            <w:noProof/>
            <w:color w:val="0F0D29" w:themeColor="text1"/>
            <w:sz w:val="20"/>
            <w:szCs w:val="20"/>
            <w:lang w:bidi="cs-CZ"/>
          </w:rPr>
          <w:t>7</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69BA" w14:textId="77777777" w:rsidR="00A6323B" w:rsidRDefault="00A6323B">
      <w:r>
        <w:separator/>
      </w:r>
    </w:p>
    <w:p w14:paraId="724FD62A" w14:textId="77777777" w:rsidR="00A6323B" w:rsidRDefault="00A6323B"/>
  </w:footnote>
  <w:footnote w:type="continuationSeparator" w:id="0">
    <w:p w14:paraId="28D33258" w14:textId="77777777" w:rsidR="00A6323B" w:rsidRDefault="00A6323B">
      <w:r>
        <w:continuationSeparator/>
      </w:r>
    </w:p>
    <w:p w14:paraId="493F256C" w14:textId="77777777" w:rsidR="00A6323B" w:rsidRDefault="00A63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1" w15:restartNumberingAfterBreak="0">
    <w:nsid w:val="1047188D"/>
    <w:multiLevelType w:val="hybridMultilevel"/>
    <w:tmpl w:val="8F0E929C"/>
    <w:lvl w:ilvl="0" w:tplc="E8D2594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18517E1B"/>
    <w:multiLevelType w:val="hybridMultilevel"/>
    <w:tmpl w:val="EA00923E"/>
    <w:lvl w:ilvl="0" w:tplc="5BCADAF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AB2B57"/>
    <w:multiLevelType w:val="hybridMultilevel"/>
    <w:tmpl w:val="C1E2833A"/>
    <w:lvl w:ilvl="0" w:tplc="6E1817F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EFD4B28"/>
    <w:multiLevelType w:val="hybridMultilevel"/>
    <w:tmpl w:val="8A16CD9E"/>
    <w:lvl w:ilvl="0" w:tplc="5CC2D25C">
      <w:start w:val="1"/>
      <w:numFmt w:val="bullet"/>
      <w:lvlText w:val="-"/>
      <w:lvlJc w:val="left"/>
      <w:pPr>
        <w:ind w:left="720" w:hanging="360"/>
      </w:pPr>
      <w:rPr>
        <w:rFonts w:ascii="Tahoma" w:eastAsia="Calibr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40484290"/>
    <w:multiLevelType w:val="hybridMultilevel"/>
    <w:tmpl w:val="168A0AB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7D5932"/>
    <w:multiLevelType w:val="hybridMultilevel"/>
    <w:tmpl w:val="56F43D5C"/>
    <w:lvl w:ilvl="0" w:tplc="5BCADAF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9231A78"/>
    <w:multiLevelType w:val="hybridMultilevel"/>
    <w:tmpl w:val="D97AD238"/>
    <w:lvl w:ilvl="0" w:tplc="520E3F0A">
      <w:start w:val="1"/>
      <w:numFmt w:val="bullet"/>
      <w:lvlText w:val=""/>
      <w:lvlJc w:val="left"/>
      <w:pPr>
        <w:ind w:left="786" w:hanging="360"/>
      </w:pPr>
      <w:rPr>
        <w:rFonts w:ascii="Wingdings" w:hAnsi="Wingdings" w:hint="default"/>
        <w:color w:val="0F0D29" w:themeColor="text1"/>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9"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0" w15:restartNumberingAfterBreak="0">
    <w:nsid w:val="7A707EBE"/>
    <w:multiLevelType w:val="hybridMultilevel"/>
    <w:tmpl w:val="21481C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5781493">
    <w:abstractNumId w:val="7"/>
  </w:num>
  <w:num w:numId="2" w16cid:durableId="1234467224">
    <w:abstractNumId w:val="5"/>
  </w:num>
  <w:num w:numId="3" w16cid:durableId="1316882545">
    <w:abstractNumId w:val="0"/>
  </w:num>
  <w:num w:numId="4" w16cid:durableId="1408501083">
    <w:abstractNumId w:val="9"/>
  </w:num>
  <w:num w:numId="5" w16cid:durableId="1987006562">
    <w:abstractNumId w:val="8"/>
  </w:num>
  <w:num w:numId="6" w16cid:durableId="1453748572">
    <w:abstractNumId w:val="2"/>
  </w:num>
  <w:num w:numId="7" w16cid:durableId="1505437701">
    <w:abstractNumId w:val="10"/>
  </w:num>
  <w:num w:numId="8" w16cid:durableId="1461268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8638075">
    <w:abstractNumId w:val="4"/>
  </w:num>
  <w:num w:numId="10" w16cid:durableId="316570583">
    <w:abstractNumId w:val="1"/>
  </w:num>
  <w:num w:numId="11" w16cid:durableId="1930389362">
    <w:abstractNumId w:val="6"/>
  </w:num>
  <w:num w:numId="12" w16cid:durableId="166604650">
    <w:abstractNumId w:val="3"/>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52"/>
    <w:rsid w:val="000020DA"/>
    <w:rsid w:val="0000575E"/>
    <w:rsid w:val="00005E9F"/>
    <w:rsid w:val="00021BDB"/>
    <w:rsid w:val="0002482E"/>
    <w:rsid w:val="00027A0F"/>
    <w:rsid w:val="000304BF"/>
    <w:rsid w:val="000340BB"/>
    <w:rsid w:val="00043884"/>
    <w:rsid w:val="00045505"/>
    <w:rsid w:val="00045D16"/>
    <w:rsid w:val="000472DA"/>
    <w:rsid w:val="00047C36"/>
    <w:rsid w:val="00050324"/>
    <w:rsid w:val="00057254"/>
    <w:rsid w:val="0007061F"/>
    <w:rsid w:val="0007093B"/>
    <w:rsid w:val="00080627"/>
    <w:rsid w:val="00080BF6"/>
    <w:rsid w:val="00090ADC"/>
    <w:rsid w:val="00094F88"/>
    <w:rsid w:val="000954E9"/>
    <w:rsid w:val="000A0150"/>
    <w:rsid w:val="000A0BCC"/>
    <w:rsid w:val="000A19F5"/>
    <w:rsid w:val="000A4141"/>
    <w:rsid w:val="000B31AD"/>
    <w:rsid w:val="000B43A3"/>
    <w:rsid w:val="000C0C48"/>
    <w:rsid w:val="000C2615"/>
    <w:rsid w:val="000C427A"/>
    <w:rsid w:val="000C53CA"/>
    <w:rsid w:val="000C6B8E"/>
    <w:rsid w:val="000C6CC9"/>
    <w:rsid w:val="000E1ADD"/>
    <w:rsid w:val="000E2BBE"/>
    <w:rsid w:val="000E63C9"/>
    <w:rsid w:val="000E795D"/>
    <w:rsid w:val="000F5AD4"/>
    <w:rsid w:val="000F5BA6"/>
    <w:rsid w:val="00101083"/>
    <w:rsid w:val="001018E2"/>
    <w:rsid w:val="00111A4A"/>
    <w:rsid w:val="001168AA"/>
    <w:rsid w:val="001255F9"/>
    <w:rsid w:val="00127DCB"/>
    <w:rsid w:val="00130E9D"/>
    <w:rsid w:val="00140D0B"/>
    <w:rsid w:val="00142E9F"/>
    <w:rsid w:val="00144F93"/>
    <w:rsid w:val="0014703E"/>
    <w:rsid w:val="00150A6D"/>
    <w:rsid w:val="001559DF"/>
    <w:rsid w:val="00157531"/>
    <w:rsid w:val="00160DC8"/>
    <w:rsid w:val="001625EE"/>
    <w:rsid w:val="0016474D"/>
    <w:rsid w:val="00167935"/>
    <w:rsid w:val="00170060"/>
    <w:rsid w:val="00177623"/>
    <w:rsid w:val="0018012A"/>
    <w:rsid w:val="001822B6"/>
    <w:rsid w:val="00185B35"/>
    <w:rsid w:val="00187880"/>
    <w:rsid w:val="00196F8A"/>
    <w:rsid w:val="00197363"/>
    <w:rsid w:val="001A0DC1"/>
    <w:rsid w:val="001A0EC5"/>
    <w:rsid w:val="001A6DA8"/>
    <w:rsid w:val="001B5353"/>
    <w:rsid w:val="001B54B1"/>
    <w:rsid w:val="001D7152"/>
    <w:rsid w:val="001E048A"/>
    <w:rsid w:val="001E4C6C"/>
    <w:rsid w:val="001E64EB"/>
    <w:rsid w:val="001F081B"/>
    <w:rsid w:val="001F2ABE"/>
    <w:rsid w:val="001F2BC8"/>
    <w:rsid w:val="001F5F6B"/>
    <w:rsid w:val="00201B03"/>
    <w:rsid w:val="002052FB"/>
    <w:rsid w:val="00205C10"/>
    <w:rsid w:val="00214F9E"/>
    <w:rsid w:val="00220164"/>
    <w:rsid w:val="00220C5B"/>
    <w:rsid w:val="0022100C"/>
    <w:rsid w:val="00221893"/>
    <w:rsid w:val="002234C9"/>
    <w:rsid w:val="00226DB6"/>
    <w:rsid w:val="00234F1D"/>
    <w:rsid w:val="0023620D"/>
    <w:rsid w:val="00237420"/>
    <w:rsid w:val="00240052"/>
    <w:rsid w:val="002419B4"/>
    <w:rsid w:val="00243EBC"/>
    <w:rsid w:val="002452D2"/>
    <w:rsid w:val="00246A35"/>
    <w:rsid w:val="00252F73"/>
    <w:rsid w:val="00261F3A"/>
    <w:rsid w:val="00262E16"/>
    <w:rsid w:val="002673EB"/>
    <w:rsid w:val="00270CA7"/>
    <w:rsid w:val="00283722"/>
    <w:rsid w:val="00284348"/>
    <w:rsid w:val="00285D32"/>
    <w:rsid w:val="002867AA"/>
    <w:rsid w:val="0029544A"/>
    <w:rsid w:val="002A5582"/>
    <w:rsid w:val="002A7630"/>
    <w:rsid w:val="002A7B59"/>
    <w:rsid w:val="002A7D57"/>
    <w:rsid w:val="002B714E"/>
    <w:rsid w:val="002E068A"/>
    <w:rsid w:val="002E61AB"/>
    <w:rsid w:val="002F0D61"/>
    <w:rsid w:val="002F352C"/>
    <w:rsid w:val="002F51F5"/>
    <w:rsid w:val="002F5594"/>
    <w:rsid w:val="002F6DF2"/>
    <w:rsid w:val="00310247"/>
    <w:rsid w:val="00312137"/>
    <w:rsid w:val="00313BA5"/>
    <w:rsid w:val="00325E58"/>
    <w:rsid w:val="00330359"/>
    <w:rsid w:val="00333529"/>
    <w:rsid w:val="00334605"/>
    <w:rsid w:val="003369D3"/>
    <w:rsid w:val="0033762F"/>
    <w:rsid w:val="00337ABE"/>
    <w:rsid w:val="0034183A"/>
    <w:rsid w:val="00341F21"/>
    <w:rsid w:val="00344A05"/>
    <w:rsid w:val="00355AF2"/>
    <w:rsid w:val="00360494"/>
    <w:rsid w:val="00361BA9"/>
    <w:rsid w:val="00366C7E"/>
    <w:rsid w:val="00366FC0"/>
    <w:rsid w:val="00372A73"/>
    <w:rsid w:val="00382E1F"/>
    <w:rsid w:val="00384EA3"/>
    <w:rsid w:val="003A39A1"/>
    <w:rsid w:val="003A3D7A"/>
    <w:rsid w:val="003C1F55"/>
    <w:rsid w:val="003C2191"/>
    <w:rsid w:val="003C4763"/>
    <w:rsid w:val="003C6F49"/>
    <w:rsid w:val="003D3863"/>
    <w:rsid w:val="003D5145"/>
    <w:rsid w:val="003F7659"/>
    <w:rsid w:val="00404C9B"/>
    <w:rsid w:val="004065E3"/>
    <w:rsid w:val="004110DE"/>
    <w:rsid w:val="00411A05"/>
    <w:rsid w:val="004325C8"/>
    <w:rsid w:val="00433509"/>
    <w:rsid w:val="004344BA"/>
    <w:rsid w:val="0043631E"/>
    <w:rsid w:val="004405C5"/>
    <w:rsid w:val="0044085A"/>
    <w:rsid w:val="00444FD9"/>
    <w:rsid w:val="00446F61"/>
    <w:rsid w:val="004539F3"/>
    <w:rsid w:val="00453C17"/>
    <w:rsid w:val="00454469"/>
    <w:rsid w:val="004571BE"/>
    <w:rsid w:val="00457844"/>
    <w:rsid w:val="004579C9"/>
    <w:rsid w:val="004646E1"/>
    <w:rsid w:val="004709CD"/>
    <w:rsid w:val="0047577B"/>
    <w:rsid w:val="00475E5C"/>
    <w:rsid w:val="0049783A"/>
    <w:rsid w:val="004B005C"/>
    <w:rsid w:val="004B21A5"/>
    <w:rsid w:val="004B2C1D"/>
    <w:rsid w:val="004C05F3"/>
    <w:rsid w:val="004D39AC"/>
    <w:rsid w:val="004F0B76"/>
    <w:rsid w:val="004F5618"/>
    <w:rsid w:val="005037F0"/>
    <w:rsid w:val="005054D5"/>
    <w:rsid w:val="005078C0"/>
    <w:rsid w:val="00514577"/>
    <w:rsid w:val="00516A86"/>
    <w:rsid w:val="00521069"/>
    <w:rsid w:val="0052653B"/>
    <w:rsid w:val="005275F6"/>
    <w:rsid w:val="00532EB6"/>
    <w:rsid w:val="005337A5"/>
    <w:rsid w:val="00537168"/>
    <w:rsid w:val="005412CE"/>
    <w:rsid w:val="0054187B"/>
    <w:rsid w:val="00560334"/>
    <w:rsid w:val="005637F4"/>
    <w:rsid w:val="00565D89"/>
    <w:rsid w:val="005700DE"/>
    <w:rsid w:val="00572102"/>
    <w:rsid w:val="005721FE"/>
    <w:rsid w:val="0058396E"/>
    <w:rsid w:val="0058525A"/>
    <w:rsid w:val="005A405A"/>
    <w:rsid w:val="005A623B"/>
    <w:rsid w:val="005B0434"/>
    <w:rsid w:val="005B3D0D"/>
    <w:rsid w:val="005C0086"/>
    <w:rsid w:val="005C048D"/>
    <w:rsid w:val="005C3DFE"/>
    <w:rsid w:val="005C72CD"/>
    <w:rsid w:val="005D3817"/>
    <w:rsid w:val="005E1BAB"/>
    <w:rsid w:val="005E4904"/>
    <w:rsid w:val="005F1BB0"/>
    <w:rsid w:val="005F1F37"/>
    <w:rsid w:val="005F4E93"/>
    <w:rsid w:val="00610BF6"/>
    <w:rsid w:val="006142F4"/>
    <w:rsid w:val="00616648"/>
    <w:rsid w:val="00617A67"/>
    <w:rsid w:val="0062116E"/>
    <w:rsid w:val="00623626"/>
    <w:rsid w:val="00625270"/>
    <w:rsid w:val="00630128"/>
    <w:rsid w:val="006402B1"/>
    <w:rsid w:val="00642F78"/>
    <w:rsid w:val="00644DD2"/>
    <w:rsid w:val="00651663"/>
    <w:rsid w:val="00651780"/>
    <w:rsid w:val="00652171"/>
    <w:rsid w:val="0065503C"/>
    <w:rsid w:val="00656C4D"/>
    <w:rsid w:val="00657864"/>
    <w:rsid w:val="00660E12"/>
    <w:rsid w:val="0066776E"/>
    <w:rsid w:val="00680248"/>
    <w:rsid w:val="0069077B"/>
    <w:rsid w:val="00691C67"/>
    <w:rsid w:val="00694EBE"/>
    <w:rsid w:val="006A077B"/>
    <w:rsid w:val="006A21D5"/>
    <w:rsid w:val="006A2953"/>
    <w:rsid w:val="006A4215"/>
    <w:rsid w:val="006A4542"/>
    <w:rsid w:val="006A4E78"/>
    <w:rsid w:val="006A5A4D"/>
    <w:rsid w:val="006B1771"/>
    <w:rsid w:val="006B33F6"/>
    <w:rsid w:val="006C0197"/>
    <w:rsid w:val="006C147A"/>
    <w:rsid w:val="006C166A"/>
    <w:rsid w:val="006C458E"/>
    <w:rsid w:val="006D2230"/>
    <w:rsid w:val="006D5B87"/>
    <w:rsid w:val="006D797C"/>
    <w:rsid w:val="006E225F"/>
    <w:rsid w:val="006E4475"/>
    <w:rsid w:val="006E530F"/>
    <w:rsid w:val="006E5716"/>
    <w:rsid w:val="006E5B8D"/>
    <w:rsid w:val="006E713B"/>
    <w:rsid w:val="006F0138"/>
    <w:rsid w:val="006F1F17"/>
    <w:rsid w:val="006F3D1A"/>
    <w:rsid w:val="006F41EA"/>
    <w:rsid w:val="006F790F"/>
    <w:rsid w:val="006F7A2A"/>
    <w:rsid w:val="006F7ADA"/>
    <w:rsid w:val="006F7E18"/>
    <w:rsid w:val="00701CC1"/>
    <w:rsid w:val="007055E5"/>
    <w:rsid w:val="00706AC0"/>
    <w:rsid w:val="0071777B"/>
    <w:rsid w:val="007237A1"/>
    <w:rsid w:val="00723E3F"/>
    <w:rsid w:val="007274B3"/>
    <w:rsid w:val="007302B3"/>
    <w:rsid w:val="00730733"/>
    <w:rsid w:val="00730C65"/>
    <w:rsid w:val="00730E3A"/>
    <w:rsid w:val="00735EAB"/>
    <w:rsid w:val="00736AAF"/>
    <w:rsid w:val="00742128"/>
    <w:rsid w:val="00756BA5"/>
    <w:rsid w:val="00765B2A"/>
    <w:rsid w:val="00770314"/>
    <w:rsid w:val="00780112"/>
    <w:rsid w:val="00782B2D"/>
    <w:rsid w:val="00783A34"/>
    <w:rsid w:val="00787D8A"/>
    <w:rsid w:val="0079780B"/>
    <w:rsid w:val="007A38DC"/>
    <w:rsid w:val="007A5D12"/>
    <w:rsid w:val="007B360B"/>
    <w:rsid w:val="007C19BC"/>
    <w:rsid w:val="007C4877"/>
    <w:rsid w:val="007C6B52"/>
    <w:rsid w:val="007C7E90"/>
    <w:rsid w:val="007D083D"/>
    <w:rsid w:val="007D16C5"/>
    <w:rsid w:val="007E06C5"/>
    <w:rsid w:val="007E4EC7"/>
    <w:rsid w:val="008070BF"/>
    <w:rsid w:val="00810E13"/>
    <w:rsid w:val="00815900"/>
    <w:rsid w:val="00820160"/>
    <w:rsid w:val="00824CAE"/>
    <w:rsid w:val="00825113"/>
    <w:rsid w:val="008264C3"/>
    <w:rsid w:val="00834F4E"/>
    <w:rsid w:val="00847AEC"/>
    <w:rsid w:val="008508DD"/>
    <w:rsid w:val="008602AE"/>
    <w:rsid w:val="008623F0"/>
    <w:rsid w:val="00862FE4"/>
    <w:rsid w:val="0086389A"/>
    <w:rsid w:val="00874D16"/>
    <w:rsid w:val="0087605E"/>
    <w:rsid w:val="00886540"/>
    <w:rsid w:val="00887789"/>
    <w:rsid w:val="008B1FEE"/>
    <w:rsid w:val="008B28D1"/>
    <w:rsid w:val="008B3184"/>
    <w:rsid w:val="008B5919"/>
    <w:rsid w:val="008B68A9"/>
    <w:rsid w:val="008C718E"/>
    <w:rsid w:val="008E3CAD"/>
    <w:rsid w:val="008E5AEF"/>
    <w:rsid w:val="008F5FFF"/>
    <w:rsid w:val="00901622"/>
    <w:rsid w:val="00902DCC"/>
    <w:rsid w:val="00903C32"/>
    <w:rsid w:val="00907BCC"/>
    <w:rsid w:val="00910407"/>
    <w:rsid w:val="00911671"/>
    <w:rsid w:val="00916B16"/>
    <w:rsid w:val="00916FC4"/>
    <w:rsid w:val="009173B9"/>
    <w:rsid w:val="009217FA"/>
    <w:rsid w:val="0092437E"/>
    <w:rsid w:val="00932282"/>
    <w:rsid w:val="00932F08"/>
    <w:rsid w:val="0093335D"/>
    <w:rsid w:val="0093613E"/>
    <w:rsid w:val="00943026"/>
    <w:rsid w:val="00945560"/>
    <w:rsid w:val="00947FBA"/>
    <w:rsid w:val="00953AD4"/>
    <w:rsid w:val="0096171C"/>
    <w:rsid w:val="0096395A"/>
    <w:rsid w:val="009639B4"/>
    <w:rsid w:val="0096686C"/>
    <w:rsid w:val="00966B81"/>
    <w:rsid w:val="00966F7F"/>
    <w:rsid w:val="00977406"/>
    <w:rsid w:val="0098645D"/>
    <w:rsid w:val="009869D0"/>
    <w:rsid w:val="009915F2"/>
    <w:rsid w:val="00995144"/>
    <w:rsid w:val="009974C0"/>
    <w:rsid w:val="009A17AB"/>
    <w:rsid w:val="009A2896"/>
    <w:rsid w:val="009B25AE"/>
    <w:rsid w:val="009C34EB"/>
    <w:rsid w:val="009C5F59"/>
    <w:rsid w:val="009C7720"/>
    <w:rsid w:val="009D3610"/>
    <w:rsid w:val="009D44EB"/>
    <w:rsid w:val="009E5DD7"/>
    <w:rsid w:val="009F2434"/>
    <w:rsid w:val="009F3BD4"/>
    <w:rsid w:val="009F755C"/>
    <w:rsid w:val="00A00B09"/>
    <w:rsid w:val="00A02DB7"/>
    <w:rsid w:val="00A04739"/>
    <w:rsid w:val="00A0491A"/>
    <w:rsid w:val="00A06F4B"/>
    <w:rsid w:val="00A2168E"/>
    <w:rsid w:val="00A21F5C"/>
    <w:rsid w:val="00A22382"/>
    <w:rsid w:val="00A23111"/>
    <w:rsid w:val="00A23AFA"/>
    <w:rsid w:val="00A31B3E"/>
    <w:rsid w:val="00A339D6"/>
    <w:rsid w:val="00A404F7"/>
    <w:rsid w:val="00A52014"/>
    <w:rsid w:val="00A532F3"/>
    <w:rsid w:val="00A617BF"/>
    <w:rsid w:val="00A6323B"/>
    <w:rsid w:val="00A76167"/>
    <w:rsid w:val="00A81EDF"/>
    <w:rsid w:val="00A83FFF"/>
    <w:rsid w:val="00A8489E"/>
    <w:rsid w:val="00A85F53"/>
    <w:rsid w:val="00A86F93"/>
    <w:rsid w:val="00A90466"/>
    <w:rsid w:val="00A92FB5"/>
    <w:rsid w:val="00A9528D"/>
    <w:rsid w:val="00A97F50"/>
    <w:rsid w:val="00AA1760"/>
    <w:rsid w:val="00AA594E"/>
    <w:rsid w:val="00AB02A7"/>
    <w:rsid w:val="00AB143E"/>
    <w:rsid w:val="00AB3435"/>
    <w:rsid w:val="00AB791D"/>
    <w:rsid w:val="00AC0F35"/>
    <w:rsid w:val="00AC29F3"/>
    <w:rsid w:val="00AC50F4"/>
    <w:rsid w:val="00AC5B6A"/>
    <w:rsid w:val="00AE31E2"/>
    <w:rsid w:val="00AF4465"/>
    <w:rsid w:val="00AF4FA4"/>
    <w:rsid w:val="00B00060"/>
    <w:rsid w:val="00B004EE"/>
    <w:rsid w:val="00B005FA"/>
    <w:rsid w:val="00B00747"/>
    <w:rsid w:val="00B10A54"/>
    <w:rsid w:val="00B11A44"/>
    <w:rsid w:val="00B14F5E"/>
    <w:rsid w:val="00B208B9"/>
    <w:rsid w:val="00B231E5"/>
    <w:rsid w:val="00B261E4"/>
    <w:rsid w:val="00B26661"/>
    <w:rsid w:val="00B27B48"/>
    <w:rsid w:val="00B3039B"/>
    <w:rsid w:val="00B37492"/>
    <w:rsid w:val="00B466F0"/>
    <w:rsid w:val="00B47818"/>
    <w:rsid w:val="00B50466"/>
    <w:rsid w:val="00B60730"/>
    <w:rsid w:val="00B70AB7"/>
    <w:rsid w:val="00B83A09"/>
    <w:rsid w:val="00B83A81"/>
    <w:rsid w:val="00B83E90"/>
    <w:rsid w:val="00B85CCA"/>
    <w:rsid w:val="00B861BF"/>
    <w:rsid w:val="00B8664F"/>
    <w:rsid w:val="00B8759D"/>
    <w:rsid w:val="00B94457"/>
    <w:rsid w:val="00B96FB3"/>
    <w:rsid w:val="00BA07FC"/>
    <w:rsid w:val="00BA21D1"/>
    <w:rsid w:val="00BA34E1"/>
    <w:rsid w:val="00BA6DE3"/>
    <w:rsid w:val="00BA7725"/>
    <w:rsid w:val="00BB4079"/>
    <w:rsid w:val="00BB56EB"/>
    <w:rsid w:val="00BC09D9"/>
    <w:rsid w:val="00BC14C6"/>
    <w:rsid w:val="00BC347C"/>
    <w:rsid w:val="00BC6C2A"/>
    <w:rsid w:val="00BD3C9C"/>
    <w:rsid w:val="00BD3D60"/>
    <w:rsid w:val="00BD7F0F"/>
    <w:rsid w:val="00BE00DE"/>
    <w:rsid w:val="00BE60C4"/>
    <w:rsid w:val="00BE7477"/>
    <w:rsid w:val="00BF2049"/>
    <w:rsid w:val="00BF3627"/>
    <w:rsid w:val="00BF66CB"/>
    <w:rsid w:val="00BF794B"/>
    <w:rsid w:val="00C02A22"/>
    <w:rsid w:val="00C02B87"/>
    <w:rsid w:val="00C13293"/>
    <w:rsid w:val="00C203E7"/>
    <w:rsid w:val="00C2146C"/>
    <w:rsid w:val="00C22D74"/>
    <w:rsid w:val="00C26E3C"/>
    <w:rsid w:val="00C26ECF"/>
    <w:rsid w:val="00C30113"/>
    <w:rsid w:val="00C32B46"/>
    <w:rsid w:val="00C355D1"/>
    <w:rsid w:val="00C4086D"/>
    <w:rsid w:val="00C4335C"/>
    <w:rsid w:val="00C4729D"/>
    <w:rsid w:val="00C506C6"/>
    <w:rsid w:val="00C50C1A"/>
    <w:rsid w:val="00C6452A"/>
    <w:rsid w:val="00C64AAF"/>
    <w:rsid w:val="00C655D1"/>
    <w:rsid w:val="00C6736C"/>
    <w:rsid w:val="00C8218D"/>
    <w:rsid w:val="00C841F9"/>
    <w:rsid w:val="00C8555E"/>
    <w:rsid w:val="00C86B4C"/>
    <w:rsid w:val="00C90A3E"/>
    <w:rsid w:val="00CA1896"/>
    <w:rsid w:val="00CB1423"/>
    <w:rsid w:val="00CB5B28"/>
    <w:rsid w:val="00CC07C6"/>
    <w:rsid w:val="00CC5DA6"/>
    <w:rsid w:val="00CD40D6"/>
    <w:rsid w:val="00CE07B8"/>
    <w:rsid w:val="00CF29B3"/>
    <w:rsid w:val="00CF5371"/>
    <w:rsid w:val="00D0323A"/>
    <w:rsid w:val="00D0559F"/>
    <w:rsid w:val="00D06200"/>
    <w:rsid w:val="00D06538"/>
    <w:rsid w:val="00D077E9"/>
    <w:rsid w:val="00D14B3E"/>
    <w:rsid w:val="00D300B4"/>
    <w:rsid w:val="00D36AB7"/>
    <w:rsid w:val="00D42CB7"/>
    <w:rsid w:val="00D5033D"/>
    <w:rsid w:val="00D5413D"/>
    <w:rsid w:val="00D547E9"/>
    <w:rsid w:val="00D55A3F"/>
    <w:rsid w:val="00D5608D"/>
    <w:rsid w:val="00D56C4F"/>
    <w:rsid w:val="00D56D03"/>
    <w:rsid w:val="00D570A9"/>
    <w:rsid w:val="00D67219"/>
    <w:rsid w:val="00D70D02"/>
    <w:rsid w:val="00D770C7"/>
    <w:rsid w:val="00D80850"/>
    <w:rsid w:val="00D81550"/>
    <w:rsid w:val="00D81AA2"/>
    <w:rsid w:val="00D825F8"/>
    <w:rsid w:val="00D856E2"/>
    <w:rsid w:val="00D86945"/>
    <w:rsid w:val="00D90290"/>
    <w:rsid w:val="00D9076D"/>
    <w:rsid w:val="00D92996"/>
    <w:rsid w:val="00D95647"/>
    <w:rsid w:val="00D97B4A"/>
    <w:rsid w:val="00DA1D04"/>
    <w:rsid w:val="00DA4CC0"/>
    <w:rsid w:val="00DB1347"/>
    <w:rsid w:val="00DB5CE9"/>
    <w:rsid w:val="00DB7416"/>
    <w:rsid w:val="00DC282C"/>
    <w:rsid w:val="00DC4089"/>
    <w:rsid w:val="00DD139D"/>
    <w:rsid w:val="00DD152F"/>
    <w:rsid w:val="00DD262D"/>
    <w:rsid w:val="00DE0025"/>
    <w:rsid w:val="00DE213F"/>
    <w:rsid w:val="00DE3C37"/>
    <w:rsid w:val="00DE43F0"/>
    <w:rsid w:val="00DF027C"/>
    <w:rsid w:val="00DF09B8"/>
    <w:rsid w:val="00E00A32"/>
    <w:rsid w:val="00E03770"/>
    <w:rsid w:val="00E04295"/>
    <w:rsid w:val="00E0665F"/>
    <w:rsid w:val="00E07C30"/>
    <w:rsid w:val="00E104DD"/>
    <w:rsid w:val="00E12896"/>
    <w:rsid w:val="00E14283"/>
    <w:rsid w:val="00E14631"/>
    <w:rsid w:val="00E148BB"/>
    <w:rsid w:val="00E2016A"/>
    <w:rsid w:val="00E22ACD"/>
    <w:rsid w:val="00E2705F"/>
    <w:rsid w:val="00E36A71"/>
    <w:rsid w:val="00E373F2"/>
    <w:rsid w:val="00E4461E"/>
    <w:rsid w:val="00E46109"/>
    <w:rsid w:val="00E47C41"/>
    <w:rsid w:val="00E553B9"/>
    <w:rsid w:val="00E61997"/>
    <w:rsid w:val="00E620B0"/>
    <w:rsid w:val="00E655B6"/>
    <w:rsid w:val="00E678E1"/>
    <w:rsid w:val="00E67A9D"/>
    <w:rsid w:val="00E702E0"/>
    <w:rsid w:val="00E81B40"/>
    <w:rsid w:val="00E86C99"/>
    <w:rsid w:val="00EB0E41"/>
    <w:rsid w:val="00EB1AD7"/>
    <w:rsid w:val="00ED04AD"/>
    <w:rsid w:val="00ED7CDB"/>
    <w:rsid w:val="00EE04B7"/>
    <w:rsid w:val="00EE2C49"/>
    <w:rsid w:val="00EE35D0"/>
    <w:rsid w:val="00EE4C0A"/>
    <w:rsid w:val="00EF2109"/>
    <w:rsid w:val="00EF2EA3"/>
    <w:rsid w:val="00EF555B"/>
    <w:rsid w:val="00EF6723"/>
    <w:rsid w:val="00F027BB"/>
    <w:rsid w:val="00F02F07"/>
    <w:rsid w:val="00F0446C"/>
    <w:rsid w:val="00F04848"/>
    <w:rsid w:val="00F11DCF"/>
    <w:rsid w:val="00F1485A"/>
    <w:rsid w:val="00F162EA"/>
    <w:rsid w:val="00F2217C"/>
    <w:rsid w:val="00F2462F"/>
    <w:rsid w:val="00F27CEB"/>
    <w:rsid w:val="00F33158"/>
    <w:rsid w:val="00F3526A"/>
    <w:rsid w:val="00F407A5"/>
    <w:rsid w:val="00F41F1C"/>
    <w:rsid w:val="00F426FA"/>
    <w:rsid w:val="00F4796C"/>
    <w:rsid w:val="00F52D27"/>
    <w:rsid w:val="00F54BC8"/>
    <w:rsid w:val="00F55857"/>
    <w:rsid w:val="00F5617F"/>
    <w:rsid w:val="00F57428"/>
    <w:rsid w:val="00F72153"/>
    <w:rsid w:val="00F75C32"/>
    <w:rsid w:val="00F75ED7"/>
    <w:rsid w:val="00F80FE3"/>
    <w:rsid w:val="00F81C67"/>
    <w:rsid w:val="00F83527"/>
    <w:rsid w:val="00F878CF"/>
    <w:rsid w:val="00FB42E1"/>
    <w:rsid w:val="00FD0649"/>
    <w:rsid w:val="00FD37A4"/>
    <w:rsid w:val="00FD3A18"/>
    <w:rsid w:val="00FD583F"/>
    <w:rsid w:val="00FD7488"/>
    <w:rsid w:val="00FE4C3F"/>
    <w:rsid w:val="00FE549A"/>
    <w:rsid w:val="00FE7113"/>
    <w:rsid w:val="00FF02DB"/>
    <w:rsid w:val="00FF16B4"/>
    <w:rsid w:val="00FF7DFB"/>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paragraph" w:styleId="Nadpis3">
    <w:name w:val="heading 3"/>
    <w:basedOn w:val="Normln"/>
    <w:next w:val="Normln"/>
    <w:link w:val="Nadpis3Char"/>
    <w:uiPriority w:val="5"/>
    <w:semiHidden/>
    <w:unhideWhenUsed/>
    <w:qFormat/>
    <w:rsid w:val="00E4461E"/>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dpis4">
    <w:name w:val="heading 4"/>
    <w:basedOn w:val="Normln"/>
    <w:next w:val="Normln"/>
    <w:link w:val="Nadpis4Char"/>
    <w:uiPriority w:val="1"/>
    <w:semiHidden/>
    <w:unhideWhenUsed/>
    <w:qFormat/>
    <w:rsid w:val="00E4461E"/>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basedOn w:val="Normln"/>
    <w:link w:val="OdstavecseseznamemChar"/>
    <w:uiPriority w:val="35"/>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link w:val="Odstavecseseznamem"/>
    <w:uiPriority w:val="34"/>
    <w:locked/>
    <w:rsid w:val="0014703E"/>
    <w:rPr>
      <w:sz w:val="22"/>
      <w:szCs w:val="22"/>
    </w:rPr>
  </w:style>
  <w:style w:type="paragraph" w:styleId="Textpoznpodarou">
    <w:name w:val="footnote text"/>
    <w:aliases w:val=" Char, Char Char Char,Char,Char Char Char"/>
    <w:basedOn w:val="Normln"/>
    <w:link w:val="TextpoznpodarouChar"/>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semiHidden/>
    <w:rsid w:val="00DC4089"/>
    <w:rPr>
      <w:rFonts w:ascii="Times New Roman" w:eastAsia="Times New Roman" w:hAnsi="Times New Roman" w:cs="Times New Roman"/>
      <w:sz w:val="20"/>
      <w:szCs w:val="20"/>
      <w:lang w:eastAsia="cs-CZ"/>
    </w:rPr>
  </w:style>
  <w:style w:type="character" w:styleId="Znakapoznpodarou">
    <w:name w:val="footnote reference"/>
    <w:semiHidden/>
    <w:rsid w:val="00DC4089"/>
    <w:rPr>
      <w:vertAlign w:val="superscript"/>
    </w:rPr>
  </w:style>
  <w:style w:type="paragraph" w:customStyle="1" w:styleId="text-large">
    <w:name w:val="text-large"/>
    <w:basedOn w:val="Normln"/>
    <w:rsid w:val="006E53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Siln">
    <w:name w:val="Strong"/>
    <w:basedOn w:val="Standardnpsmoodstavce"/>
    <w:uiPriority w:val="22"/>
    <w:qFormat/>
    <w:rsid w:val="006E530F"/>
    <w:rPr>
      <w:b/>
      <w:bCs/>
    </w:rPr>
  </w:style>
  <w:style w:type="character" w:customStyle="1" w:styleId="Nadpis3Char">
    <w:name w:val="Nadpis 3 Char"/>
    <w:basedOn w:val="Standardnpsmoodstavce"/>
    <w:link w:val="Nadpis3"/>
    <w:uiPriority w:val="5"/>
    <w:semiHidden/>
    <w:rsid w:val="00E4461E"/>
    <w:rPr>
      <w:rFonts w:asciiTheme="majorHAnsi" w:eastAsiaTheme="majorEastAsia" w:hAnsiTheme="majorHAnsi" w:cstheme="majorBidi"/>
      <w:b/>
      <w:color w:val="012639" w:themeColor="accent1" w:themeShade="7F"/>
    </w:rPr>
  </w:style>
  <w:style w:type="character" w:customStyle="1" w:styleId="Nadpis4Char">
    <w:name w:val="Nadpis 4 Char"/>
    <w:basedOn w:val="Standardnpsmoodstavce"/>
    <w:link w:val="Nadpis4"/>
    <w:uiPriority w:val="1"/>
    <w:semiHidden/>
    <w:rsid w:val="00E4461E"/>
    <w:rPr>
      <w:rFonts w:asciiTheme="majorHAnsi" w:eastAsiaTheme="majorEastAsia" w:hAnsiTheme="majorHAnsi" w:cstheme="majorBidi"/>
      <w:b/>
      <w:i/>
      <w:iCs/>
      <w:color w:val="013A57" w:themeColor="accent1" w:themeShade="BF"/>
      <w:sz w:val="28"/>
      <w:szCs w:val="22"/>
    </w:rPr>
  </w:style>
  <w:style w:type="paragraph" w:customStyle="1" w:styleId="Default">
    <w:name w:val="Default"/>
    <w:rsid w:val="0007061F"/>
    <w:pPr>
      <w:autoSpaceDE w:val="0"/>
      <w:autoSpaceDN w:val="0"/>
      <w:adjustRightInd w:val="0"/>
      <w:spacing w:after="0" w:line="240" w:lineRule="auto"/>
    </w:pPr>
    <w:rPr>
      <w:rFonts w:ascii="Calibri" w:hAnsi="Calibri" w:cs="Calibri"/>
      <w:color w:val="000000"/>
    </w:rPr>
  </w:style>
  <w:style w:type="paragraph" w:styleId="Normlnweb">
    <w:name w:val="Normal (Web)"/>
    <w:basedOn w:val="Normln"/>
    <w:uiPriority w:val="99"/>
    <w:unhideWhenUsed/>
    <w:rsid w:val="006F79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Nevyeenzmnka">
    <w:name w:val="Unresolved Mention"/>
    <w:basedOn w:val="Standardnpsmoodstavce"/>
    <w:uiPriority w:val="99"/>
    <w:semiHidden/>
    <w:unhideWhenUsed/>
    <w:rsid w:val="004344BA"/>
    <w:rPr>
      <w:color w:val="605E5C"/>
      <w:shd w:val="clear" w:color="auto" w:fill="E1DFDD"/>
    </w:rPr>
  </w:style>
  <w:style w:type="character" w:styleId="Zdraznn">
    <w:name w:val="Emphasis"/>
    <w:basedOn w:val="Standardnpsmoodstavce"/>
    <w:uiPriority w:val="20"/>
    <w:qFormat/>
    <w:rsid w:val="00F407A5"/>
    <w:rPr>
      <w:i/>
      <w:iCs/>
    </w:rPr>
  </w:style>
  <w:style w:type="character" w:styleId="Odkaznakoment">
    <w:name w:val="annotation reference"/>
    <w:basedOn w:val="Standardnpsmoodstavce"/>
    <w:uiPriority w:val="99"/>
    <w:semiHidden/>
    <w:unhideWhenUsed/>
    <w:rsid w:val="004709CD"/>
    <w:rPr>
      <w:sz w:val="16"/>
      <w:szCs w:val="16"/>
    </w:rPr>
  </w:style>
  <w:style w:type="paragraph" w:styleId="Textkomente">
    <w:name w:val="annotation text"/>
    <w:basedOn w:val="Normln"/>
    <w:link w:val="TextkomenteChar"/>
    <w:uiPriority w:val="99"/>
    <w:unhideWhenUsed/>
    <w:rsid w:val="004709CD"/>
    <w:pPr>
      <w:spacing w:line="240" w:lineRule="auto"/>
    </w:pPr>
    <w:rPr>
      <w:sz w:val="20"/>
      <w:szCs w:val="20"/>
    </w:rPr>
  </w:style>
  <w:style w:type="character" w:customStyle="1" w:styleId="TextkomenteChar">
    <w:name w:val="Text komentáře Char"/>
    <w:basedOn w:val="Standardnpsmoodstavce"/>
    <w:link w:val="Textkomente"/>
    <w:uiPriority w:val="99"/>
    <w:rsid w:val="004709CD"/>
    <w:rPr>
      <w:rFonts w:eastAsiaTheme="minorEastAsia"/>
      <w:b/>
      <w:color w:val="082A75" w:themeColor="text2"/>
      <w:sz w:val="20"/>
      <w:szCs w:val="20"/>
    </w:rPr>
  </w:style>
  <w:style w:type="paragraph" w:customStyle="1" w:styleId="documentannotation">
    <w:name w:val="documentannotation"/>
    <w:basedOn w:val="Normln"/>
    <w:rsid w:val="00825113"/>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5627">
      <w:bodyDiv w:val="1"/>
      <w:marLeft w:val="0"/>
      <w:marRight w:val="0"/>
      <w:marTop w:val="0"/>
      <w:marBottom w:val="0"/>
      <w:divBdr>
        <w:top w:val="none" w:sz="0" w:space="0" w:color="auto"/>
        <w:left w:val="none" w:sz="0" w:space="0" w:color="auto"/>
        <w:bottom w:val="none" w:sz="0" w:space="0" w:color="auto"/>
        <w:right w:val="none" w:sz="0" w:space="0" w:color="auto"/>
      </w:divBdr>
    </w:div>
    <w:div w:id="219677936">
      <w:bodyDiv w:val="1"/>
      <w:marLeft w:val="0"/>
      <w:marRight w:val="0"/>
      <w:marTop w:val="0"/>
      <w:marBottom w:val="0"/>
      <w:divBdr>
        <w:top w:val="none" w:sz="0" w:space="0" w:color="auto"/>
        <w:left w:val="none" w:sz="0" w:space="0" w:color="auto"/>
        <w:bottom w:val="none" w:sz="0" w:space="0" w:color="auto"/>
        <w:right w:val="none" w:sz="0" w:space="0" w:color="auto"/>
      </w:divBdr>
    </w:div>
    <w:div w:id="332495244">
      <w:bodyDiv w:val="1"/>
      <w:marLeft w:val="0"/>
      <w:marRight w:val="0"/>
      <w:marTop w:val="0"/>
      <w:marBottom w:val="0"/>
      <w:divBdr>
        <w:top w:val="none" w:sz="0" w:space="0" w:color="auto"/>
        <w:left w:val="none" w:sz="0" w:space="0" w:color="auto"/>
        <w:bottom w:val="none" w:sz="0" w:space="0" w:color="auto"/>
        <w:right w:val="none" w:sz="0" w:space="0" w:color="auto"/>
      </w:divBdr>
    </w:div>
    <w:div w:id="387799868">
      <w:bodyDiv w:val="1"/>
      <w:marLeft w:val="0"/>
      <w:marRight w:val="0"/>
      <w:marTop w:val="0"/>
      <w:marBottom w:val="0"/>
      <w:divBdr>
        <w:top w:val="none" w:sz="0" w:space="0" w:color="auto"/>
        <w:left w:val="none" w:sz="0" w:space="0" w:color="auto"/>
        <w:bottom w:val="none" w:sz="0" w:space="0" w:color="auto"/>
        <w:right w:val="none" w:sz="0" w:space="0" w:color="auto"/>
      </w:divBdr>
    </w:div>
    <w:div w:id="440803877">
      <w:bodyDiv w:val="1"/>
      <w:marLeft w:val="0"/>
      <w:marRight w:val="0"/>
      <w:marTop w:val="0"/>
      <w:marBottom w:val="0"/>
      <w:divBdr>
        <w:top w:val="none" w:sz="0" w:space="0" w:color="auto"/>
        <w:left w:val="none" w:sz="0" w:space="0" w:color="auto"/>
        <w:bottom w:val="none" w:sz="0" w:space="0" w:color="auto"/>
        <w:right w:val="none" w:sz="0" w:space="0" w:color="auto"/>
      </w:divBdr>
      <w:divsChild>
        <w:div w:id="1062362923">
          <w:marLeft w:val="0"/>
          <w:marRight w:val="0"/>
          <w:marTop w:val="0"/>
          <w:marBottom w:val="0"/>
          <w:divBdr>
            <w:top w:val="none" w:sz="0" w:space="0" w:color="auto"/>
            <w:left w:val="none" w:sz="0" w:space="0" w:color="auto"/>
            <w:bottom w:val="none" w:sz="0" w:space="0" w:color="auto"/>
            <w:right w:val="none" w:sz="0" w:space="0" w:color="auto"/>
          </w:divBdr>
        </w:div>
      </w:divsChild>
    </w:div>
    <w:div w:id="490684904">
      <w:bodyDiv w:val="1"/>
      <w:marLeft w:val="0"/>
      <w:marRight w:val="0"/>
      <w:marTop w:val="0"/>
      <w:marBottom w:val="0"/>
      <w:divBdr>
        <w:top w:val="none" w:sz="0" w:space="0" w:color="auto"/>
        <w:left w:val="none" w:sz="0" w:space="0" w:color="auto"/>
        <w:bottom w:val="none" w:sz="0" w:space="0" w:color="auto"/>
        <w:right w:val="none" w:sz="0" w:space="0" w:color="auto"/>
      </w:divBdr>
    </w:div>
    <w:div w:id="507644137">
      <w:bodyDiv w:val="1"/>
      <w:marLeft w:val="0"/>
      <w:marRight w:val="0"/>
      <w:marTop w:val="0"/>
      <w:marBottom w:val="0"/>
      <w:divBdr>
        <w:top w:val="none" w:sz="0" w:space="0" w:color="auto"/>
        <w:left w:val="none" w:sz="0" w:space="0" w:color="auto"/>
        <w:bottom w:val="none" w:sz="0" w:space="0" w:color="auto"/>
        <w:right w:val="none" w:sz="0" w:space="0" w:color="auto"/>
      </w:divBdr>
    </w:div>
    <w:div w:id="892469265">
      <w:bodyDiv w:val="1"/>
      <w:marLeft w:val="0"/>
      <w:marRight w:val="0"/>
      <w:marTop w:val="0"/>
      <w:marBottom w:val="0"/>
      <w:divBdr>
        <w:top w:val="none" w:sz="0" w:space="0" w:color="auto"/>
        <w:left w:val="none" w:sz="0" w:space="0" w:color="auto"/>
        <w:bottom w:val="none" w:sz="0" w:space="0" w:color="auto"/>
        <w:right w:val="none" w:sz="0" w:space="0" w:color="auto"/>
      </w:divBdr>
    </w:div>
    <w:div w:id="982009181">
      <w:bodyDiv w:val="1"/>
      <w:marLeft w:val="0"/>
      <w:marRight w:val="0"/>
      <w:marTop w:val="0"/>
      <w:marBottom w:val="0"/>
      <w:divBdr>
        <w:top w:val="none" w:sz="0" w:space="0" w:color="auto"/>
        <w:left w:val="none" w:sz="0" w:space="0" w:color="auto"/>
        <w:bottom w:val="none" w:sz="0" w:space="0" w:color="auto"/>
        <w:right w:val="none" w:sz="0" w:space="0" w:color="auto"/>
      </w:divBdr>
    </w:div>
    <w:div w:id="1034304453">
      <w:bodyDiv w:val="1"/>
      <w:marLeft w:val="0"/>
      <w:marRight w:val="0"/>
      <w:marTop w:val="0"/>
      <w:marBottom w:val="0"/>
      <w:divBdr>
        <w:top w:val="none" w:sz="0" w:space="0" w:color="auto"/>
        <w:left w:val="none" w:sz="0" w:space="0" w:color="auto"/>
        <w:bottom w:val="none" w:sz="0" w:space="0" w:color="auto"/>
        <w:right w:val="none" w:sz="0" w:space="0" w:color="auto"/>
      </w:divBdr>
    </w:div>
    <w:div w:id="1079330865">
      <w:bodyDiv w:val="1"/>
      <w:marLeft w:val="0"/>
      <w:marRight w:val="0"/>
      <w:marTop w:val="0"/>
      <w:marBottom w:val="0"/>
      <w:divBdr>
        <w:top w:val="none" w:sz="0" w:space="0" w:color="auto"/>
        <w:left w:val="none" w:sz="0" w:space="0" w:color="auto"/>
        <w:bottom w:val="none" w:sz="0" w:space="0" w:color="auto"/>
        <w:right w:val="none" w:sz="0" w:space="0" w:color="auto"/>
      </w:divBdr>
    </w:div>
    <w:div w:id="1133450112">
      <w:bodyDiv w:val="1"/>
      <w:marLeft w:val="0"/>
      <w:marRight w:val="0"/>
      <w:marTop w:val="0"/>
      <w:marBottom w:val="0"/>
      <w:divBdr>
        <w:top w:val="none" w:sz="0" w:space="0" w:color="auto"/>
        <w:left w:val="none" w:sz="0" w:space="0" w:color="auto"/>
        <w:bottom w:val="none" w:sz="0" w:space="0" w:color="auto"/>
        <w:right w:val="none" w:sz="0" w:space="0" w:color="auto"/>
      </w:divBdr>
    </w:div>
    <w:div w:id="1323698712">
      <w:bodyDiv w:val="1"/>
      <w:marLeft w:val="0"/>
      <w:marRight w:val="0"/>
      <w:marTop w:val="0"/>
      <w:marBottom w:val="0"/>
      <w:divBdr>
        <w:top w:val="none" w:sz="0" w:space="0" w:color="auto"/>
        <w:left w:val="none" w:sz="0" w:space="0" w:color="auto"/>
        <w:bottom w:val="none" w:sz="0" w:space="0" w:color="auto"/>
        <w:right w:val="none" w:sz="0" w:space="0" w:color="auto"/>
      </w:divBdr>
    </w:div>
    <w:div w:id="1429305030">
      <w:bodyDiv w:val="1"/>
      <w:marLeft w:val="0"/>
      <w:marRight w:val="0"/>
      <w:marTop w:val="0"/>
      <w:marBottom w:val="0"/>
      <w:divBdr>
        <w:top w:val="none" w:sz="0" w:space="0" w:color="auto"/>
        <w:left w:val="none" w:sz="0" w:space="0" w:color="auto"/>
        <w:bottom w:val="none" w:sz="0" w:space="0" w:color="auto"/>
        <w:right w:val="none" w:sz="0" w:space="0" w:color="auto"/>
      </w:divBdr>
    </w:div>
    <w:div w:id="1577979030">
      <w:bodyDiv w:val="1"/>
      <w:marLeft w:val="0"/>
      <w:marRight w:val="0"/>
      <w:marTop w:val="0"/>
      <w:marBottom w:val="0"/>
      <w:divBdr>
        <w:top w:val="none" w:sz="0" w:space="0" w:color="auto"/>
        <w:left w:val="none" w:sz="0" w:space="0" w:color="auto"/>
        <w:bottom w:val="none" w:sz="0" w:space="0" w:color="auto"/>
        <w:right w:val="none" w:sz="0" w:space="0" w:color="auto"/>
      </w:divBdr>
    </w:div>
    <w:div w:id="1592349654">
      <w:bodyDiv w:val="1"/>
      <w:marLeft w:val="0"/>
      <w:marRight w:val="0"/>
      <w:marTop w:val="0"/>
      <w:marBottom w:val="0"/>
      <w:divBdr>
        <w:top w:val="none" w:sz="0" w:space="0" w:color="auto"/>
        <w:left w:val="none" w:sz="0" w:space="0" w:color="auto"/>
        <w:bottom w:val="none" w:sz="0" w:space="0" w:color="auto"/>
        <w:right w:val="none" w:sz="0" w:space="0" w:color="auto"/>
      </w:divBdr>
    </w:div>
    <w:div w:id="1676880007">
      <w:bodyDiv w:val="1"/>
      <w:marLeft w:val="0"/>
      <w:marRight w:val="0"/>
      <w:marTop w:val="0"/>
      <w:marBottom w:val="0"/>
      <w:divBdr>
        <w:top w:val="none" w:sz="0" w:space="0" w:color="auto"/>
        <w:left w:val="none" w:sz="0" w:space="0" w:color="auto"/>
        <w:bottom w:val="none" w:sz="0" w:space="0" w:color="auto"/>
        <w:right w:val="none" w:sz="0" w:space="0" w:color="auto"/>
      </w:divBdr>
    </w:div>
    <w:div w:id="1748574820">
      <w:bodyDiv w:val="1"/>
      <w:marLeft w:val="0"/>
      <w:marRight w:val="0"/>
      <w:marTop w:val="0"/>
      <w:marBottom w:val="0"/>
      <w:divBdr>
        <w:top w:val="none" w:sz="0" w:space="0" w:color="auto"/>
        <w:left w:val="none" w:sz="0" w:space="0" w:color="auto"/>
        <w:bottom w:val="none" w:sz="0" w:space="0" w:color="auto"/>
        <w:right w:val="none" w:sz="0" w:space="0" w:color="auto"/>
      </w:divBdr>
    </w:div>
    <w:div w:id="1949852820">
      <w:bodyDiv w:val="1"/>
      <w:marLeft w:val="0"/>
      <w:marRight w:val="0"/>
      <w:marTop w:val="0"/>
      <w:marBottom w:val="0"/>
      <w:divBdr>
        <w:top w:val="none" w:sz="0" w:space="0" w:color="auto"/>
        <w:left w:val="none" w:sz="0" w:space="0" w:color="auto"/>
        <w:bottom w:val="none" w:sz="0" w:space="0" w:color="auto"/>
        <w:right w:val="none" w:sz="0" w:space="0" w:color="auto"/>
      </w:divBdr>
      <w:divsChild>
        <w:div w:id="1076777873">
          <w:marLeft w:val="0"/>
          <w:marRight w:val="0"/>
          <w:marTop w:val="0"/>
          <w:marBottom w:val="0"/>
          <w:divBdr>
            <w:top w:val="none" w:sz="0" w:space="0" w:color="auto"/>
            <w:left w:val="none" w:sz="0" w:space="0" w:color="auto"/>
            <w:bottom w:val="none" w:sz="0" w:space="0" w:color="auto"/>
            <w:right w:val="none" w:sz="0" w:space="0" w:color="auto"/>
          </w:divBdr>
          <w:divsChild>
            <w:div w:id="3293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DB"/>
    <w:rsid w:val="00150B01"/>
    <w:rsid w:val="003C274D"/>
    <w:rsid w:val="0081649A"/>
    <w:rsid w:val="0089316A"/>
    <w:rsid w:val="008C16DB"/>
    <w:rsid w:val="008D5E86"/>
    <w:rsid w:val="0096761F"/>
    <w:rsid w:val="009A171D"/>
    <w:rsid w:val="00AB7DCF"/>
    <w:rsid w:val="00AD338E"/>
    <w:rsid w:val="00CA3A9D"/>
    <w:rsid w:val="00CB4008"/>
    <w:rsid w:val="00F47F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DA49B-3052-477D-B7A9-8EB917CF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1770</TotalTime>
  <Pages>11</Pages>
  <Words>2927</Words>
  <Characters>17272</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Matochová Michala</cp:lastModifiedBy>
  <cp:revision>248</cp:revision>
  <cp:lastPrinted>2006-08-01T17:47:00Z</cp:lastPrinted>
  <dcterms:created xsi:type="dcterms:W3CDTF">2022-06-02T17:54:00Z</dcterms:created>
  <dcterms:modified xsi:type="dcterms:W3CDTF">2023-06-01T19:06:00Z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