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0BC8A229">
                <wp:simplePos x="0" y="0"/>
                <wp:positionH relativeFrom="column">
                  <wp:posOffset>-203835</wp:posOffset>
                </wp:positionH>
                <wp:positionV relativeFrom="page">
                  <wp:posOffset>1085850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6AF38" id="Obdélník 3" o:spid="_x0000_s1026" alt="bílý obdélník pro text na titulní straně" style="position:absolute;margin-left:-16.05pt;margin-top:85.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&#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6E5149D" w:rsidR="00240052" w:rsidRPr="00815900" w:rsidRDefault="00AA594E" w:rsidP="00D077E9">
                                  <w:pPr>
                                    <w:pStyle w:val="Nzev"/>
                                    <w:spacing w:after="0"/>
                                    <w:rPr>
                                      <w:color w:val="0F0D29" w:themeColor="text1"/>
                                      <w:sz w:val="56"/>
                                      <w:szCs w:val="48"/>
                                    </w:rPr>
                                  </w:pPr>
                                  <w:r>
                                    <w:rPr>
                                      <w:color w:val="0F0D29" w:themeColor="text1"/>
                                      <w:sz w:val="56"/>
                                      <w:szCs w:val="48"/>
                                      <w:lang w:bidi="cs-CZ"/>
                                    </w:rPr>
                                    <w:t>Březen - duben</w:t>
                                  </w:r>
                                  <w:r w:rsidR="00947FBA">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6E5149D" w:rsidR="00240052" w:rsidRPr="00815900" w:rsidRDefault="00AA594E" w:rsidP="00D077E9">
                            <w:pPr>
                              <w:pStyle w:val="Nzev"/>
                              <w:spacing w:after="0"/>
                              <w:rPr>
                                <w:color w:val="0F0D29" w:themeColor="text1"/>
                                <w:sz w:val="56"/>
                                <w:szCs w:val="48"/>
                              </w:rPr>
                            </w:pPr>
                            <w:proofErr w:type="gramStart"/>
                            <w:r>
                              <w:rPr>
                                <w:color w:val="0F0D29" w:themeColor="text1"/>
                                <w:sz w:val="56"/>
                                <w:szCs w:val="48"/>
                                <w:lang w:bidi="cs-CZ"/>
                              </w:rPr>
                              <w:t>Březen - duben</w:t>
                            </w:r>
                            <w:proofErr w:type="gramEnd"/>
                            <w:r w:rsidR="00947FBA">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170B8A0C"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AA594E">
              <w:rPr>
                <w:b w:val="0"/>
                <w:bCs/>
                <w:noProof/>
                <w:color w:val="0F0D29" w:themeColor="text1"/>
              </w:rPr>
              <w:t> 23.4.2023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13D38E54"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0179C86D" w14:textId="5563E370" w:rsidR="00947FBA" w:rsidRDefault="00AA594E" w:rsidP="00AA594E">
            <w:pPr>
              <w:pStyle w:val="Odstavecseseznamem"/>
              <w:numPr>
                <w:ilvl w:val="0"/>
                <w:numId w:val="1"/>
              </w:numPr>
              <w:spacing w:line="360" w:lineRule="auto"/>
              <w:jc w:val="both"/>
              <w:rPr>
                <w:rFonts w:ascii="Arial" w:hAnsi="Arial" w:cs="Arial"/>
                <w:bCs/>
                <w:color w:val="0F0D29" w:themeColor="text1"/>
                <w:sz w:val="20"/>
                <w:szCs w:val="20"/>
              </w:rPr>
            </w:pPr>
            <w:r w:rsidRPr="00AA594E">
              <w:rPr>
                <w:rFonts w:ascii="Arial" w:hAnsi="Arial" w:cs="Arial"/>
                <w:bCs/>
                <w:color w:val="0F0D29" w:themeColor="text1"/>
                <w:sz w:val="20"/>
                <w:szCs w:val="20"/>
              </w:rPr>
              <w:t>Vyhláška</w:t>
            </w:r>
            <w:r>
              <w:rPr>
                <w:rFonts w:ascii="Arial" w:hAnsi="Arial" w:cs="Arial"/>
                <w:bCs/>
                <w:color w:val="0F0D29" w:themeColor="text1"/>
                <w:sz w:val="20"/>
                <w:szCs w:val="20"/>
              </w:rPr>
              <w:t xml:space="preserve"> č. 98/2023 Sb.</w:t>
            </w:r>
            <w:r w:rsidRPr="00AA594E">
              <w:rPr>
                <w:rFonts w:ascii="Arial" w:hAnsi="Arial" w:cs="Arial"/>
                <w:bCs/>
                <w:color w:val="0F0D29" w:themeColor="text1"/>
                <w:sz w:val="20"/>
                <w:szCs w:val="20"/>
              </w:rPr>
              <w:t>, kterou se mění vyhláška Ministerstva dopravy a spojů č. 108/1997 Sb., kterou se provádí zákon č. 49/1997 Sb., o civilním letectví a o změně a doplnění zákona č. 455/1991 Sb., o živnostenském podnikání (živnostenský zákon), ve znění pozdějších předpisů</w:t>
            </w:r>
          </w:p>
          <w:p w14:paraId="44DDD141" w14:textId="461F4B73" w:rsidR="00AA594E" w:rsidRDefault="00AA594E" w:rsidP="00AA594E">
            <w:pPr>
              <w:pStyle w:val="Odstavecseseznamem"/>
              <w:numPr>
                <w:ilvl w:val="0"/>
                <w:numId w:val="1"/>
              </w:numPr>
              <w:spacing w:line="360" w:lineRule="auto"/>
              <w:jc w:val="both"/>
              <w:rPr>
                <w:rFonts w:ascii="Arial" w:hAnsi="Arial" w:cs="Arial"/>
                <w:bCs/>
                <w:color w:val="0F0D29" w:themeColor="text1"/>
                <w:sz w:val="20"/>
                <w:szCs w:val="20"/>
              </w:rPr>
            </w:pPr>
            <w:r w:rsidRPr="00AA594E">
              <w:rPr>
                <w:rFonts w:ascii="Arial" w:hAnsi="Arial" w:cs="Arial"/>
                <w:bCs/>
                <w:color w:val="0F0D29" w:themeColor="text1"/>
                <w:sz w:val="20"/>
                <w:szCs w:val="20"/>
              </w:rPr>
              <w:t>Zákon</w:t>
            </w:r>
            <w:r>
              <w:rPr>
                <w:rFonts w:ascii="Arial" w:hAnsi="Arial" w:cs="Arial"/>
                <w:bCs/>
                <w:color w:val="0F0D29" w:themeColor="text1"/>
                <w:sz w:val="20"/>
                <w:szCs w:val="20"/>
              </w:rPr>
              <w:t xml:space="preserve"> č. 88/2023 Sb.</w:t>
            </w:r>
            <w:r w:rsidRPr="00AA594E">
              <w:rPr>
                <w:rFonts w:ascii="Arial" w:hAnsi="Arial" w:cs="Arial"/>
                <w:bCs/>
                <w:color w:val="0F0D29" w:themeColor="text1"/>
                <w:sz w:val="20"/>
                <w:szCs w:val="20"/>
              </w:rPr>
              <w:t xml:space="preserve">, kterým se mění zákon č. 200/1994 Sb., o zeměměřictví a o změně a doplnění některých zákonů souvisejících s jeho zavedením, ve znění pozdějších předpisů, a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ve znění pozdějších předpisů  </w:t>
            </w:r>
          </w:p>
          <w:p w14:paraId="399E573D" w14:textId="320AED54" w:rsidR="00AA594E" w:rsidRDefault="00AA594E" w:rsidP="00AA594E">
            <w:pPr>
              <w:pStyle w:val="Odstavecseseznamem"/>
              <w:numPr>
                <w:ilvl w:val="0"/>
                <w:numId w:val="1"/>
              </w:numPr>
              <w:spacing w:line="360" w:lineRule="auto"/>
              <w:jc w:val="both"/>
              <w:rPr>
                <w:rFonts w:ascii="Arial" w:hAnsi="Arial" w:cs="Arial"/>
                <w:bCs/>
                <w:color w:val="0F0D29" w:themeColor="text1"/>
                <w:sz w:val="20"/>
                <w:szCs w:val="20"/>
              </w:rPr>
            </w:pPr>
            <w:r w:rsidRPr="00AA594E">
              <w:rPr>
                <w:rFonts w:ascii="Arial" w:hAnsi="Arial" w:cs="Arial"/>
                <w:bCs/>
                <w:color w:val="0F0D29" w:themeColor="text1"/>
                <w:sz w:val="20"/>
                <w:szCs w:val="20"/>
              </w:rPr>
              <w:t>Vyhláška</w:t>
            </w:r>
            <w:r>
              <w:rPr>
                <w:rFonts w:ascii="Arial" w:hAnsi="Arial" w:cs="Arial"/>
                <w:bCs/>
                <w:color w:val="0F0D29" w:themeColor="text1"/>
                <w:sz w:val="20"/>
                <w:szCs w:val="20"/>
              </w:rPr>
              <w:t xml:space="preserve"> č. 85/2023 Sb.</w:t>
            </w:r>
            <w:r w:rsidRPr="00AA594E">
              <w:rPr>
                <w:rFonts w:ascii="Arial" w:hAnsi="Arial" w:cs="Arial"/>
                <w:bCs/>
                <w:color w:val="0F0D29" w:themeColor="text1"/>
                <w:sz w:val="20"/>
                <w:szCs w:val="20"/>
              </w:rPr>
              <w:t xml:space="preserve">, kterou se mění vyhláška č. 467/2022 Sb., o změně sazby základní náhrady za používání silničních motorových vozidel a stravného a o stanovení průměrné ceny pohonných hmot pro účely poskytování cestovních náhrad pro rok 2023  </w:t>
            </w:r>
          </w:p>
          <w:p w14:paraId="43A3D180" w14:textId="7141B997" w:rsidR="0014703E" w:rsidRPr="00CF29B3" w:rsidRDefault="0014703E" w:rsidP="00947FBA">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A81EDF" w:rsidRDefault="0014703E" w:rsidP="00C86B4C">
            <w:pPr>
              <w:pStyle w:val="Bezmezer"/>
              <w:numPr>
                <w:ilvl w:val="0"/>
                <w:numId w:val="2"/>
              </w:numPr>
              <w:spacing w:line="360" w:lineRule="auto"/>
              <w:jc w:val="both"/>
              <w:rPr>
                <w:rFonts w:ascii="Arial" w:hAnsi="Arial" w:cs="Arial"/>
                <w:b/>
                <w:color w:val="0F0D29" w:themeColor="text1"/>
                <w:sz w:val="20"/>
                <w:szCs w:val="20"/>
              </w:rPr>
            </w:pPr>
            <w:r w:rsidRPr="00A81EDF">
              <w:rPr>
                <w:rFonts w:ascii="Arial" w:hAnsi="Arial" w:cs="Arial"/>
                <w:b/>
                <w:color w:val="0F0D29" w:themeColor="text1"/>
                <w:sz w:val="20"/>
                <w:szCs w:val="20"/>
              </w:rPr>
              <w:t>Výstupy</w:t>
            </w:r>
          </w:p>
          <w:p w14:paraId="3C4ACF7E" w14:textId="19DA2402" w:rsidR="00F80FE3" w:rsidRDefault="00F80FE3" w:rsidP="00F80FE3">
            <w:pPr>
              <w:pStyle w:val="Odstavecseseznamem"/>
              <w:numPr>
                <w:ilvl w:val="0"/>
                <w:numId w:val="1"/>
              </w:numPr>
              <w:spacing w:line="360" w:lineRule="auto"/>
              <w:jc w:val="both"/>
              <w:rPr>
                <w:rFonts w:ascii="Arial" w:hAnsi="Arial" w:cs="Arial"/>
                <w:bCs/>
                <w:color w:val="0F0D29" w:themeColor="text1"/>
                <w:sz w:val="20"/>
                <w:szCs w:val="20"/>
              </w:rPr>
            </w:pPr>
            <w:r w:rsidRPr="00F80FE3">
              <w:rPr>
                <w:rFonts w:ascii="Arial" w:hAnsi="Arial" w:cs="Arial"/>
                <w:bCs/>
                <w:color w:val="0F0D29" w:themeColor="text1"/>
                <w:sz w:val="20"/>
                <w:szCs w:val="20"/>
              </w:rPr>
              <w:t xml:space="preserve">Nařízení vlády č. 77/2023 Sb., kterým se mění nařízení vlády č. 298/2022 Sb., o stanovení cen elektřiny a plynu v mimořádné tržní situaci a o stanovení s tím souvisejícího nejvyššího přípustného rozsahu majetkového prospěchu zákazníka, ve znění pozdějších předpisů, a nařízení vlády č. 5/2023 Sb., o kompenzacích poskytovaných na dodávku elektřiny a plynu za stanovené ceny, ve znění nařízení vlády č. 65/2023 Sb.  </w:t>
            </w:r>
          </w:p>
          <w:p w14:paraId="60A42895" w14:textId="12CD8DF4" w:rsidR="00966F7F" w:rsidRPr="00F80FE3" w:rsidRDefault="00C6452A" w:rsidP="00F80FE3">
            <w:pPr>
              <w:pStyle w:val="Odstavecseseznamem"/>
              <w:numPr>
                <w:ilvl w:val="0"/>
                <w:numId w:val="1"/>
              </w:numPr>
              <w:spacing w:line="360" w:lineRule="auto"/>
              <w:jc w:val="both"/>
              <w:rPr>
                <w:rFonts w:ascii="Arial" w:hAnsi="Arial" w:cs="Arial"/>
                <w:bCs/>
                <w:color w:val="0F0D29" w:themeColor="text1"/>
                <w:sz w:val="20"/>
                <w:szCs w:val="20"/>
              </w:rPr>
            </w:pPr>
            <w:r w:rsidRPr="00C6452A">
              <w:rPr>
                <w:rFonts w:ascii="Arial" w:hAnsi="Arial" w:cs="Arial"/>
                <w:bCs/>
                <w:color w:val="0F0D29" w:themeColor="text1"/>
                <w:sz w:val="20"/>
                <w:szCs w:val="20"/>
              </w:rPr>
              <w:t>Návrh zákona, kterým se mění zákon č.283/2021 Sb., stavební zákon, a některé další související zákony</w:t>
            </w:r>
          </w:p>
          <w:p w14:paraId="4E16F9B5" w14:textId="77777777" w:rsidR="00F80FE3" w:rsidRPr="00F80FE3" w:rsidRDefault="00F80FE3" w:rsidP="00F80FE3">
            <w:pPr>
              <w:pStyle w:val="Odstavecseseznamem"/>
              <w:spacing w:line="360" w:lineRule="auto"/>
              <w:ind w:left="786"/>
              <w:jc w:val="both"/>
              <w:rPr>
                <w:rFonts w:ascii="Arial" w:hAnsi="Arial" w:cs="Arial"/>
                <w:bCs/>
                <w:color w:val="0F0D29" w:themeColor="text1"/>
                <w:sz w:val="20"/>
                <w:szCs w:val="20"/>
              </w:rPr>
            </w:pPr>
          </w:p>
          <w:p w14:paraId="132D1DD9" w14:textId="4D65250A" w:rsidR="0014703E" w:rsidRPr="00815900" w:rsidRDefault="0014703E" w:rsidP="00F80FE3">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5510BD7A" w14:textId="77777777" w:rsidR="00344A05" w:rsidRPr="00344A05" w:rsidRDefault="00344A05"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344A05">
              <w:rPr>
                <w:rFonts w:ascii="Arial" w:hAnsi="Arial" w:cs="Arial"/>
                <w:bCs/>
                <w:color w:val="1B174A" w:themeColor="text1" w:themeTint="E6"/>
                <w:sz w:val="20"/>
                <w:szCs w:val="20"/>
              </w:rPr>
              <w:t>Vyhláška, kterou se mění vyhláška č. 358/2013 Sb., o poskytování údajů z katastru nemovitostí, ve znění vyhlášek č. 354/2015 Sb. a č. 256/2018 Sb.</w:t>
            </w:r>
          </w:p>
          <w:p w14:paraId="5CAA4E9B" w14:textId="3EAB4397" w:rsidR="00BA7725" w:rsidRDefault="00344A05"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344A05">
              <w:rPr>
                <w:rFonts w:ascii="Arial" w:hAnsi="Arial" w:cs="Arial"/>
                <w:bCs/>
                <w:color w:val="1B174A" w:themeColor="text1" w:themeTint="E6"/>
                <w:sz w:val="20"/>
                <w:szCs w:val="20"/>
              </w:rPr>
              <w:t>Návrh vyhlášky, kterou se mění vyhláška č. 393/2020 Sb., o digitální technické mapě kraje</w:t>
            </w:r>
          </w:p>
          <w:p w14:paraId="21259333" w14:textId="39A5C9FE" w:rsidR="00344A05" w:rsidRPr="00344A05" w:rsidRDefault="00344A05"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344A05">
              <w:rPr>
                <w:rFonts w:ascii="Arial" w:hAnsi="Arial" w:cs="Arial"/>
                <w:bCs/>
                <w:color w:val="1B174A" w:themeColor="text1" w:themeTint="E6"/>
                <w:sz w:val="20"/>
                <w:szCs w:val="20"/>
              </w:rPr>
              <w:t>Návrh vyhlášky, kterou se mění vyhláška č. 428/2001 Sb., kterou se provádí zákon č. 274/2001 Sb., o vodovodech a kanalizacích pro veřejnou potřebu a o změně některých zákonů (zákon o vodovodech a kanalizacích), ve znění pozdějších předpisů</w:t>
            </w:r>
          </w:p>
          <w:p w14:paraId="4B4CD3F1" w14:textId="0F3A9D36" w:rsidR="00344A05" w:rsidRDefault="00344A05"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344A05">
              <w:rPr>
                <w:rFonts w:ascii="Arial" w:hAnsi="Arial" w:cs="Arial"/>
                <w:bCs/>
                <w:color w:val="1B174A" w:themeColor="text1" w:themeTint="E6"/>
                <w:sz w:val="20"/>
                <w:szCs w:val="20"/>
              </w:rPr>
              <w:t>Návrh vyhlášky, kterou se mění vyhláška č. 227/2015 Sb., o náležitostech bezpečnostní dokumentace a rozsahu informací poskytovaných zpracovateli posudku</w:t>
            </w:r>
          </w:p>
          <w:p w14:paraId="56ADE5ED" w14:textId="55FFB054" w:rsidR="005F1F37" w:rsidRPr="005F1F37" w:rsidRDefault="005F1F37"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5F1F37">
              <w:rPr>
                <w:rFonts w:ascii="Arial" w:hAnsi="Arial" w:cs="Arial"/>
                <w:bCs/>
                <w:color w:val="1B174A" w:themeColor="text1" w:themeTint="E6"/>
                <w:sz w:val="20"/>
                <w:szCs w:val="20"/>
              </w:rPr>
              <w:t>Novela zákona č. 110/1997 o potravinách a tabákových výrobcích</w:t>
            </w:r>
          </w:p>
          <w:p w14:paraId="4D1C5843" w14:textId="7448BA23" w:rsidR="005F1F37" w:rsidRPr="005F1F37" w:rsidRDefault="005F1F37"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5F1F37">
              <w:rPr>
                <w:rFonts w:ascii="Arial" w:hAnsi="Arial" w:cs="Arial"/>
                <w:bCs/>
                <w:color w:val="1B174A" w:themeColor="text1" w:themeTint="E6"/>
                <w:sz w:val="20"/>
                <w:szCs w:val="20"/>
              </w:rPr>
              <w:t>Návrh zákona o jednotném environmentálním stanovisku</w:t>
            </w:r>
          </w:p>
          <w:p w14:paraId="2519C35B" w14:textId="0336E3D8" w:rsidR="005F1F37" w:rsidRDefault="005F1F37" w:rsidP="00344A05">
            <w:pPr>
              <w:pStyle w:val="Odstavecseseznamem"/>
              <w:numPr>
                <w:ilvl w:val="0"/>
                <w:numId w:val="1"/>
              </w:numPr>
              <w:spacing w:line="360" w:lineRule="auto"/>
              <w:jc w:val="both"/>
              <w:rPr>
                <w:rFonts w:ascii="Arial" w:hAnsi="Arial" w:cs="Arial"/>
                <w:bCs/>
                <w:color w:val="1B174A" w:themeColor="text1" w:themeTint="E6"/>
                <w:sz w:val="20"/>
                <w:szCs w:val="20"/>
              </w:rPr>
            </w:pPr>
            <w:r w:rsidRPr="005F1F37">
              <w:rPr>
                <w:rFonts w:ascii="Arial" w:hAnsi="Arial" w:cs="Arial"/>
                <w:bCs/>
                <w:color w:val="1B174A" w:themeColor="text1" w:themeTint="E6"/>
                <w:sz w:val="20"/>
                <w:szCs w:val="20"/>
              </w:rPr>
              <w:t>Novela zákona č.416/2009 Sb., o urychlení výstavby dopravní, vodní a energetické infrastruktury a infrastruktury elektronických komunikací (liniový zákon)</w:t>
            </w:r>
          </w:p>
          <w:p w14:paraId="6BCF8412" w14:textId="02B66412" w:rsidR="00A81EDF" w:rsidRDefault="00A81EDF" w:rsidP="00A81EDF">
            <w:pPr>
              <w:spacing w:line="360" w:lineRule="auto"/>
              <w:jc w:val="both"/>
              <w:rPr>
                <w:rFonts w:ascii="Arial" w:hAnsi="Arial" w:cs="Arial"/>
                <w:bCs/>
                <w:color w:val="1B174A" w:themeColor="text1" w:themeTint="E6"/>
                <w:sz w:val="20"/>
                <w:szCs w:val="20"/>
              </w:rPr>
            </w:pPr>
          </w:p>
          <w:p w14:paraId="2A29B54C" w14:textId="77777777" w:rsidR="00A81EDF" w:rsidRPr="00A81EDF" w:rsidRDefault="00A81EDF" w:rsidP="00A81EDF">
            <w:pPr>
              <w:spacing w:line="360" w:lineRule="auto"/>
              <w:jc w:val="both"/>
              <w:rPr>
                <w:rFonts w:ascii="Arial" w:hAnsi="Arial" w:cs="Arial"/>
                <w:bCs/>
                <w:color w:val="1B174A" w:themeColor="text1" w:themeTint="E6"/>
                <w:sz w:val="20"/>
                <w:szCs w:val="20"/>
              </w:rPr>
            </w:pPr>
          </w:p>
          <w:p w14:paraId="118937B2" w14:textId="0DA6C21D" w:rsidR="0014703E" w:rsidRPr="00825113"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lastRenderedPageBreak/>
              <w:t xml:space="preserve">III. </w:t>
            </w:r>
            <w:r w:rsidRPr="00825113">
              <w:rPr>
                <w:rFonts w:ascii="Arial" w:hAnsi="Arial" w:cs="Arial"/>
                <w:b/>
                <w:color w:val="0F0D29" w:themeColor="text1"/>
                <w:sz w:val="24"/>
                <w:szCs w:val="24"/>
              </w:rPr>
              <w:t>Judikatura a stanoviska</w:t>
            </w:r>
          </w:p>
          <w:p w14:paraId="5AD4C7D0" w14:textId="0F7C1577" w:rsidR="009B25AE" w:rsidRDefault="00344A05" w:rsidP="00344A05">
            <w:pPr>
              <w:pStyle w:val="Odstavecseseznamem"/>
              <w:numPr>
                <w:ilvl w:val="0"/>
                <w:numId w:val="1"/>
              </w:numPr>
              <w:spacing w:line="360" w:lineRule="auto"/>
              <w:jc w:val="both"/>
              <w:rPr>
                <w:rFonts w:ascii="Arial" w:hAnsi="Arial" w:cs="Arial"/>
                <w:bCs/>
                <w:color w:val="0F0D29" w:themeColor="text1"/>
                <w:sz w:val="20"/>
                <w:szCs w:val="20"/>
              </w:rPr>
            </w:pPr>
            <w:r w:rsidRPr="00344A05">
              <w:rPr>
                <w:rFonts w:ascii="Arial" w:hAnsi="Arial" w:cs="Arial"/>
                <w:bCs/>
                <w:color w:val="0F0D29" w:themeColor="text1"/>
                <w:sz w:val="20"/>
                <w:szCs w:val="20"/>
              </w:rPr>
              <w:t>Prostý elektronický podpis dle EIDAS v soudní praxi</w:t>
            </w:r>
          </w:p>
          <w:p w14:paraId="29CBF28A" w14:textId="562562B8" w:rsidR="00344A05" w:rsidRDefault="00344A05" w:rsidP="00344A05">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Objektivní odpovědnost za škodu na nemovitosti</w:t>
            </w:r>
          </w:p>
          <w:p w14:paraId="73491943" w14:textId="61D421B5" w:rsidR="00344A05" w:rsidRDefault="00344A05" w:rsidP="00344A05">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 xml:space="preserve">SDEU k </w:t>
            </w:r>
            <w:r w:rsidRPr="00344A05">
              <w:rPr>
                <w:rFonts w:ascii="Arial" w:hAnsi="Arial" w:cs="Arial"/>
                <w:bCs/>
                <w:color w:val="0F0D29" w:themeColor="text1"/>
                <w:sz w:val="20"/>
                <w:szCs w:val="20"/>
              </w:rPr>
              <w:t>minimální</w:t>
            </w:r>
            <w:r>
              <w:rPr>
                <w:rFonts w:ascii="Arial" w:hAnsi="Arial" w:cs="Arial"/>
                <w:bCs/>
                <w:color w:val="0F0D29" w:themeColor="text1"/>
                <w:sz w:val="20"/>
                <w:szCs w:val="20"/>
              </w:rPr>
              <w:t>mu</w:t>
            </w:r>
            <w:r w:rsidRPr="00344A05">
              <w:rPr>
                <w:rFonts w:ascii="Arial" w:hAnsi="Arial" w:cs="Arial"/>
                <w:bCs/>
                <w:color w:val="0F0D29" w:themeColor="text1"/>
                <w:sz w:val="20"/>
                <w:szCs w:val="20"/>
              </w:rPr>
              <w:t xml:space="preserve"> týdenní</w:t>
            </w:r>
            <w:r>
              <w:rPr>
                <w:rFonts w:ascii="Arial" w:hAnsi="Arial" w:cs="Arial"/>
                <w:bCs/>
                <w:color w:val="0F0D29" w:themeColor="text1"/>
                <w:sz w:val="20"/>
                <w:szCs w:val="20"/>
              </w:rPr>
              <w:t xml:space="preserve">mu </w:t>
            </w:r>
            <w:r w:rsidRPr="00344A05">
              <w:rPr>
                <w:rFonts w:ascii="Arial" w:hAnsi="Arial" w:cs="Arial"/>
                <w:bCs/>
                <w:color w:val="0F0D29" w:themeColor="text1"/>
                <w:sz w:val="20"/>
                <w:szCs w:val="20"/>
              </w:rPr>
              <w:t>nepřetržité</w:t>
            </w:r>
            <w:r>
              <w:rPr>
                <w:rFonts w:ascii="Arial" w:hAnsi="Arial" w:cs="Arial"/>
                <w:bCs/>
                <w:color w:val="0F0D29" w:themeColor="text1"/>
                <w:sz w:val="20"/>
                <w:szCs w:val="20"/>
              </w:rPr>
              <w:t xml:space="preserve">mu </w:t>
            </w:r>
            <w:r w:rsidRPr="00344A05">
              <w:rPr>
                <w:rFonts w:ascii="Arial" w:hAnsi="Arial" w:cs="Arial"/>
                <w:bCs/>
                <w:color w:val="0F0D29" w:themeColor="text1"/>
                <w:sz w:val="20"/>
                <w:szCs w:val="20"/>
              </w:rPr>
              <w:t>odpočinku</w:t>
            </w:r>
          </w:p>
          <w:p w14:paraId="221E11B8" w14:textId="1711BA1A" w:rsidR="008264C3" w:rsidRDefault="008264C3" w:rsidP="00344A05">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Dohoda o prodloužení výpovědní doby</w:t>
            </w:r>
          </w:p>
          <w:p w14:paraId="1E1D3962" w14:textId="1AD9AB8C" w:rsidR="00B861BF" w:rsidRDefault="00B861BF" w:rsidP="00344A05">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Přihlášení nevyplněné avalované blankosměnky</w:t>
            </w:r>
            <w:r w:rsidR="004B005C">
              <w:rPr>
                <w:rFonts w:ascii="Arial" w:hAnsi="Arial" w:cs="Arial"/>
                <w:bCs/>
                <w:color w:val="0F0D29" w:themeColor="text1"/>
                <w:sz w:val="20"/>
                <w:szCs w:val="20"/>
              </w:rPr>
              <w:t xml:space="preserve"> </w:t>
            </w:r>
            <w:r w:rsidRPr="00B861BF">
              <w:rPr>
                <w:rFonts w:ascii="Arial" w:hAnsi="Arial" w:cs="Arial"/>
                <w:bCs/>
                <w:color w:val="0F0D29" w:themeColor="text1"/>
                <w:sz w:val="20"/>
                <w:szCs w:val="20"/>
              </w:rPr>
              <w:t xml:space="preserve">do insolvenčního řízení vedeného na majetek směnečného rukojmího </w:t>
            </w:r>
          </w:p>
          <w:p w14:paraId="2B96E6E3" w14:textId="1CB4EA51" w:rsidR="004B005C" w:rsidRDefault="004B005C" w:rsidP="004B005C">
            <w:pPr>
              <w:spacing w:line="360" w:lineRule="auto"/>
              <w:jc w:val="both"/>
              <w:rPr>
                <w:rFonts w:ascii="Arial" w:hAnsi="Arial" w:cs="Arial"/>
                <w:bCs/>
                <w:color w:val="0F0D29" w:themeColor="text1"/>
                <w:sz w:val="20"/>
                <w:szCs w:val="20"/>
              </w:rPr>
            </w:pPr>
          </w:p>
          <w:p w14:paraId="638DE63D" w14:textId="55C69092" w:rsidR="004B005C" w:rsidRDefault="004B005C" w:rsidP="004B005C">
            <w:pPr>
              <w:spacing w:line="360" w:lineRule="auto"/>
              <w:jc w:val="both"/>
              <w:rPr>
                <w:rFonts w:ascii="Arial" w:hAnsi="Arial" w:cs="Arial"/>
                <w:bCs/>
                <w:color w:val="0F0D29" w:themeColor="text1"/>
                <w:sz w:val="20"/>
                <w:szCs w:val="20"/>
              </w:rPr>
            </w:pPr>
          </w:p>
          <w:p w14:paraId="3DA505C9" w14:textId="7EDBB433" w:rsidR="004B005C" w:rsidRDefault="004B005C" w:rsidP="004B005C">
            <w:pPr>
              <w:spacing w:line="360" w:lineRule="auto"/>
              <w:jc w:val="both"/>
              <w:rPr>
                <w:rFonts w:ascii="Arial" w:hAnsi="Arial" w:cs="Arial"/>
                <w:bCs/>
                <w:color w:val="0F0D29" w:themeColor="text1"/>
                <w:sz w:val="20"/>
                <w:szCs w:val="20"/>
              </w:rPr>
            </w:pPr>
          </w:p>
          <w:p w14:paraId="4D9D13F8" w14:textId="1E13EC49" w:rsidR="004B005C" w:rsidRDefault="004B005C" w:rsidP="004B005C">
            <w:pPr>
              <w:spacing w:line="360" w:lineRule="auto"/>
              <w:jc w:val="both"/>
              <w:rPr>
                <w:rFonts w:ascii="Arial" w:hAnsi="Arial" w:cs="Arial"/>
                <w:bCs/>
                <w:color w:val="0F0D29" w:themeColor="text1"/>
                <w:sz w:val="20"/>
                <w:szCs w:val="20"/>
              </w:rPr>
            </w:pPr>
          </w:p>
          <w:p w14:paraId="7D5C622A" w14:textId="5C2EE78F" w:rsidR="004B005C" w:rsidRDefault="004B005C" w:rsidP="004B005C">
            <w:pPr>
              <w:spacing w:line="360" w:lineRule="auto"/>
              <w:jc w:val="both"/>
              <w:rPr>
                <w:rFonts w:ascii="Arial" w:hAnsi="Arial" w:cs="Arial"/>
                <w:bCs/>
                <w:color w:val="0F0D29" w:themeColor="text1"/>
                <w:sz w:val="20"/>
                <w:szCs w:val="20"/>
              </w:rPr>
            </w:pPr>
          </w:p>
          <w:p w14:paraId="0E762DFF" w14:textId="66CF4954" w:rsidR="004B005C" w:rsidRDefault="004B005C" w:rsidP="004B005C">
            <w:pPr>
              <w:spacing w:line="360" w:lineRule="auto"/>
              <w:jc w:val="both"/>
              <w:rPr>
                <w:rFonts w:ascii="Arial" w:hAnsi="Arial" w:cs="Arial"/>
                <w:bCs/>
                <w:color w:val="0F0D29" w:themeColor="text1"/>
                <w:sz w:val="20"/>
                <w:szCs w:val="20"/>
              </w:rPr>
            </w:pPr>
          </w:p>
          <w:p w14:paraId="393D1679" w14:textId="7793FC91" w:rsidR="004B005C" w:rsidRDefault="004B005C" w:rsidP="004B005C">
            <w:pPr>
              <w:spacing w:line="360" w:lineRule="auto"/>
              <w:jc w:val="both"/>
              <w:rPr>
                <w:rFonts w:ascii="Arial" w:hAnsi="Arial" w:cs="Arial"/>
                <w:bCs/>
                <w:color w:val="0F0D29" w:themeColor="text1"/>
                <w:sz w:val="20"/>
                <w:szCs w:val="20"/>
              </w:rPr>
            </w:pPr>
          </w:p>
          <w:p w14:paraId="034D3400" w14:textId="43D09813" w:rsidR="004B005C" w:rsidRDefault="004B005C" w:rsidP="004B005C">
            <w:pPr>
              <w:spacing w:line="360" w:lineRule="auto"/>
              <w:jc w:val="both"/>
              <w:rPr>
                <w:rFonts w:ascii="Arial" w:hAnsi="Arial" w:cs="Arial"/>
                <w:bCs/>
                <w:color w:val="0F0D29" w:themeColor="text1"/>
                <w:sz w:val="20"/>
                <w:szCs w:val="20"/>
              </w:rPr>
            </w:pPr>
          </w:p>
          <w:p w14:paraId="3466F3F6" w14:textId="6CA9F3CA" w:rsidR="004B005C" w:rsidRDefault="004B005C" w:rsidP="004B005C">
            <w:pPr>
              <w:spacing w:line="360" w:lineRule="auto"/>
              <w:jc w:val="both"/>
              <w:rPr>
                <w:rFonts w:ascii="Arial" w:hAnsi="Arial" w:cs="Arial"/>
                <w:bCs/>
                <w:color w:val="0F0D29" w:themeColor="text1"/>
                <w:sz w:val="20"/>
                <w:szCs w:val="20"/>
              </w:rPr>
            </w:pPr>
          </w:p>
          <w:p w14:paraId="4EFA7AE7" w14:textId="7A49C6C2" w:rsidR="004B005C" w:rsidRDefault="004B005C" w:rsidP="004B005C">
            <w:pPr>
              <w:spacing w:line="360" w:lineRule="auto"/>
              <w:jc w:val="both"/>
              <w:rPr>
                <w:rFonts w:ascii="Arial" w:hAnsi="Arial" w:cs="Arial"/>
                <w:bCs/>
                <w:color w:val="0F0D29" w:themeColor="text1"/>
                <w:sz w:val="20"/>
                <w:szCs w:val="20"/>
              </w:rPr>
            </w:pPr>
          </w:p>
          <w:p w14:paraId="7B5AEE51" w14:textId="6A75A4B7" w:rsidR="004B005C" w:rsidRDefault="004B005C" w:rsidP="004B005C">
            <w:pPr>
              <w:spacing w:line="360" w:lineRule="auto"/>
              <w:jc w:val="both"/>
              <w:rPr>
                <w:rFonts w:ascii="Arial" w:hAnsi="Arial" w:cs="Arial"/>
                <w:bCs/>
                <w:color w:val="0F0D29" w:themeColor="text1"/>
                <w:sz w:val="20"/>
                <w:szCs w:val="20"/>
              </w:rPr>
            </w:pPr>
          </w:p>
          <w:p w14:paraId="3E3CF418" w14:textId="436D20F9" w:rsidR="004B005C" w:rsidRDefault="004B005C" w:rsidP="004B005C">
            <w:pPr>
              <w:spacing w:line="360" w:lineRule="auto"/>
              <w:jc w:val="both"/>
              <w:rPr>
                <w:rFonts w:ascii="Arial" w:hAnsi="Arial" w:cs="Arial"/>
                <w:bCs/>
                <w:color w:val="0F0D29" w:themeColor="text1"/>
                <w:sz w:val="20"/>
                <w:szCs w:val="20"/>
              </w:rPr>
            </w:pPr>
          </w:p>
          <w:p w14:paraId="4C96CBA5" w14:textId="500F54F4" w:rsidR="004B005C" w:rsidRDefault="004B005C" w:rsidP="004B005C">
            <w:pPr>
              <w:spacing w:line="360" w:lineRule="auto"/>
              <w:jc w:val="both"/>
              <w:rPr>
                <w:rFonts w:ascii="Arial" w:hAnsi="Arial" w:cs="Arial"/>
                <w:bCs/>
                <w:color w:val="0F0D29" w:themeColor="text1"/>
                <w:sz w:val="20"/>
                <w:szCs w:val="20"/>
              </w:rPr>
            </w:pPr>
          </w:p>
          <w:p w14:paraId="773AF093" w14:textId="2B2C32BC" w:rsidR="004B005C" w:rsidRDefault="004B005C" w:rsidP="004B005C">
            <w:pPr>
              <w:spacing w:line="360" w:lineRule="auto"/>
              <w:jc w:val="both"/>
              <w:rPr>
                <w:rFonts w:ascii="Arial" w:hAnsi="Arial" w:cs="Arial"/>
                <w:bCs/>
                <w:color w:val="0F0D29" w:themeColor="text1"/>
                <w:sz w:val="20"/>
                <w:szCs w:val="20"/>
              </w:rPr>
            </w:pPr>
          </w:p>
          <w:p w14:paraId="59A32F89" w14:textId="6463816B" w:rsidR="004B005C" w:rsidRDefault="004B005C" w:rsidP="004B005C">
            <w:pPr>
              <w:spacing w:line="360" w:lineRule="auto"/>
              <w:jc w:val="both"/>
              <w:rPr>
                <w:rFonts w:ascii="Arial" w:hAnsi="Arial" w:cs="Arial"/>
                <w:bCs/>
                <w:color w:val="0F0D29" w:themeColor="text1"/>
                <w:sz w:val="20"/>
                <w:szCs w:val="20"/>
              </w:rPr>
            </w:pPr>
          </w:p>
          <w:p w14:paraId="5868E03A" w14:textId="4A6F02A9" w:rsidR="004B005C" w:rsidRDefault="004B005C" w:rsidP="004B005C">
            <w:pPr>
              <w:spacing w:line="360" w:lineRule="auto"/>
              <w:jc w:val="both"/>
              <w:rPr>
                <w:rFonts w:ascii="Arial" w:hAnsi="Arial" w:cs="Arial"/>
                <w:bCs/>
                <w:color w:val="0F0D29" w:themeColor="text1"/>
                <w:sz w:val="20"/>
                <w:szCs w:val="20"/>
              </w:rPr>
            </w:pPr>
          </w:p>
          <w:p w14:paraId="1FC5F553" w14:textId="08612229" w:rsidR="004B005C" w:rsidRDefault="004B005C" w:rsidP="004B005C">
            <w:pPr>
              <w:spacing w:line="360" w:lineRule="auto"/>
              <w:jc w:val="both"/>
              <w:rPr>
                <w:rFonts w:ascii="Arial" w:hAnsi="Arial" w:cs="Arial"/>
                <w:bCs/>
                <w:color w:val="0F0D29" w:themeColor="text1"/>
                <w:sz w:val="20"/>
                <w:szCs w:val="20"/>
              </w:rPr>
            </w:pPr>
          </w:p>
          <w:p w14:paraId="11682A6E" w14:textId="643085E4" w:rsidR="004B005C" w:rsidRDefault="004B005C" w:rsidP="004B005C">
            <w:pPr>
              <w:spacing w:line="360" w:lineRule="auto"/>
              <w:jc w:val="both"/>
              <w:rPr>
                <w:rFonts w:ascii="Arial" w:hAnsi="Arial" w:cs="Arial"/>
                <w:bCs/>
                <w:color w:val="0F0D29" w:themeColor="text1"/>
                <w:sz w:val="20"/>
                <w:szCs w:val="20"/>
              </w:rPr>
            </w:pPr>
          </w:p>
          <w:p w14:paraId="348D640E" w14:textId="2F4439F7" w:rsidR="004B005C" w:rsidRDefault="004B005C" w:rsidP="004B005C">
            <w:pPr>
              <w:spacing w:line="360" w:lineRule="auto"/>
              <w:jc w:val="both"/>
              <w:rPr>
                <w:rFonts w:ascii="Arial" w:hAnsi="Arial" w:cs="Arial"/>
                <w:bCs/>
                <w:color w:val="0F0D29" w:themeColor="text1"/>
                <w:sz w:val="20"/>
                <w:szCs w:val="20"/>
              </w:rPr>
            </w:pPr>
          </w:p>
          <w:p w14:paraId="67707A24" w14:textId="610AA6DF" w:rsidR="004B005C" w:rsidRDefault="004B005C" w:rsidP="004B005C">
            <w:pPr>
              <w:spacing w:line="360" w:lineRule="auto"/>
              <w:jc w:val="both"/>
              <w:rPr>
                <w:rFonts w:ascii="Arial" w:hAnsi="Arial" w:cs="Arial"/>
                <w:bCs/>
                <w:color w:val="0F0D29" w:themeColor="text1"/>
                <w:sz w:val="20"/>
                <w:szCs w:val="20"/>
              </w:rPr>
            </w:pPr>
          </w:p>
          <w:p w14:paraId="70B09326" w14:textId="77777777" w:rsidR="004B005C" w:rsidRPr="004B005C" w:rsidRDefault="004B005C" w:rsidP="004B005C">
            <w:pPr>
              <w:spacing w:line="360" w:lineRule="auto"/>
              <w:jc w:val="both"/>
              <w:rPr>
                <w:rFonts w:ascii="Arial" w:hAnsi="Arial" w:cs="Arial"/>
                <w:bCs/>
                <w:color w:val="0F0D29" w:themeColor="text1"/>
                <w:sz w:val="20"/>
                <w:szCs w:val="20"/>
              </w:rPr>
            </w:pPr>
          </w:p>
          <w:p w14:paraId="28077A12" w14:textId="62516A98" w:rsidR="009B25AE" w:rsidRDefault="009B25AE" w:rsidP="009B25AE">
            <w:pPr>
              <w:spacing w:line="360" w:lineRule="auto"/>
              <w:jc w:val="both"/>
              <w:rPr>
                <w:rFonts w:ascii="Arial" w:hAnsi="Arial" w:cs="Arial"/>
                <w:bCs/>
                <w:color w:val="0F0D29" w:themeColor="text1"/>
                <w:sz w:val="20"/>
                <w:szCs w:val="20"/>
              </w:rPr>
            </w:pPr>
          </w:p>
          <w:p w14:paraId="68732993" w14:textId="410A065A" w:rsidR="005337A5" w:rsidRDefault="005337A5" w:rsidP="009B25AE">
            <w:pPr>
              <w:spacing w:line="360" w:lineRule="auto"/>
              <w:jc w:val="both"/>
              <w:rPr>
                <w:rFonts w:ascii="Arial" w:hAnsi="Arial" w:cs="Arial"/>
                <w:bCs/>
                <w:color w:val="0F0D29" w:themeColor="text1"/>
                <w:sz w:val="20"/>
                <w:szCs w:val="20"/>
              </w:rPr>
            </w:pPr>
          </w:p>
          <w:p w14:paraId="38A273C0" w14:textId="4B3F6A69" w:rsidR="004B005C" w:rsidRDefault="004B005C" w:rsidP="009B25AE">
            <w:pPr>
              <w:spacing w:line="360" w:lineRule="auto"/>
              <w:jc w:val="both"/>
              <w:rPr>
                <w:rFonts w:ascii="Arial" w:hAnsi="Arial" w:cs="Arial"/>
                <w:bCs/>
                <w:color w:val="0F0D29" w:themeColor="text1"/>
                <w:sz w:val="20"/>
                <w:szCs w:val="20"/>
              </w:rPr>
            </w:pPr>
          </w:p>
          <w:p w14:paraId="5AE219EE" w14:textId="2F09ACDC" w:rsidR="004B005C" w:rsidRDefault="004B005C" w:rsidP="009B25AE">
            <w:pPr>
              <w:spacing w:line="360" w:lineRule="auto"/>
              <w:jc w:val="both"/>
              <w:rPr>
                <w:rFonts w:ascii="Arial" w:hAnsi="Arial" w:cs="Arial"/>
                <w:bCs/>
                <w:color w:val="0F0D29" w:themeColor="text1"/>
                <w:sz w:val="20"/>
                <w:szCs w:val="20"/>
              </w:rPr>
            </w:pPr>
          </w:p>
          <w:p w14:paraId="21392EE5" w14:textId="29C8B8CC" w:rsidR="004B005C" w:rsidRDefault="004B005C" w:rsidP="009B25AE">
            <w:pPr>
              <w:spacing w:line="360" w:lineRule="auto"/>
              <w:jc w:val="both"/>
              <w:rPr>
                <w:rFonts w:ascii="Arial" w:hAnsi="Arial" w:cs="Arial"/>
                <w:bCs/>
                <w:color w:val="0F0D29" w:themeColor="text1"/>
                <w:sz w:val="20"/>
                <w:szCs w:val="20"/>
              </w:rPr>
            </w:pPr>
          </w:p>
          <w:p w14:paraId="14662707" w14:textId="2DF404DF" w:rsidR="004B005C" w:rsidRDefault="004B005C" w:rsidP="009B25AE">
            <w:pPr>
              <w:spacing w:line="360" w:lineRule="auto"/>
              <w:jc w:val="both"/>
              <w:rPr>
                <w:rFonts w:ascii="Arial" w:hAnsi="Arial" w:cs="Arial"/>
                <w:bCs/>
                <w:color w:val="0F0D29" w:themeColor="text1"/>
                <w:sz w:val="20"/>
                <w:szCs w:val="20"/>
              </w:rPr>
            </w:pPr>
          </w:p>
          <w:p w14:paraId="056BA3E0" w14:textId="0D7A7915" w:rsidR="004B005C" w:rsidRDefault="004B005C" w:rsidP="009B25AE">
            <w:pPr>
              <w:spacing w:line="360" w:lineRule="auto"/>
              <w:jc w:val="both"/>
              <w:rPr>
                <w:rFonts w:ascii="Arial" w:hAnsi="Arial" w:cs="Arial"/>
                <w:bCs/>
                <w:color w:val="0F0D29" w:themeColor="text1"/>
                <w:sz w:val="20"/>
                <w:szCs w:val="20"/>
              </w:rPr>
            </w:pPr>
          </w:p>
          <w:p w14:paraId="2E83D0A7" w14:textId="11E86F16" w:rsidR="004B005C" w:rsidRDefault="004B005C" w:rsidP="009B25AE">
            <w:pPr>
              <w:spacing w:line="360" w:lineRule="auto"/>
              <w:jc w:val="both"/>
              <w:rPr>
                <w:rFonts w:ascii="Arial" w:hAnsi="Arial" w:cs="Arial"/>
                <w:bCs/>
                <w:color w:val="0F0D29" w:themeColor="text1"/>
                <w:sz w:val="20"/>
                <w:szCs w:val="20"/>
              </w:rPr>
            </w:pPr>
          </w:p>
          <w:p w14:paraId="1CFA5F5C" w14:textId="4C290105" w:rsidR="004B005C" w:rsidRDefault="004B005C" w:rsidP="009B25AE">
            <w:pPr>
              <w:spacing w:line="360" w:lineRule="auto"/>
              <w:jc w:val="both"/>
              <w:rPr>
                <w:rFonts w:ascii="Arial" w:hAnsi="Arial" w:cs="Arial"/>
                <w:bCs/>
                <w:color w:val="0F0D29" w:themeColor="text1"/>
                <w:sz w:val="20"/>
                <w:szCs w:val="20"/>
              </w:rPr>
            </w:pPr>
          </w:p>
          <w:p w14:paraId="5C190A49" w14:textId="47AC7AD2" w:rsidR="004B005C" w:rsidRDefault="004B005C" w:rsidP="009B25AE">
            <w:pPr>
              <w:spacing w:line="360" w:lineRule="auto"/>
              <w:jc w:val="both"/>
              <w:rPr>
                <w:rFonts w:ascii="Arial" w:hAnsi="Arial" w:cs="Arial"/>
                <w:bCs/>
                <w:color w:val="0F0D29" w:themeColor="text1"/>
                <w:sz w:val="20"/>
                <w:szCs w:val="20"/>
              </w:rPr>
            </w:pPr>
          </w:p>
          <w:p w14:paraId="3EF09E22" w14:textId="5C742806" w:rsidR="004B005C" w:rsidRDefault="004B005C" w:rsidP="009B25AE">
            <w:pPr>
              <w:spacing w:line="360" w:lineRule="auto"/>
              <w:jc w:val="both"/>
              <w:rPr>
                <w:rFonts w:ascii="Arial" w:hAnsi="Arial" w:cs="Arial"/>
                <w:bCs/>
                <w:color w:val="0F0D29" w:themeColor="text1"/>
                <w:sz w:val="20"/>
                <w:szCs w:val="20"/>
              </w:rPr>
            </w:pPr>
          </w:p>
          <w:p w14:paraId="6F30471E" w14:textId="2A253B0B" w:rsidR="004B005C" w:rsidRDefault="004B005C" w:rsidP="009B25AE">
            <w:pPr>
              <w:spacing w:line="360" w:lineRule="auto"/>
              <w:jc w:val="both"/>
              <w:rPr>
                <w:rFonts w:ascii="Arial" w:hAnsi="Arial" w:cs="Arial"/>
                <w:bCs/>
                <w:color w:val="0F0D29" w:themeColor="text1"/>
                <w:sz w:val="20"/>
                <w:szCs w:val="20"/>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651D3946" w:rsidR="00C203E7" w:rsidRPr="006E530F" w:rsidRDefault="000C6CC9"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0C6CC9">
              <w:rPr>
                <w:rStyle w:val="Hypertextovodkaz"/>
                <w:rFonts w:ascii="Arial" w:eastAsia="Times New Roman" w:hAnsi="Arial" w:cs="Arial"/>
                <w:b/>
                <w:bCs/>
                <w:color w:val="0F0D29" w:themeColor="text1"/>
                <w:kern w:val="36"/>
                <w:sz w:val="24"/>
                <w:szCs w:val="24"/>
                <w:u w:val="none"/>
                <w:lang w:eastAsia="cs-CZ"/>
              </w:rPr>
              <w:t xml:space="preserve"> </w:t>
            </w:r>
            <w:r w:rsidR="00916FC4">
              <w:t xml:space="preserve"> </w:t>
            </w:r>
            <w:r w:rsidR="002A7D57">
              <w:t xml:space="preserve"> </w:t>
            </w:r>
            <w:r w:rsidR="008B5919">
              <w:t xml:space="preserve"> </w:t>
            </w:r>
            <w:r w:rsidR="008B5919" w:rsidRPr="008B5919">
              <w:rPr>
                <w:rStyle w:val="Hypertextovodkaz"/>
                <w:rFonts w:ascii="Arial" w:eastAsia="Times New Roman" w:hAnsi="Arial" w:cs="Arial"/>
                <w:b/>
                <w:bCs/>
                <w:color w:val="0F0D29" w:themeColor="text1"/>
                <w:kern w:val="36"/>
                <w:sz w:val="24"/>
                <w:szCs w:val="24"/>
                <w:u w:val="none"/>
                <w:lang w:eastAsia="cs-CZ"/>
              </w:rPr>
              <w:t xml:space="preserve">Vyhláška č. 98/2023 Sb., kterou se mění vyhláška Ministerstva dopravy a spojů č. 108/1997 Sb., kterou se provádí zákon č. 49/1997 Sb., o civilním letectví a o změně a doplnění zákona č. 455/1991 Sb., o živnostenském podnikání (živnostenský zákon), ve znění pozdějších předpisů </w:t>
            </w:r>
            <w:r w:rsidR="00C6452A">
              <w:rPr>
                <w:rStyle w:val="Hypertextovodkaz"/>
                <w:rFonts w:ascii="Arial" w:eastAsia="Times New Roman" w:hAnsi="Arial" w:cs="Arial"/>
                <w:b/>
                <w:bCs/>
                <w:color w:val="0F0D29" w:themeColor="text1"/>
                <w:kern w:val="36"/>
                <w:sz w:val="24"/>
                <w:szCs w:val="24"/>
                <w:u w:val="none"/>
                <w:lang w:eastAsia="cs-CZ"/>
              </w:rPr>
              <w:pict w14:anchorId="5D475690">
                <v:rect id="_x0000_i1025" style="width:0;height:1.5pt" o:hralign="center" o:hrstd="t" o:hr="t" fillcolor="#a0a0a0" stroked="f"/>
              </w:pict>
            </w:r>
          </w:p>
          <w:p w14:paraId="65A2A647" w14:textId="3743E6CB"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8602AE" w:rsidRPr="001A0EC5">
              <w:rPr>
                <w:rFonts w:asciiTheme="majorHAnsi" w:hAnsiTheme="majorHAnsi" w:cstheme="majorHAnsi"/>
                <w:color w:val="3B3B3B"/>
                <w:sz w:val="20"/>
                <w:szCs w:val="20"/>
              </w:rPr>
              <w:t>2</w:t>
            </w:r>
            <w:r w:rsidR="008B5919">
              <w:rPr>
                <w:rFonts w:asciiTheme="majorHAnsi" w:hAnsiTheme="majorHAnsi" w:cstheme="majorHAnsi"/>
                <w:color w:val="3B3B3B"/>
                <w:sz w:val="20"/>
                <w:szCs w:val="20"/>
              </w:rPr>
              <w:t>8</w:t>
            </w:r>
            <w:r w:rsidR="00916FC4" w:rsidRPr="001A0EC5">
              <w:rPr>
                <w:rFonts w:asciiTheme="majorHAnsi" w:hAnsiTheme="majorHAnsi" w:cstheme="majorHAnsi"/>
                <w:color w:val="3B3B3B"/>
                <w:sz w:val="20"/>
                <w:szCs w:val="20"/>
              </w:rPr>
              <w:t>.</w:t>
            </w:r>
            <w:r w:rsidR="008B5919">
              <w:rPr>
                <w:rFonts w:asciiTheme="majorHAnsi" w:hAnsiTheme="majorHAnsi" w:cstheme="majorHAnsi"/>
                <w:color w:val="3B3B3B"/>
                <w:sz w:val="20"/>
                <w:szCs w:val="20"/>
              </w:rPr>
              <w:t xml:space="preserve"> 4.</w:t>
            </w:r>
            <w:r w:rsidR="00916FC4"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D10EB3B" w14:textId="366588E8" w:rsidR="00916FC4"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8B5919">
              <w:rPr>
                <w:rFonts w:asciiTheme="majorHAnsi" w:hAnsiTheme="majorHAnsi" w:cstheme="majorHAnsi"/>
                <w:color w:val="3B3B3B"/>
                <w:sz w:val="20"/>
                <w:szCs w:val="20"/>
              </w:rPr>
              <w:t>13. 4</w:t>
            </w:r>
            <w:r w:rsidR="008602AE"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byla ve Sbírce zákonů publikována </w:t>
            </w:r>
            <w:r w:rsidR="008602AE" w:rsidRPr="001A0EC5">
              <w:rPr>
                <w:rFonts w:asciiTheme="majorHAnsi" w:hAnsiTheme="majorHAnsi" w:cstheme="majorHAnsi"/>
                <w:color w:val="3B3B3B"/>
                <w:sz w:val="20"/>
                <w:szCs w:val="20"/>
              </w:rPr>
              <w:t xml:space="preserve">novela </w:t>
            </w:r>
            <w:r w:rsidR="008B5919" w:rsidRPr="008B5919">
              <w:rPr>
                <w:rFonts w:asciiTheme="majorHAnsi" w:hAnsiTheme="majorHAnsi" w:cstheme="majorHAnsi"/>
                <w:color w:val="3B3B3B"/>
                <w:sz w:val="20"/>
                <w:szCs w:val="20"/>
              </w:rPr>
              <w:t>Vyhlášk</w:t>
            </w:r>
            <w:r w:rsidR="008B5919">
              <w:rPr>
                <w:rFonts w:asciiTheme="majorHAnsi" w:hAnsiTheme="majorHAnsi" w:cstheme="majorHAnsi"/>
                <w:color w:val="3B3B3B"/>
                <w:sz w:val="20"/>
                <w:szCs w:val="20"/>
              </w:rPr>
              <w:t>y</w:t>
            </w:r>
            <w:r w:rsidR="008B5919" w:rsidRPr="008B5919">
              <w:rPr>
                <w:rFonts w:asciiTheme="majorHAnsi" w:hAnsiTheme="majorHAnsi" w:cstheme="majorHAnsi"/>
                <w:color w:val="3B3B3B"/>
                <w:sz w:val="20"/>
                <w:szCs w:val="20"/>
              </w:rPr>
              <w:t xml:space="preserve"> č. 98/2023 Sb., kterou se mění vyhláška Ministerstva dopravy a spojů č. 108/1997 Sb., kterou se provádí zákon č. 49/1997 Sb., o civilním letectví a o změně a doplnění zákona č. 455/1991 Sb., o živnostenském podnikání (živnostenský zákon), ve znění pozdějších předpisů, ve znění pozdějších předpisů</w:t>
            </w:r>
            <w:r w:rsidR="008602AE">
              <w:rPr>
                <w:rFonts w:asciiTheme="majorHAnsi" w:hAnsiTheme="majorHAnsi" w:cstheme="majorHAnsi"/>
                <w:color w:val="3B3B3B"/>
                <w:sz w:val="20"/>
                <w:szCs w:val="20"/>
              </w:rPr>
              <w:t xml:space="preserve">). </w:t>
            </w:r>
          </w:p>
          <w:p w14:paraId="7041FEED" w14:textId="2EDDB15A" w:rsidR="008B5919" w:rsidRDefault="008B591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9E988DD" w14:textId="403C81D2" w:rsidR="008B5919" w:rsidRDefault="008B591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Vyhláška obsahuje</w:t>
            </w:r>
            <w:r>
              <w:t xml:space="preserve"> </w:t>
            </w:r>
            <w:r w:rsidRPr="008B5919">
              <w:rPr>
                <w:rFonts w:asciiTheme="majorHAnsi" w:hAnsiTheme="majorHAnsi" w:cstheme="majorHAnsi"/>
                <w:color w:val="3B3B3B"/>
                <w:sz w:val="20"/>
                <w:szCs w:val="20"/>
              </w:rPr>
              <w:t>změny v oblasti provozu a řízení bezpilotních systémů, které vychází z odpovídajících zákonných zmocnění příslušné novely zákona o civilním letectví</w:t>
            </w:r>
            <w:r>
              <w:rPr>
                <w:rFonts w:asciiTheme="majorHAnsi" w:hAnsiTheme="majorHAnsi" w:cstheme="majorHAnsi"/>
                <w:color w:val="3B3B3B"/>
                <w:sz w:val="20"/>
                <w:szCs w:val="20"/>
              </w:rPr>
              <w:t>.</w:t>
            </w:r>
          </w:p>
          <w:p w14:paraId="6524B888" w14:textId="77777777" w:rsidR="003F7659" w:rsidRPr="005C048D"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F61B049" w14:textId="0368EE7D" w:rsidR="00C203E7" w:rsidRPr="005C048D" w:rsidRDefault="008B5919" w:rsidP="00C203E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Vyhláška je předmětem věcného posouzení ze strany OBIA.</w:t>
            </w:r>
          </w:p>
          <w:p w14:paraId="1DC2C892" w14:textId="67A16632" w:rsidR="00C203E7" w:rsidRPr="005C048D" w:rsidRDefault="00C203E7"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D4BF4DE" w14:textId="0B5ECAB8" w:rsidR="00916FC4" w:rsidRPr="005C048D" w:rsidRDefault="00723E3F"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723E3F">
              <w:rPr>
                <w:rStyle w:val="Hypertextovodkaz"/>
                <w:rFonts w:ascii="Arial" w:eastAsia="Times New Roman" w:hAnsi="Arial" w:cs="Arial"/>
                <w:b/>
                <w:bCs/>
                <w:color w:val="auto"/>
                <w:kern w:val="36"/>
                <w:sz w:val="24"/>
                <w:szCs w:val="24"/>
                <w:u w:val="none"/>
                <w:lang w:eastAsia="cs-CZ"/>
              </w:rPr>
              <w:t xml:space="preserve">Zákon č. 88/2023 Sb., kterým se mění zákon č. 200/1994 Sb., o zeměměřictví a o změně a doplnění některých zákonů souvisejících s jeho zavedením, ve znění pozdějších předpisů, a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ve znění pozdějších předpisů  </w:t>
            </w:r>
            <w:r w:rsidR="00C6452A">
              <w:rPr>
                <w:rStyle w:val="Hypertextovodkaz"/>
                <w:rFonts w:ascii="Arial" w:eastAsia="Times New Roman" w:hAnsi="Arial" w:cs="Arial"/>
                <w:b/>
                <w:bCs/>
                <w:color w:val="auto"/>
                <w:kern w:val="36"/>
                <w:sz w:val="24"/>
                <w:szCs w:val="24"/>
                <w:u w:val="none"/>
                <w:lang w:eastAsia="cs-CZ"/>
              </w:rPr>
              <w:pict w14:anchorId="628B1906">
                <v:rect id="_x0000_i1026" style="width:0;height:1.5pt" o:hralign="center" o:hrstd="t" o:hr="t" fillcolor="#a0a0a0" stroked="f"/>
              </w:pict>
            </w:r>
          </w:p>
          <w:p w14:paraId="35FD9B87" w14:textId="3962D0EA"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1A0EC5">
              <w:rPr>
                <w:rFonts w:asciiTheme="majorHAnsi" w:hAnsiTheme="majorHAnsi" w:cstheme="majorHAnsi"/>
                <w:sz w:val="20"/>
                <w:szCs w:val="20"/>
              </w:rPr>
              <w:t xml:space="preserve">Účinnost od </w:t>
            </w:r>
            <w:r w:rsidR="00723E3F">
              <w:rPr>
                <w:rFonts w:asciiTheme="majorHAnsi" w:hAnsiTheme="majorHAnsi" w:cstheme="majorHAnsi"/>
                <w:sz w:val="20"/>
                <w:szCs w:val="20"/>
              </w:rPr>
              <w:t>1. 7</w:t>
            </w:r>
            <w:r w:rsidRPr="001A0EC5">
              <w:rPr>
                <w:rFonts w:asciiTheme="majorHAnsi" w:hAnsiTheme="majorHAnsi" w:cstheme="majorHAnsi"/>
                <w:sz w:val="20"/>
                <w:szCs w:val="20"/>
              </w:rPr>
              <w:t>.</w:t>
            </w:r>
            <w:r w:rsidR="00723E3F">
              <w:rPr>
                <w:rFonts w:asciiTheme="majorHAnsi" w:hAnsiTheme="majorHAnsi" w:cstheme="majorHAnsi"/>
                <w:sz w:val="20"/>
                <w:szCs w:val="20"/>
              </w:rPr>
              <w:t xml:space="preserve"> </w:t>
            </w:r>
            <w:r w:rsidRPr="001A0EC5">
              <w:rPr>
                <w:rFonts w:asciiTheme="majorHAnsi" w:hAnsiTheme="majorHAnsi" w:cstheme="majorHAnsi"/>
                <w:sz w:val="20"/>
                <w:szCs w:val="20"/>
              </w:rPr>
              <w:t xml:space="preserve">2023 </w:t>
            </w:r>
          </w:p>
          <w:p w14:paraId="5D444A54" w14:textId="77777777"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75787A21" w14:textId="5509C112" w:rsidR="00723E3F"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1A0EC5">
              <w:rPr>
                <w:rFonts w:asciiTheme="majorHAnsi" w:hAnsiTheme="majorHAnsi" w:cstheme="majorHAnsi"/>
                <w:sz w:val="20"/>
                <w:szCs w:val="20"/>
              </w:rPr>
              <w:t xml:space="preserve">Dne </w:t>
            </w:r>
            <w:r w:rsidR="00723E3F">
              <w:rPr>
                <w:rFonts w:asciiTheme="majorHAnsi" w:hAnsiTheme="majorHAnsi" w:cstheme="majorHAnsi"/>
                <w:sz w:val="20"/>
                <w:szCs w:val="20"/>
              </w:rPr>
              <w:t>5. 4. 2023</w:t>
            </w:r>
            <w:r w:rsidRPr="001A0EC5">
              <w:rPr>
                <w:rFonts w:asciiTheme="majorHAnsi" w:hAnsiTheme="majorHAnsi" w:cstheme="majorHAnsi"/>
                <w:sz w:val="20"/>
                <w:szCs w:val="20"/>
              </w:rPr>
              <w:t xml:space="preserve"> byl ve Sbírce zákonů publikován</w:t>
            </w:r>
            <w:r w:rsidR="001A0EC5" w:rsidRPr="001A0EC5">
              <w:rPr>
                <w:rFonts w:asciiTheme="majorHAnsi" w:hAnsiTheme="majorHAnsi" w:cstheme="majorHAnsi"/>
                <w:sz w:val="20"/>
                <w:szCs w:val="20"/>
              </w:rPr>
              <w:t xml:space="preserve"> </w:t>
            </w:r>
            <w:r w:rsidRPr="001A0EC5">
              <w:rPr>
                <w:rFonts w:asciiTheme="majorHAnsi" w:hAnsiTheme="majorHAnsi" w:cstheme="majorHAnsi"/>
                <w:sz w:val="20"/>
                <w:szCs w:val="20"/>
              </w:rPr>
              <w:t xml:space="preserve"> </w:t>
            </w:r>
            <w:r w:rsidR="001A0EC5" w:rsidRPr="001A0EC5">
              <w:t>z</w:t>
            </w:r>
            <w:r w:rsidR="001A0EC5" w:rsidRPr="001A0EC5">
              <w:rPr>
                <w:rFonts w:asciiTheme="majorHAnsi" w:hAnsiTheme="majorHAnsi" w:cstheme="majorHAnsi"/>
                <w:sz w:val="20"/>
                <w:szCs w:val="20"/>
              </w:rPr>
              <w:t xml:space="preserve">ákon </w:t>
            </w:r>
            <w:r w:rsidR="00723E3F" w:rsidRPr="00723E3F">
              <w:rPr>
                <w:rFonts w:asciiTheme="majorHAnsi" w:hAnsiTheme="majorHAnsi" w:cstheme="majorHAnsi"/>
                <w:sz w:val="20"/>
                <w:szCs w:val="20"/>
              </w:rPr>
              <w:t>č. 88/2023 Sb., kterým se mění zákon č. 200/1994 Sb., o zeměměřictví a o změně a doplnění některých zákonů souvisejících s jeho zavedením, ve znění pozdějších předpisů, a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ve znění pozdějších předpisů</w:t>
            </w:r>
            <w:r w:rsidR="00723E3F">
              <w:rPr>
                <w:rFonts w:asciiTheme="majorHAnsi" w:hAnsiTheme="majorHAnsi" w:cstheme="majorHAnsi"/>
                <w:sz w:val="20"/>
                <w:szCs w:val="20"/>
              </w:rPr>
              <w:t>.</w:t>
            </w:r>
          </w:p>
          <w:p w14:paraId="4A54F55F" w14:textId="77777777" w:rsidR="00723E3F" w:rsidRDefault="00723E3F"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AB9AB06" w14:textId="7240B3B7" w:rsidR="00723E3F" w:rsidRDefault="00723E3F"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723E3F">
              <w:rPr>
                <w:rFonts w:asciiTheme="majorHAnsi" w:hAnsiTheme="majorHAnsi" w:cstheme="majorHAnsi"/>
                <w:sz w:val="20"/>
                <w:szCs w:val="20"/>
              </w:rPr>
              <w:t xml:space="preserve"> Novela zákona o zeměměřictví přináší dílčí změny týkající se rozšíření pojmu geodetické základy, a to zejména o státní síť permanentních stanic pro přesné určování polohy, a rozšíření definic základních pojmů o ortofoto České republiky s tím, že jeho tvorba bude nově považována za zeměměřickou činnost vykonávanou ve veřejném zájmu</w:t>
            </w:r>
            <w:r>
              <w:rPr>
                <w:rFonts w:asciiTheme="majorHAnsi" w:hAnsiTheme="majorHAnsi" w:cstheme="majorHAnsi"/>
                <w:sz w:val="20"/>
                <w:szCs w:val="20"/>
              </w:rPr>
              <w:t>.</w:t>
            </w:r>
          </w:p>
          <w:p w14:paraId="1A17C69B"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7D42CB89" w14:textId="79455AB5" w:rsidR="00723E3F" w:rsidRPr="00723E3F" w:rsidRDefault="00723E3F" w:rsidP="00723E3F">
            <w:pPr>
              <w:pStyle w:val="Bezmezer"/>
              <w:shd w:val="clear" w:color="auto" w:fill="D9D9D9" w:themeFill="background1" w:themeFillShade="D9"/>
              <w:rPr>
                <w:rStyle w:val="Hypertextovodkaz"/>
                <w:rFonts w:ascii="Arial" w:eastAsia="Times New Roman" w:hAnsi="Arial" w:cs="Arial"/>
                <w:b/>
                <w:bCs/>
                <w:i/>
                <w:color w:val="auto"/>
                <w:kern w:val="36"/>
                <w:sz w:val="20"/>
                <w:szCs w:val="20"/>
                <w:u w:val="none"/>
                <w:lang w:eastAsia="cs-CZ"/>
              </w:rPr>
            </w:pPr>
            <w:r w:rsidRPr="00723E3F">
              <w:rPr>
                <w:rStyle w:val="Hypertextovodkaz"/>
                <w:rFonts w:ascii="Arial" w:eastAsia="Times New Roman" w:hAnsi="Arial" w:cs="Arial"/>
                <w:b/>
                <w:bCs/>
                <w:i/>
                <w:color w:val="auto"/>
                <w:kern w:val="36"/>
                <w:sz w:val="20"/>
                <w:szCs w:val="20"/>
                <w:u w:val="none"/>
                <w:lang w:eastAsia="cs-CZ"/>
              </w:rPr>
              <w:t>Novela byla předmětem monitoringu za září-říjen 2022 s níže stanovenými úkoly pro odpovědné útvary:</w:t>
            </w:r>
          </w:p>
          <w:p w14:paraId="2F9FC761" w14:textId="77777777" w:rsidR="00723E3F" w:rsidRDefault="00723E3F" w:rsidP="00723E3F">
            <w:pPr>
              <w:pStyle w:val="Bezmezer"/>
              <w:shd w:val="clear" w:color="auto" w:fill="D9D9D9" w:themeFill="background1" w:themeFillShade="D9"/>
              <w:spacing w:line="360" w:lineRule="auto"/>
              <w:jc w:val="both"/>
              <w:rPr>
                <w:rStyle w:val="Hypertextovodkaz"/>
                <w:rFonts w:ascii="Arial" w:eastAsia="Times New Roman" w:hAnsi="Arial" w:cs="Arial"/>
                <w:b/>
                <w:bCs/>
                <w:i/>
                <w:color w:val="auto"/>
                <w:kern w:val="36"/>
                <w:sz w:val="20"/>
                <w:szCs w:val="20"/>
                <w:u w:val="none"/>
                <w:lang w:eastAsia="cs-CZ"/>
              </w:rPr>
            </w:pPr>
          </w:p>
          <w:p w14:paraId="1D2AE9E0" w14:textId="6E7F95B9" w:rsidR="00916FC4" w:rsidRPr="005C048D" w:rsidRDefault="00723E3F" w:rsidP="00723E3F">
            <w:pPr>
              <w:pStyle w:val="Bezmezer"/>
              <w:shd w:val="clear" w:color="auto" w:fill="D9D9D9" w:themeFill="background1" w:themeFillShade="D9"/>
              <w:spacing w:line="360" w:lineRule="auto"/>
              <w:jc w:val="both"/>
              <w:rPr>
                <w:rStyle w:val="Hypertextovodkaz"/>
                <w:rFonts w:ascii="Arial" w:eastAsia="Times New Roman" w:hAnsi="Arial" w:cs="Arial"/>
                <w:b/>
                <w:bCs/>
                <w:i/>
                <w:color w:val="auto"/>
                <w:kern w:val="36"/>
                <w:sz w:val="20"/>
                <w:szCs w:val="20"/>
                <w:u w:val="none"/>
                <w:lang w:eastAsia="cs-CZ"/>
              </w:rPr>
            </w:pPr>
            <w:r w:rsidRPr="00723E3F">
              <w:rPr>
                <w:rStyle w:val="Hypertextovodkaz"/>
                <w:rFonts w:ascii="Arial" w:eastAsia="Times New Roman" w:hAnsi="Arial" w:cs="Arial"/>
                <w:b/>
                <w:bCs/>
                <w:i/>
                <w:color w:val="auto"/>
                <w:kern w:val="36"/>
                <w:sz w:val="20"/>
                <w:szCs w:val="20"/>
                <w:u w:val="none"/>
                <w:lang w:eastAsia="cs-CZ"/>
              </w:rPr>
              <w:t xml:space="preserve">Do interní dokumentace zapracovat povinnost předávat informace v rozsahu a formátu podle zeměměřického zákona (OESN, PÚ). Provést analýzu možných dopadů (rizik) spojených s uveřejněním informací z databáze ČUZK o technické infrastruktuře a objektech </w:t>
            </w:r>
            <w:proofErr w:type="spellStart"/>
            <w:r w:rsidRPr="00723E3F">
              <w:rPr>
                <w:rStyle w:val="Hypertextovodkaz"/>
                <w:rFonts w:ascii="Arial" w:eastAsia="Times New Roman" w:hAnsi="Arial" w:cs="Arial"/>
                <w:b/>
                <w:bCs/>
                <w:i/>
                <w:color w:val="auto"/>
                <w:kern w:val="36"/>
                <w:sz w:val="20"/>
                <w:szCs w:val="20"/>
                <w:u w:val="none"/>
                <w:lang w:eastAsia="cs-CZ"/>
              </w:rPr>
              <w:t>ČEPRO,a.s</w:t>
            </w:r>
            <w:proofErr w:type="spellEnd"/>
            <w:r w:rsidRPr="00723E3F">
              <w:rPr>
                <w:rStyle w:val="Hypertextovodkaz"/>
                <w:rFonts w:ascii="Arial" w:eastAsia="Times New Roman" w:hAnsi="Arial" w:cs="Arial"/>
                <w:b/>
                <w:bCs/>
                <w:i/>
                <w:color w:val="auto"/>
                <w:kern w:val="36"/>
                <w:sz w:val="20"/>
                <w:szCs w:val="20"/>
                <w:u w:val="none"/>
                <w:lang w:eastAsia="cs-CZ"/>
              </w:rPr>
              <w:t>., zpracovat případný návrh implementačních opatření do procesů společnosti. (OBIA).</w:t>
            </w:r>
          </w:p>
          <w:p w14:paraId="35DA78D0" w14:textId="63DE950E" w:rsidR="00916FC4" w:rsidRPr="005C048D"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663370A" w14:textId="7813647C" w:rsidR="00916FC4" w:rsidRPr="005C048D" w:rsidRDefault="00723E3F"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723E3F">
              <w:rPr>
                <w:rStyle w:val="Hypertextovodkaz"/>
                <w:rFonts w:ascii="Arial" w:eastAsia="Times New Roman" w:hAnsi="Arial" w:cs="Arial"/>
                <w:b/>
                <w:bCs/>
                <w:color w:val="auto"/>
                <w:kern w:val="36"/>
                <w:sz w:val="24"/>
                <w:szCs w:val="24"/>
                <w:u w:val="none"/>
                <w:lang w:eastAsia="cs-CZ"/>
              </w:rPr>
              <w:t xml:space="preserve">Vyhláška č. 85/2023 Sb., kterou se mění vyhláška č. 467/2022 Sb., o změně sazby základní náhrady za používání silničních motorových vozidel a stravného a o stanovení průměrné ceny pohonných hmot pro účely poskytování cestovních náhrad pro rok 2023  </w:t>
            </w:r>
            <w:r w:rsidR="00C6452A">
              <w:rPr>
                <w:rStyle w:val="Hypertextovodkaz"/>
                <w:rFonts w:ascii="Arial" w:eastAsia="Times New Roman" w:hAnsi="Arial" w:cs="Arial"/>
                <w:b/>
                <w:bCs/>
                <w:color w:val="auto"/>
                <w:kern w:val="36"/>
                <w:sz w:val="24"/>
                <w:szCs w:val="24"/>
                <w:u w:val="none"/>
                <w:lang w:eastAsia="cs-CZ"/>
              </w:rPr>
              <w:pict w14:anchorId="68685A75">
                <v:rect id="_x0000_i1027" style="width:0;height:1.5pt" o:hralign="center" o:hrstd="t" o:hr="t" fillcolor="#a0a0a0" stroked="f"/>
              </w:pict>
            </w:r>
          </w:p>
          <w:p w14:paraId="274329C4" w14:textId="31D32B17"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1A0EC5">
              <w:rPr>
                <w:rFonts w:asciiTheme="majorHAnsi" w:hAnsiTheme="majorHAnsi" w:cstheme="majorHAnsi"/>
                <w:sz w:val="20"/>
                <w:szCs w:val="20"/>
              </w:rPr>
              <w:t xml:space="preserve">Účinnost od </w:t>
            </w:r>
            <w:r w:rsidR="00723E3F">
              <w:rPr>
                <w:rFonts w:asciiTheme="majorHAnsi" w:hAnsiTheme="majorHAnsi" w:cstheme="majorHAnsi"/>
                <w:sz w:val="20"/>
                <w:szCs w:val="20"/>
              </w:rPr>
              <w:t>1. 4. 2023</w:t>
            </w:r>
            <w:r w:rsidRPr="001A0EC5">
              <w:rPr>
                <w:rFonts w:asciiTheme="majorHAnsi" w:hAnsiTheme="majorHAnsi" w:cstheme="majorHAnsi"/>
                <w:sz w:val="20"/>
                <w:szCs w:val="20"/>
              </w:rPr>
              <w:t xml:space="preserve"> </w:t>
            </w:r>
          </w:p>
          <w:p w14:paraId="56A60158" w14:textId="77777777"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398E6F33" w14:textId="32F7C535" w:rsidR="00916FC4"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1A0EC5">
              <w:rPr>
                <w:rFonts w:asciiTheme="majorHAnsi" w:hAnsiTheme="majorHAnsi" w:cstheme="majorHAnsi"/>
                <w:sz w:val="20"/>
                <w:szCs w:val="20"/>
              </w:rPr>
              <w:t xml:space="preserve">Dne </w:t>
            </w:r>
            <w:r w:rsidR="001A0EC5" w:rsidRPr="001A0EC5">
              <w:rPr>
                <w:rFonts w:asciiTheme="majorHAnsi" w:hAnsiTheme="majorHAnsi" w:cstheme="majorHAnsi"/>
                <w:sz w:val="20"/>
                <w:szCs w:val="20"/>
              </w:rPr>
              <w:t>3</w:t>
            </w:r>
            <w:r w:rsidR="00723E3F">
              <w:rPr>
                <w:rFonts w:asciiTheme="majorHAnsi" w:hAnsiTheme="majorHAnsi" w:cstheme="majorHAnsi"/>
                <w:sz w:val="20"/>
                <w:szCs w:val="20"/>
              </w:rPr>
              <w:t>1. 3</w:t>
            </w:r>
            <w:r w:rsidR="001A0EC5" w:rsidRPr="001A0EC5">
              <w:rPr>
                <w:rFonts w:asciiTheme="majorHAnsi" w:hAnsiTheme="majorHAnsi" w:cstheme="majorHAnsi"/>
                <w:sz w:val="20"/>
                <w:szCs w:val="20"/>
              </w:rPr>
              <w:t>. 2023</w:t>
            </w:r>
            <w:r w:rsidRPr="001A0EC5">
              <w:rPr>
                <w:rFonts w:asciiTheme="majorHAnsi" w:hAnsiTheme="majorHAnsi" w:cstheme="majorHAnsi"/>
                <w:sz w:val="20"/>
                <w:szCs w:val="20"/>
              </w:rPr>
              <w:t xml:space="preserve"> byl</w:t>
            </w:r>
            <w:r w:rsidR="001A0EC5" w:rsidRPr="001A0EC5">
              <w:rPr>
                <w:rFonts w:asciiTheme="majorHAnsi" w:hAnsiTheme="majorHAnsi" w:cstheme="majorHAnsi"/>
                <w:sz w:val="20"/>
                <w:szCs w:val="20"/>
              </w:rPr>
              <w:t>a</w:t>
            </w:r>
            <w:r w:rsidRPr="001A0EC5">
              <w:rPr>
                <w:rFonts w:asciiTheme="majorHAnsi" w:hAnsiTheme="majorHAnsi" w:cstheme="majorHAnsi"/>
                <w:sz w:val="20"/>
                <w:szCs w:val="20"/>
              </w:rPr>
              <w:t xml:space="preserve"> ve Sbírce zákonů publikován</w:t>
            </w:r>
            <w:r w:rsidR="001A0EC5" w:rsidRPr="001A0EC5">
              <w:rPr>
                <w:rFonts w:asciiTheme="majorHAnsi" w:hAnsiTheme="majorHAnsi" w:cstheme="majorHAnsi"/>
                <w:sz w:val="20"/>
                <w:szCs w:val="20"/>
              </w:rPr>
              <w:t xml:space="preserve">a pod. č. </w:t>
            </w:r>
            <w:r w:rsidR="00723E3F">
              <w:rPr>
                <w:rFonts w:asciiTheme="majorHAnsi" w:hAnsiTheme="majorHAnsi" w:cstheme="majorHAnsi"/>
                <w:sz w:val="20"/>
                <w:szCs w:val="20"/>
              </w:rPr>
              <w:t>85</w:t>
            </w:r>
            <w:r w:rsidR="001A0EC5" w:rsidRPr="001A0EC5">
              <w:rPr>
                <w:rFonts w:asciiTheme="majorHAnsi" w:hAnsiTheme="majorHAnsi" w:cstheme="majorHAnsi"/>
                <w:sz w:val="20"/>
                <w:szCs w:val="20"/>
              </w:rPr>
              <w:t>/2023 Sb.</w:t>
            </w:r>
            <w:r w:rsidR="00723E3F">
              <w:rPr>
                <w:rFonts w:asciiTheme="majorHAnsi" w:hAnsiTheme="majorHAnsi" w:cstheme="majorHAnsi"/>
                <w:sz w:val="20"/>
                <w:szCs w:val="20"/>
              </w:rPr>
              <w:t xml:space="preserve"> novely vyhlášky </w:t>
            </w:r>
            <w:r w:rsidR="00723E3F" w:rsidRPr="00723E3F">
              <w:rPr>
                <w:rFonts w:asciiTheme="majorHAnsi" w:hAnsiTheme="majorHAnsi" w:cstheme="majorHAnsi"/>
                <w:sz w:val="20"/>
                <w:szCs w:val="20"/>
              </w:rPr>
              <w:t>č. 467/2022 Sb., o změně sazby základní náhrady za používání silničních motorových vozidel a stravného a o stanovení průměrné ceny pohonných hmot pro účely poskytování cestovních náhrad pro rok 2023</w:t>
            </w:r>
            <w:r w:rsidR="00723E3F">
              <w:rPr>
                <w:rFonts w:asciiTheme="majorHAnsi" w:hAnsiTheme="majorHAnsi" w:cstheme="majorHAnsi"/>
                <w:sz w:val="20"/>
                <w:szCs w:val="20"/>
              </w:rPr>
              <w:t>.</w:t>
            </w:r>
          </w:p>
          <w:p w14:paraId="0C3A21AA" w14:textId="6F5F8891" w:rsidR="001A0EC5" w:rsidRDefault="001A0EC5"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3F071624" w14:textId="3E6E61B8" w:rsidR="00723E3F" w:rsidRDefault="00723E3F"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723E3F">
              <w:rPr>
                <w:rFonts w:asciiTheme="majorHAnsi" w:hAnsiTheme="majorHAnsi" w:cstheme="majorHAnsi"/>
                <w:sz w:val="20"/>
                <w:szCs w:val="20"/>
              </w:rPr>
              <w:t>V § 4 písm. d) vyhlášky č. 467/2022 Sb., o změně sazby základní náhrady za používání silničních motorových vozidel a stravného a o stanovení průměrné ceny pohonných hmot pro účely poskytování cestovních náhrad pro rok 2023, se částka „6,00 Kč“ nahrazuje částkou „8,20 Kč“.</w:t>
            </w:r>
          </w:p>
          <w:p w14:paraId="284CD663"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6C96C28" w14:textId="67C8491E"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r w:rsidR="00723E3F">
              <w:rPr>
                <w:rStyle w:val="Hypertextovodkaz"/>
                <w:rFonts w:ascii="Arial" w:eastAsia="Times New Roman" w:hAnsi="Arial" w:cs="Arial"/>
                <w:b/>
                <w:bCs/>
                <w:i/>
                <w:color w:val="auto"/>
                <w:kern w:val="36"/>
                <w:sz w:val="20"/>
                <w:szCs w:val="20"/>
                <w:u w:val="none"/>
                <w:lang w:eastAsia="cs-CZ"/>
              </w:rPr>
              <w:t xml:space="preserve"> FÚ a OŘLZ</w:t>
            </w:r>
            <w:r w:rsidRPr="005C048D">
              <w:rPr>
                <w:rStyle w:val="Hypertextovodkaz"/>
                <w:rFonts w:ascii="Arial" w:eastAsia="Times New Roman" w:hAnsi="Arial" w:cs="Arial"/>
                <w:b/>
                <w:bCs/>
                <w:i/>
                <w:color w:val="auto"/>
                <w:kern w:val="36"/>
                <w:sz w:val="20"/>
                <w:szCs w:val="20"/>
                <w:u w:val="none"/>
                <w:lang w:eastAsia="cs-CZ"/>
              </w:rPr>
              <w:t>.</w:t>
            </w:r>
          </w:p>
          <w:p w14:paraId="5D2ED32D" w14:textId="373B6E10" w:rsidR="00916FC4"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7DFA3BF1" w14:textId="03DA8E7B" w:rsidR="004B005C" w:rsidRDefault="004B005C"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7298B6F5" w14:textId="67AFD0A2" w:rsidR="004B005C" w:rsidRDefault="004B005C"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5EE3CBF7" w14:textId="641498E5" w:rsidR="004B005C" w:rsidRDefault="004B005C"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53A850D" w14:textId="310F00DE" w:rsidR="004B005C" w:rsidRDefault="004B005C"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27A10085" w14:textId="77777777" w:rsidR="004B005C" w:rsidRPr="005C048D" w:rsidRDefault="004B005C"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2B9B5AF3" w14:textId="669DA6CF" w:rsidR="001E048A"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491551C1" w14:textId="51EE2AEF"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38F1FA27" w14:textId="36167027"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60A8AC80" w14:textId="77777777" w:rsidR="001E048A" w:rsidRPr="00DE0025"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49E95E26" w14:textId="627666F3" w:rsidR="00F80FE3" w:rsidRDefault="00F80FE3" w:rsidP="00F80FE3">
            <w:pPr>
              <w:spacing w:line="240" w:lineRule="auto"/>
              <w:ind w:left="360"/>
              <w:jc w:val="both"/>
              <w:rPr>
                <w:rFonts w:eastAsia="Times New Roman"/>
                <w:b w:val="0"/>
                <w:bCs/>
                <w:i/>
                <w:iCs/>
                <w:color w:val="auto"/>
                <w:sz w:val="22"/>
                <w:u w:val="single"/>
              </w:rPr>
            </w:pPr>
          </w:p>
          <w:p w14:paraId="6994F458" w14:textId="6E473196" w:rsidR="00F80FE3" w:rsidRPr="005078C0" w:rsidRDefault="00F80FE3" w:rsidP="00F80FE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80FE3">
              <w:rPr>
                <w:rStyle w:val="Hypertextovodkaz"/>
                <w:rFonts w:ascii="Arial" w:eastAsia="Times New Roman" w:hAnsi="Arial" w:cs="Arial"/>
                <w:b/>
                <w:bCs/>
                <w:color w:val="0F0D29" w:themeColor="text1"/>
                <w:kern w:val="36"/>
                <w:sz w:val="24"/>
                <w:szCs w:val="20"/>
                <w:u w:val="none"/>
                <w:lang w:eastAsia="cs-CZ"/>
              </w:rPr>
              <w:t xml:space="preserve">Nařízení vlády č. 77/2023 Sb., kterým se mění nařízení vlády č. 298/2022 Sb., o stanovení cen elektřiny a plynu v mimořádné tržní situaci a o stanovení s tím souvisejícího nejvyššího přípustného rozsahu majetkového prospěchu zákazníka, ve znění pozdějších předpisů, a nařízení vlády č. 5/2023 Sb., o kompenzacích poskytovaných na dodávku elektřiny a plynu za stanovené ceny, ve znění nařízení vlády č. 65/2023 Sb.  </w:t>
            </w:r>
            <w:r w:rsidR="00C6452A">
              <w:rPr>
                <w:rStyle w:val="Hypertextovodkaz"/>
                <w:rFonts w:ascii="Arial" w:eastAsia="Times New Roman" w:hAnsi="Arial" w:cs="Arial"/>
                <w:b/>
                <w:bCs/>
                <w:color w:val="0F0D29" w:themeColor="text1"/>
                <w:kern w:val="36"/>
                <w:sz w:val="24"/>
                <w:szCs w:val="24"/>
                <w:u w:val="none"/>
                <w:lang w:eastAsia="cs-CZ"/>
              </w:rPr>
              <w:pict w14:anchorId="6AD7884D">
                <v:rect id="_x0000_i1028" style="width:0;height:1.5pt" o:hralign="center" o:hrstd="t" o:hr="t" fillcolor="#a0a0a0" stroked="f"/>
              </w:pict>
            </w:r>
          </w:p>
          <w:p w14:paraId="411EEA09" w14:textId="749EF2E4" w:rsidR="00F80FE3" w:rsidRPr="004405C5" w:rsidRDefault="00F80FE3" w:rsidP="00F80FE3">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Účinnost od 1.4.2023</w:t>
            </w:r>
          </w:p>
          <w:p w14:paraId="5A05345C" w14:textId="77777777" w:rsidR="00F80FE3" w:rsidRPr="004405C5" w:rsidRDefault="00F80FE3" w:rsidP="00F80FE3">
            <w:pPr>
              <w:pStyle w:val="Bezmezer"/>
              <w:jc w:val="right"/>
              <w:rPr>
                <w:rStyle w:val="Hypertextovodkaz"/>
                <w:rFonts w:ascii="Arial" w:hAnsi="Arial" w:cs="Arial"/>
                <w:color w:val="auto"/>
                <w:sz w:val="20"/>
                <w:szCs w:val="20"/>
                <w:u w:val="none"/>
                <w:lang w:eastAsia="cs-CZ"/>
              </w:rPr>
            </w:pPr>
          </w:p>
          <w:p w14:paraId="14B68624" w14:textId="77777777" w:rsidR="00F80FE3" w:rsidRPr="004405C5" w:rsidRDefault="00F80FE3" w:rsidP="00F80FE3">
            <w:pPr>
              <w:pStyle w:val="Bezmezer"/>
              <w:spacing w:line="360" w:lineRule="auto"/>
              <w:jc w:val="both"/>
              <w:rPr>
                <w:rStyle w:val="Hypertextovodkaz"/>
                <w:rFonts w:ascii="Arial" w:hAnsi="Arial" w:cs="Arial"/>
                <w:b/>
                <w:bCs/>
                <w:color w:val="auto"/>
                <w:sz w:val="20"/>
                <w:szCs w:val="20"/>
                <w:u w:val="none"/>
                <w:lang w:eastAsia="cs-CZ"/>
              </w:rPr>
            </w:pPr>
          </w:p>
          <w:p w14:paraId="5ACD3CB7" w14:textId="77777777" w:rsidR="00F80FE3" w:rsidRPr="00F80FE3" w:rsidRDefault="00F80FE3" w:rsidP="00F80FE3">
            <w:pPr>
              <w:pStyle w:val="Bezmezer"/>
              <w:spacing w:line="360" w:lineRule="auto"/>
              <w:jc w:val="both"/>
              <w:rPr>
                <w:rStyle w:val="Hypertextovodkaz"/>
                <w:rFonts w:ascii="Arial" w:hAnsi="Arial" w:cs="Arial"/>
                <w:color w:val="auto"/>
                <w:sz w:val="20"/>
                <w:szCs w:val="20"/>
                <w:u w:val="none"/>
                <w:lang w:eastAsia="cs-CZ"/>
              </w:rPr>
            </w:pPr>
            <w:r w:rsidRPr="00F80FE3">
              <w:rPr>
                <w:rStyle w:val="Hypertextovodkaz"/>
                <w:rFonts w:ascii="Arial" w:hAnsi="Arial" w:cs="Arial"/>
                <w:color w:val="auto"/>
                <w:sz w:val="20"/>
                <w:szCs w:val="20"/>
                <w:u w:val="none"/>
                <w:lang w:eastAsia="cs-CZ"/>
              </w:rPr>
              <w:t>Dne 30. 3. 2023 bylo ve Sbírce zákonů publikováno  Nařízení vlády č. 77/2023 Sb., kterým se mění nařízení vlády č. 298/2022 Sb., o stanovení cen elektřiny a plynu v mimořádné tržní situaci a o stanovení s tím souvisejícího nejvyššího přípustného rozsahu majetkového prospěchu zákazníka, ve znění pozdějších předpisů, a nařízení vlády č. 5/2023 Sb., o kompenzacích poskytovaných na dodávku elektřiny a plynu za stanovené ceny, ve znění nařízení vlády č. 65/2023 Sb.</w:t>
            </w:r>
          </w:p>
          <w:p w14:paraId="0E9F2F3F" w14:textId="77777777" w:rsidR="00F80FE3" w:rsidRPr="00F80FE3" w:rsidRDefault="00F80FE3" w:rsidP="00F80FE3">
            <w:pPr>
              <w:pStyle w:val="Bezmezer"/>
              <w:spacing w:line="360" w:lineRule="auto"/>
              <w:jc w:val="both"/>
              <w:rPr>
                <w:rStyle w:val="Hypertextovodkaz"/>
                <w:rFonts w:ascii="Arial" w:hAnsi="Arial" w:cs="Arial"/>
                <w:color w:val="auto"/>
                <w:sz w:val="20"/>
                <w:szCs w:val="20"/>
                <w:u w:val="none"/>
                <w:lang w:eastAsia="cs-CZ"/>
              </w:rPr>
            </w:pPr>
            <w:r w:rsidRPr="00F80FE3">
              <w:rPr>
                <w:rStyle w:val="Hypertextovodkaz"/>
                <w:rFonts w:ascii="Arial" w:hAnsi="Arial" w:cs="Arial"/>
                <w:color w:val="auto"/>
                <w:sz w:val="20"/>
                <w:szCs w:val="20"/>
                <w:u w:val="none"/>
                <w:lang w:eastAsia="cs-CZ"/>
              </w:rPr>
              <w:t xml:space="preserve"> </w:t>
            </w:r>
          </w:p>
          <w:p w14:paraId="503F9578" w14:textId="5EE71B58" w:rsidR="00F80FE3" w:rsidRDefault="00F80FE3" w:rsidP="002F352C">
            <w:pPr>
              <w:pStyle w:val="Bezmezer"/>
              <w:spacing w:line="360" w:lineRule="auto"/>
              <w:jc w:val="both"/>
              <w:rPr>
                <w:rStyle w:val="Hypertextovodkaz"/>
                <w:rFonts w:ascii="Arial" w:hAnsi="Arial" w:cs="Arial"/>
                <w:color w:val="auto"/>
                <w:sz w:val="20"/>
                <w:szCs w:val="20"/>
                <w:u w:val="none"/>
                <w:lang w:eastAsia="cs-CZ"/>
              </w:rPr>
            </w:pPr>
            <w:r w:rsidRPr="00F80FE3">
              <w:rPr>
                <w:rStyle w:val="Hypertextovodkaz"/>
                <w:rFonts w:ascii="Arial" w:hAnsi="Arial" w:cs="Arial"/>
                <w:color w:val="auto"/>
                <w:sz w:val="20"/>
                <w:szCs w:val="20"/>
                <w:u w:val="none"/>
                <w:lang w:eastAsia="cs-CZ"/>
              </w:rPr>
              <w:t>Novela nařízení vlády režim stropování cen pro velké podnikatele doplňuje o stanovení elektronické podoby zprávy o posouzení vzniku nadměrného majetkového prospěchu za účelem digitalizace a snížení byrokratické zátěže velkých podnikatelů i Ministerstva průmyslu a obchodu. Věcnou změnou oproti stávajícímu znění nařízení vlády č. 298/2022 Sb. je rovněž úprava jedné z podmínek pro uplatnění rozsahu majetkového prospěchu kategorie C, D a E, a sice tak, že bude vždy nutné splnit podmínku, že výsledná hodnota EBITDA za rok 2023 se započtením majetkového prospěchu získaného odběrem elektřiny a plynu za stanovenou cenu nepřesáhne hodnotu 70 % EBITDA za rok 2021. Stávající úprava této problematiky v nařízení vlády č. 298/2022 Sb. byla vyhodnocena jako nepřesná s ohledem na smysl příslušných ustanovení DKR. Cílem dalších úprav je vyjasnění některých ustanovení, jejichž výklad činí v praxi problémy.</w:t>
            </w:r>
          </w:p>
          <w:p w14:paraId="6310E4DF" w14:textId="77777777" w:rsidR="00F80FE3" w:rsidRDefault="00F80FE3" w:rsidP="00F80FE3">
            <w:pPr>
              <w:pStyle w:val="Bezmezer"/>
              <w:spacing w:line="276" w:lineRule="auto"/>
              <w:jc w:val="both"/>
              <w:rPr>
                <w:rStyle w:val="Hypertextovodkaz"/>
                <w:rFonts w:ascii="Arial" w:hAnsi="Arial" w:cs="Arial"/>
                <w:color w:val="auto"/>
                <w:sz w:val="20"/>
                <w:szCs w:val="20"/>
                <w:u w:val="none"/>
                <w:lang w:eastAsia="cs-CZ"/>
              </w:rPr>
            </w:pPr>
          </w:p>
          <w:p w14:paraId="573BD10E" w14:textId="6550BADA" w:rsidR="00F80FE3" w:rsidRPr="005078C0" w:rsidRDefault="00F80FE3" w:rsidP="00F80FE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Zhodnocení věcných dopadů </w:t>
            </w:r>
            <w:r w:rsidR="002F352C" w:rsidRPr="002F352C">
              <w:rPr>
                <w:rStyle w:val="Hypertextovodkaz"/>
                <w:rFonts w:ascii="Arial" w:eastAsia="Times New Roman" w:hAnsi="Arial" w:cs="Arial"/>
                <w:b/>
                <w:bCs/>
                <w:i/>
                <w:color w:val="0F0D29" w:themeColor="text1"/>
                <w:kern w:val="36"/>
                <w:sz w:val="20"/>
                <w:szCs w:val="20"/>
                <w:u w:val="none"/>
                <w:lang w:eastAsia="cs-CZ"/>
              </w:rPr>
              <w:t>(výstup AKCČS ze dne 4.4.2023)</w:t>
            </w:r>
            <w:r w:rsidR="002F352C">
              <w:rPr>
                <w:rStyle w:val="Hypertextovodkaz"/>
                <w:rFonts w:ascii="Arial" w:eastAsia="Times New Roman" w:hAnsi="Arial" w:cs="Arial"/>
                <w:b/>
                <w:bCs/>
                <w:i/>
                <w:color w:val="0F0D29" w:themeColor="text1"/>
                <w:kern w:val="36"/>
                <w:sz w:val="20"/>
                <w:szCs w:val="20"/>
                <w:u w:val="none"/>
                <w:lang w:eastAsia="cs-CZ"/>
              </w:rPr>
              <w:t>:</w:t>
            </w:r>
          </w:p>
          <w:p w14:paraId="1F4C26BD" w14:textId="77777777" w:rsidR="00F80FE3" w:rsidRDefault="00F80FE3" w:rsidP="00F80FE3">
            <w:pPr>
              <w:pStyle w:val="Bezmezer"/>
              <w:shd w:val="clear" w:color="auto" w:fill="D9D9D9" w:themeFill="background1" w:themeFillShade="D9"/>
              <w:spacing w:line="360" w:lineRule="auto"/>
              <w:rPr>
                <w:rStyle w:val="Hypertextovodkaz"/>
                <w:rFonts w:ascii="Arial" w:eastAsia="Times New Roman" w:hAnsi="Arial" w:cs="Arial"/>
                <w:iCs/>
                <w:color w:val="0F0D29" w:themeColor="text1"/>
                <w:kern w:val="36"/>
                <w:sz w:val="20"/>
                <w:szCs w:val="20"/>
                <w:u w:val="none"/>
                <w:lang w:eastAsia="cs-CZ"/>
              </w:rPr>
            </w:pPr>
          </w:p>
          <w:p w14:paraId="6B883FC0" w14:textId="4776D58F" w:rsidR="00F80FE3" w:rsidRPr="00F80FE3" w:rsidRDefault="00F80FE3" w:rsidP="00F80FE3">
            <w:pPr>
              <w:pStyle w:val="Bezmezer"/>
              <w:shd w:val="clear" w:color="auto" w:fill="D9D9D9" w:themeFill="background1" w:themeFillShade="D9"/>
              <w:spacing w:line="360" w:lineRule="auto"/>
              <w:jc w:val="both"/>
              <w:rPr>
                <w:rStyle w:val="Hypertextovodkaz"/>
                <w:rFonts w:ascii="Arial" w:eastAsia="Times New Roman" w:hAnsi="Arial" w:cs="Arial"/>
                <w:iCs/>
                <w:color w:val="0F0D29" w:themeColor="text1"/>
                <w:kern w:val="36"/>
                <w:sz w:val="20"/>
                <w:szCs w:val="20"/>
                <w:u w:val="none"/>
                <w:lang w:eastAsia="cs-CZ"/>
              </w:rPr>
            </w:pPr>
            <w:r w:rsidRPr="00F80FE3">
              <w:rPr>
                <w:rStyle w:val="Hypertextovodkaz"/>
                <w:rFonts w:ascii="Arial" w:eastAsia="Times New Roman" w:hAnsi="Arial" w:cs="Arial"/>
                <w:iCs/>
                <w:color w:val="0F0D29" w:themeColor="text1"/>
                <w:kern w:val="36"/>
                <w:sz w:val="20"/>
                <w:szCs w:val="20"/>
                <w:u w:val="none"/>
                <w:lang w:eastAsia="cs-CZ"/>
              </w:rPr>
              <w:t xml:space="preserve">Dosavadní znění Nařízení vůbec neupravovalo formu předkládané Zprávy o posouzení vzniku nadměrného majetkového prospěchu (dále jen „Zpráva“). Zprávu tedy dle dosavadní právní úpravy bylo možné předkládat v jakékoliv formě (tj. zasláním v listinné formě, zasláním v elektronické formě na e-mailovou adresu, příp. do datové schránky apod.). Za účelem digitalizace a snížení administrativní zátěže velkých podnikatelů došlo prostřednictvím novelizace Nařízení ke specifikaci formy podání Zprávy tak, že velký podnikatel (společnost ČEPRO, a.s.) je povinen podat Zprávu Ministerstvu průmyslu a obchodu (dále jen „MPO“) v elektronické podobě prostřednictvím elektronické aplikace portálu MPO. Ke Zprávě podané jiným způsobem MPO nebude přihlížet (srovnej </w:t>
            </w:r>
            <w:proofErr w:type="spellStart"/>
            <w:r w:rsidRPr="00F80FE3">
              <w:rPr>
                <w:rStyle w:val="Hypertextovodkaz"/>
                <w:rFonts w:ascii="Arial" w:eastAsia="Times New Roman" w:hAnsi="Arial" w:cs="Arial"/>
                <w:iCs/>
                <w:color w:val="0F0D29" w:themeColor="text1"/>
                <w:kern w:val="36"/>
                <w:sz w:val="20"/>
                <w:szCs w:val="20"/>
                <w:u w:val="none"/>
                <w:lang w:eastAsia="cs-CZ"/>
              </w:rPr>
              <w:t>ust</w:t>
            </w:r>
            <w:proofErr w:type="spellEnd"/>
            <w:r w:rsidRPr="00F80FE3">
              <w:rPr>
                <w:rStyle w:val="Hypertextovodkaz"/>
                <w:rFonts w:ascii="Arial" w:eastAsia="Times New Roman" w:hAnsi="Arial" w:cs="Arial"/>
                <w:iCs/>
                <w:color w:val="0F0D29" w:themeColor="text1"/>
                <w:kern w:val="36"/>
                <w:sz w:val="20"/>
                <w:szCs w:val="20"/>
                <w:u w:val="none"/>
                <w:lang w:eastAsia="cs-CZ"/>
              </w:rPr>
              <w:t xml:space="preserve">. § 8d odst. 7 a 8 Nařízení).Na základě novelizace Nařízení dále došlo ke zúžení časového okna pro podání Zprávy za období prvního kalendářního čtvrtletí roku 2023. Velký podnikatel je tedy povinen podat tuto </w:t>
            </w:r>
            <w:r w:rsidRPr="00F80FE3">
              <w:rPr>
                <w:rStyle w:val="Hypertextovodkaz"/>
                <w:rFonts w:ascii="Arial" w:eastAsia="Times New Roman" w:hAnsi="Arial" w:cs="Arial"/>
                <w:iCs/>
                <w:color w:val="0F0D29" w:themeColor="text1"/>
                <w:kern w:val="36"/>
                <w:sz w:val="20"/>
                <w:szCs w:val="20"/>
                <w:u w:val="none"/>
                <w:lang w:eastAsia="cs-CZ"/>
              </w:rPr>
              <w:lastRenderedPageBreak/>
              <w:t xml:space="preserve">Zprávu nejdříve 20. dubna 2023 a nejpozději do 30. dubna 2023 (srovnej </w:t>
            </w:r>
            <w:proofErr w:type="spellStart"/>
            <w:r w:rsidRPr="00F80FE3">
              <w:rPr>
                <w:rStyle w:val="Hypertextovodkaz"/>
                <w:rFonts w:ascii="Arial" w:eastAsia="Times New Roman" w:hAnsi="Arial" w:cs="Arial"/>
                <w:iCs/>
                <w:color w:val="0F0D29" w:themeColor="text1"/>
                <w:kern w:val="36"/>
                <w:sz w:val="20"/>
                <w:szCs w:val="20"/>
                <w:u w:val="none"/>
                <w:lang w:eastAsia="cs-CZ"/>
              </w:rPr>
              <w:t>ust</w:t>
            </w:r>
            <w:proofErr w:type="spellEnd"/>
            <w:r w:rsidRPr="00F80FE3">
              <w:rPr>
                <w:rStyle w:val="Hypertextovodkaz"/>
                <w:rFonts w:ascii="Arial" w:eastAsia="Times New Roman" w:hAnsi="Arial" w:cs="Arial"/>
                <w:iCs/>
                <w:color w:val="0F0D29" w:themeColor="text1"/>
                <w:kern w:val="36"/>
                <w:sz w:val="20"/>
                <w:szCs w:val="20"/>
                <w:u w:val="none"/>
                <w:lang w:eastAsia="cs-CZ"/>
              </w:rPr>
              <w:t>. § 13 odst. 3 Nařízení). Od 20. dubna 2023 by tedy na přijímání Zprávy měl být připraven Agendový informační systém MPO.</w:t>
            </w:r>
          </w:p>
          <w:p w14:paraId="08247959" w14:textId="34EBB1EE" w:rsidR="00F80FE3" w:rsidRPr="00F80FE3" w:rsidRDefault="00F80FE3" w:rsidP="00F80FE3">
            <w:pPr>
              <w:pStyle w:val="Bezmezer"/>
              <w:shd w:val="clear" w:color="auto" w:fill="D9D9D9" w:themeFill="background1" w:themeFillShade="D9"/>
              <w:spacing w:line="360" w:lineRule="auto"/>
              <w:jc w:val="both"/>
              <w:rPr>
                <w:rStyle w:val="Hypertextovodkaz"/>
                <w:rFonts w:ascii="Arial" w:eastAsia="Times New Roman" w:hAnsi="Arial" w:cs="Arial"/>
                <w:iCs/>
                <w:color w:val="0F0D29" w:themeColor="text1"/>
                <w:kern w:val="36"/>
                <w:sz w:val="20"/>
                <w:szCs w:val="20"/>
                <w:u w:val="none"/>
                <w:lang w:eastAsia="cs-CZ"/>
              </w:rPr>
            </w:pPr>
            <w:r w:rsidRPr="00F80FE3">
              <w:rPr>
                <w:rStyle w:val="Hypertextovodkaz"/>
                <w:rFonts w:ascii="Arial" w:eastAsia="Times New Roman" w:hAnsi="Arial" w:cs="Arial"/>
                <w:iCs/>
                <w:color w:val="0F0D29" w:themeColor="text1"/>
                <w:kern w:val="36"/>
                <w:sz w:val="20"/>
                <w:szCs w:val="20"/>
                <w:u w:val="none"/>
                <w:lang w:eastAsia="cs-CZ"/>
              </w:rPr>
              <w:t>Na základě předmětné novelizace došlo rovněž k aktualizaci vzoru Zprávy dle Přílohy č. 13 Nařízení.</w:t>
            </w:r>
          </w:p>
          <w:p w14:paraId="7A4FFEF4" w14:textId="77777777" w:rsidR="00F80FE3" w:rsidRPr="00F80FE3" w:rsidRDefault="00F80FE3" w:rsidP="00F80FE3">
            <w:pPr>
              <w:pStyle w:val="Bezmezer"/>
              <w:shd w:val="clear" w:color="auto" w:fill="D9D9D9" w:themeFill="background1" w:themeFillShade="D9"/>
              <w:spacing w:line="360" w:lineRule="auto"/>
              <w:jc w:val="both"/>
              <w:rPr>
                <w:rStyle w:val="Hypertextovodkaz"/>
                <w:rFonts w:ascii="Arial" w:eastAsia="Times New Roman" w:hAnsi="Arial" w:cs="Arial"/>
                <w:iCs/>
                <w:color w:val="0F0D29" w:themeColor="text1"/>
                <w:kern w:val="36"/>
                <w:sz w:val="20"/>
                <w:szCs w:val="20"/>
                <w:u w:val="none"/>
                <w:lang w:eastAsia="cs-CZ"/>
              </w:rPr>
            </w:pPr>
            <w:r w:rsidRPr="00F80FE3">
              <w:rPr>
                <w:rStyle w:val="Hypertextovodkaz"/>
                <w:rFonts w:ascii="Arial" w:eastAsia="Times New Roman" w:hAnsi="Arial" w:cs="Arial"/>
                <w:iCs/>
                <w:color w:val="0F0D29" w:themeColor="text1"/>
                <w:kern w:val="36"/>
                <w:sz w:val="20"/>
                <w:szCs w:val="20"/>
                <w:u w:val="none"/>
                <w:lang w:eastAsia="cs-CZ"/>
              </w:rPr>
              <w:t xml:space="preserve">Nad rámec výše uvedeného pak z opatrnosti pak znovu připomínáme, že Prohlášení společnosti ČEPRO, a.s. podle </w:t>
            </w:r>
            <w:proofErr w:type="spellStart"/>
            <w:r w:rsidRPr="00F80FE3">
              <w:rPr>
                <w:rStyle w:val="Hypertextovodkaz"/>
                <w:rFonts w:ascii="Arial" w:eastAsia="Times New Roman" w:hAnsi="Arial" w:cs="Arial"/>
                <w:iCs/>
                <w:color w:val="0F0D29" w:themeColor="text1"/>
                <w:kern w:val="36"/>
                <w:sz w:val="20"/>
                <w:szCs w:val="20"/>
                <w:u w:val="none"/>
                <w:lang w:eastAsia="cs-CZ"/>
              </w:rPr>
              <w:t>ust</w:t>
            </w:r>
            <w:proofErr w:type="spellEnd"/>
            <w:r w:rsidRPr="00F80FE3">
              <w:rPr>
                <w:rStyle w:val="Hypertextovodkaz"/>
                <w:rFonts w:ascii="Arial" w:eastAsia="Times New Roman" w:hAnsi="Arial" w:cs="Arial"/>
                <w:iCs/>
                <w:color w:val="0F0D29" w:themeColor="text1"/>
                <w:kern w:val="36"/>
                <w:sz w:val="20"/>
                <w:szCs w:val="20"/>
                <w:u w:val="none"/>
                <w:lang w:eastAsia="cs-CZ"/>
              </w:rPr>
              <w:t xml:space="preserve">. § 6 odst. 5, resp. § 7 odst. 4 Nařízení dle vzorů uvedených v Příloze č. 7 Nařízení (pro elektřinu), resp. v Příloze č. 8 Nařízení (pro zemní plyn) učiněná během prvního kalendářního čtvrtletí 2023 jsou platná do 30. dubna 2023. Podmínkou uplatnění </w:t>
            </w:r>
            <w:proofErr w:type="spellStart"/>
            <w:r w:rsidRPr="00F80FE3">
              <w:rPr>
                <w:rStyle w:val="Hypertextovodkaz"/>
                <w:rFonts w:ascii="Arial" w:eastAsia="Times New Roman" w:hAnsi="Arial" w:cs="Arial"/>
                <w:iCs/>
                <w:color w:val="0F0D29" w:themeColor="text1"/>
                <w:kern w:val="36"/>
                <w:sz w:val="20"/>
                <w:szCs w:val="20"/>
                <w:u w:val="none"/>
                <w:lang w:eastAsia="cs-CZ"/>
              </w:rPr>
              <w:t>zastropovaných</w:t>
            </w:r>
            <w:proofErr w:type="spellEnd"/>
            <w:r w:rsidRPr="00F80FE3">
              <w:rPr>
                <w:rStyle w:val="Hypertextovodkaz"/>
                <w:rFonts w:ascii="Arial" w:eastAsia="Times New Roman" w:hAnsi="Arial" w:cs="Arial"/>
                <w:iCs/>
                <w:color w:val="0F0D29" w:themeColor="text1"/>
                <w:kern w:val="36"/>
                <w:sz w:val="20"/>
                <w:szCs w:val="20"/>
                <w:u w:val="none"/>
                <w:lang w:eastAsia="cs-CZ"/>
              </w:rPr>
              <w:t xml:space="preserve"> cen energií společností ČEPRO, a.s. pro období po tomto datu je předložení prohlášení dle vzoru uvedeného v Příloze č. 11 Nařízení dodavateli energií, že je velkým podnikatelem a nepřekračuje nejvyšší přípustný majetkový prospěch, a to nejpozději do 30. dubna 2023. Toto prohlášení bude navíc obsahovat prohlášení o podání zprávy o posouzení vzniku nadměrného majetkového prospěchu MPO.</w:t>
            </w:r>
          </w:p>
          <w:p w14:paraId="31EA8BA8" w14:textId="5115CF47" w:rsidR="00F80FE3" w:rsidRPr="00F80FE3" w:rsidRDefault="00F80FE3" w:rsidP="00F80FE3">
            <w:pPr>
              <w:pStyle w:val="Bezmezer"/>
              <w:shd w:val="clear" w:color="auto" w:fill="D9D9D9" w:themeFill="background1" w:themeFillShade="D9"/>
              <w:spacing w:line="360" w:lineRule="auto"/>
              <w:jc w:val="both"/>
              <w:rPr>
                <w:rFonts w:ascii="Arial" w:eastAsia="Times New Roman" w:hAnsi="Arial" w:cs="Arial"/>
                <w:iCs/>
                <w:color w:val="0F0D29" w:themeColor="text1"/>
                <w:kern w:val="36"/>
                <w:sz w:val="20"/>
                <w:szCs w:val="20"/>
                <w:lang w:eastAsia="cs-CZ"/>
              </w:rPr>
            </w:pPr>
            <w:r w:rsidRPr="00F80FE3">
              <w:rPr>
                <w:rStyle w:val="Hypertextovodkaz"/>
                <w:rFonts w:ascii="Arial" w:eastAsia="Times New Roman" w:hAnsi="Arial" w:cs="Arial"/>
                <w:iCs/>
                <w:color w:val="0F0D29" w:themeColor="text1"/>
                <w:kern w:val="36"/>
                <w:sz w:val="20"/>
                <w:szCs w:val="20"/>
                <w:u w:val="none"/>
                <w:lang w:eastAsia="cs-CZ"/>
              </w:rPr>
              <w:t xml:space="preserve">Na základě posouzení možných dopadů uvedené novelizace Nařízení na závěry našeho stanoviska „Posouzení dalšího postupu při uplatňování </w:t>
            </w:r>
            <w:proofErr w:type="spellStart"/>
            <w:r w:rsidRPr="00F80FE3">
              <w:rPr>
                <w:rStyle w:val="Hypertextovodkaz"/>
                <w:rFonts w:ascii="Arial" w:eastAsia="Times New Roman" w:hAnsi="Arial" w:cs="Arial"/>
                <w:iCs/>
                <w:color w:val="0F0D29" w:themeColor="text1"/>
                <w:kern w:val="36"/>
                <w:sz w:val="20"/>
                <w:szCs w:val="20"/>
                <w:u w:val="none"/>
                <w:lang w:eastAsia="cs-CZ"/>
              </w:rPr>
              <w:t>zastropovaných</w:t>
            </w:r>
            <w:proofErr w:type="spellEnd"/>
            <w:r w:rsidRPr="00F80FE3">
              <w:rPr>
                <w:rStyle w:val="Hypertextovodkaz"/>
                <w:rFonts w:ascii="Arial" w:eastAsia="Times New Roman" w:hAnsi="Arial" w:cs="Arial"/>
                <w:iCs/>
                <w:color w:val="0F0D29" w:themeColor="text1"/>
                <w:kern w:val="36"/>
                <w:sz w:val="20"/>
                <w:szCs w:val="20"/>
                <w:u w:val="none"/>
                <w:lang w:eastAsia="cs-CZ"/>
              </w:rPr>
              <w:t xml:space="preserve"> cen energií“ ze dne 7. února 2023 a jeho dodatku ze dne 23. března 2023 lze konstatovat, že závěry, resp. předložená doporučení dalšího postupu společnosti ČEPRO, a.s. při rozúčtování části odebraných energií jiných osobám (na základě jejich skutečné spotřeby či paušálně) nejsou v důsledku novelizace Nařízení dotčeny.</w:t>
            </w:r>
          </w:p>
          <w:p w14:paraId="5454FA1A" w14:textId="72CB79D1" w:rsidR="00F54BC8" w:rsidRDefault="00F54BC8" w:rsidP="00F54BC8">
            <w:pPr>
              <w:pStyle w:val="Bezmezer"/>
              <w:spacing w:line="360" w:lineRule="auto"/>
              <w:jc w:val="both"/>
              <w:rPr>
                <w:rFonts w:ascii="Arial" w:hAnsi="Arial" w:cs="Arial"/>
                <w:sz w:val="20"/>
                <w:szCs w:val="20"/>
                <w:lang w:eastAsia="cs-CZ"/>
              </w:rPr>
            </w:pPr>
          </w:p>
          <w:p w14:paraId="1297514C" w14:textId="52169338" w:rsidR="00C6452A" w:rsidRDefault="00C6452A" w:rsidP="00F54BC8">
            <w:pPr>
              <w:pStyle w:val="Bezmezer"/>
              <w:spacing w:line="360" w:lineRule="auto"/>
              <w:jc w:val="both"/>
              <w:rPr>
                <w:rFonts w:ascii="Arial" w:hAnsi="Arial" w:cs="Arial"/>
                <w:sz w:val="20"/>
                <w:szCs w:val="20"/>
                <w:lang w:eastAsia="cs-CZ"/>
              </w:rPr>
            </w:pPr>
          </w:p>
          <w:p w14:paraId="082848FE" w14:textId="1B23D6CE" w:rsidR="00C6452A" w:rsidRPr="005078C0" w:rsidRDefault="00C6452A" w:rsidP="00C6452A">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6452A">
              <w:rPr>
                <w:rStyle w:val="Hypertextovodkaz"/>
                <w:rFonts w:ascii="Arial" w:eastAsia="Times New Roman" w:hAnsi="Arial" w:cs="Arial"/>
                <w:b/>
                <w:bCs/>
                <w:color w:val="0F0D29" w:themeColor="text1"/>
                <w:kern w:val="36"/>
                <w:sz w:val="24"/>
                <w:szCs w:val="20"/>
                <w:u w:val="none"/>
                <w:lang w:eastAsia="cs-CZ"/>
              </w:rPr>
              <w:t>Návrh zákona, kterým se mění zákon č.283/2021 Sb., stavební zákon, a některé další související zákony</w:t>
            </w:r>
            <w:r>
              <w:rPr>
                <w:rStyle w:val="Hypertextovodkaz"/>
                <w:rFonts w:ascii="Arial" w:eastAsia="Times New Roman" w:hAnsi="Arial" w:cs="Arial"/>
                <w:b/>
                <w:bCs/>
                <w:color w:val="0F0D29" w:themeColor="text1"/>
                <w:kern w:val="36"/>
                <w:sz w:val="24"/>
                <w:szCs w:val="24"/>
                <w:u w:val="none"/>
                <w:lang w:eastAsia="cs-CZ"/>
              </w:rPr>
              <w:pict w14:anchorId="67000E0F">
                <v:rect id="_x0000_i1043" style="width:0;height:1.5pt" o:hralign="center" o:hrstd="t" o:hr="t" fillcolor="#a0a0a0" stroked="f"/>
              </w:pict>
            </w:r>
          </w:p>
          <w:p w14:paraId="0C84EF33" w14:textId="6D113678" w:rsidR="00C6452A" w:rsidRDefault="00C6452A" w:rsidP="00C6452A">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330</w:t>
            </w:r>
          </w:p>
          <w:p w14:paraId="62D93079" w14:textId="594FBC04" w:rsidR="00C6452A" w:rsidRPr="004405C5" w:rsidRDefault="00C6452A" w:rsidP="00C6452A">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Postoupeno Senátu</w:t>
            </w:r>
          </w:p>
          <w:p w14:paraId="41256D98" w14:textId="77777777" w:rsidR="00C6452A" w:rsidRPr="004405C5" w:rsidRDefault="00C6452A" w:rsidP="00C6452A">
            <w:pPr>
              <w:pStyle w:val="Bezmezer"/>
              <w:jc w:val="right"/>
              <w:rPr>
                <w:rStyle w:val="Hypertextovodkaz"/>
                <w:rFonts w:ascii="Arial" w:hAnsi="Arial" w:cs="Arial"/>
                <w:color w:val="auto"/>
                <w:sz w:val="20"/>
                <w:szCs w:val="20"/>
                <w:u w:val="none"/>
                <w:lang w:eastAsia="cs-CZ"/>
              </w:rPr>
            </w:pPr>
          </w:p>
          <w:p w14:paraId="53EA3FAD" w14:textId="77777777" w:rsidR="00C6452A" w:rsidRPr="004405C5" w:rsidRDefault="00C6452A" w:rsidP="00C6452A">
            <w:pPr>
              <w:pStyle w:val="Bezmezer"/>
              <w:spacing w:line="360" w:lineRule="auto"/>
              <w:jc w:val="both"/>
              <w:rPr>
                <w:rStyle w:val="Hypertextovodkaz"/>
                <w:rFonts w:ascii="Arial" w:hAnsi="Arial" w:cs="Arial"/>
                <w:b/>
                <w:bCs/>
                <w:color w:val="auto"/>
                <w:sz w:val="20"/>
                <w:szCs w:val="20"/>
                <w:u w:val="none"/>
                <w:lang w:eastAsia="cs-CZ"/>
              </w:rPr>
            </w:pPr>
          </w:p>
          <w:p w14:paraId="51393721" w14:textId="5A671C1C" w:rsidR="00C6452A" w:rsidRPr="00C6452A" w:rsidRDefault="00C6452A" w:rsidP="00C6452A">
            <w:pPr>
              <w:pStyle w:val="Bezmezer"/>
              <w:spacing w:line="360" w:lineRule="auto"/>
              <w:jc w:val="both"/>
              <w:rPr>
                <w:rStyle w:val="Hypertextovodkaz"/>
                <w:rFonts w:ascii="Arial" w:hAnsi="Arial" w:cs="Arial"/>
                <w:color w:val="auto"/>
                <w:sz w:val="20"/>
                <w:szCs w:val="20"/>
                <w:u w:val="none"/>
                <w:lang w:eastAsia="cs-CZ"/>
              </w:rPr>
            </w:pPr>
            <w:r w:rsidRPr="00C6452A">
              <w:rPr>
                <w:rStyle w:val="Hypertextovodkaz"/>
                <w:rFonts w:ascii="Arial" w:hAnsi="Arial" w:cs="Arial"/>
                <w:color w:val="auto"/>
                <w:sz w:val="20"/>
                <w:szCs w:val="20"/>
                <w:u w:val="none"/>
                <w:lang w:eastAsia="cs-CZ"/>
              </w:rPr>
              <w:t xml:space="preserve">Novela mj. vypouští institut Specializovaného stavebního úřadu, a zřizuje Dopravní a energetický stavební úřad (infrastrukturní stavby), s fungováním od 1.7.2023; dále se posunuje začátek přechodného období (1.7.2023 – 30.6.2024), na 1.1.2024 s tím, že se v jeho průběhu na vyhrazené stavby aplikuje nový stavební zákon, na ostatní stavební zákon stávající; nový stavební zákon pro ostatní záměry a územní plánování nabývá účinnosti k 1.7.2024. Z původně navržené integrace dotčených orgánů vypadne památková péče a životní prostředí; u ŽP navíc zásadní úpravy v samostatném návrhu zákona o jednotném environmentálním stanovisku (JES). Změna plurality povolovacích režimů a procesů na jedno řízení o povolení záměru zůstává zachována, s výjimkou JES, které princip „jednoho stanoviska“ rozbouralo. Předpokládá se spuštění Portálu stavebníka k 1.1.2024 s tím, že průběh řízení o žádosti o povolení záměru bude možné sledovat „on-line“, a mělo by dojít ke zrychlení všech řízení už jen na základě povinnosti stavebního úřadu oznámit účastníkům zahájení řízení do 7 dnů od podání žádosti (v současné době není lhůta pevně stanovena). Na Portál stavebníka budou navázány elektronické evidence dokumentací i postupů v řízení. Odvolací řízení je postaveno na principu plné apelace, tj. nebude docházet k vracením vadných rozhodnutí, ale odvolací orgán sám rozhodnutí změní, i případně doplní dokazování a podklady.  Nový stavební zákon ale vedle pevně stanovených „urychlovacích“ lhůt neobsahuje mechanismy na jejich vynucení, a pouze odkazuje na správní řád, s možností uplatňování opatření proti nečinnosti úřadu. Účastníky kolaudace nově už jen stavebník a vlastník stavby, ale je s otázkou rozsah opětovné možnosti spolků vstupovat do řízení před stavebními úřady na základě zákona o JES.  </w:t>
            </w:r>
          </w:p>
          <w:p w14:paraId="1B04D045" w14:textId="77777777" w:rsidR="00C6452A" w:rsidRPr="00C6452A" w:rsidRDefault="00C6452A" w:rsidP="00C6452A">
            <w:pPr>
              <w:pStyle w:val="Bezmezer"/>
              <w:spacing w:line="360" w:lineRule="auto"/>
              <w:jc w:val="both"/>
              <w:rPr>
                <w:rStyle w:val="Hypertextovodkaz"/>
                <w:rFonts w:ascii="Arial" w:hAnsi="Arial" w:cs="Arial"/>
                <w:color w:val="auto"/>
                <w:sz w:val="20"/>
                <w:szCs w:val="20"/>
                <w:u w:val="none"/>
                <w:lang w:eastAsia="cs-CZ"/>
              </w:rPr>
            </w:pPr>
          </w:p>
          <w:p w14:paraId="22B6B465" w14:textId="414D6998" w:rsidR="00C6452A" w:rsidRPr="00C6452A" w:rsidRDefault="00C6452A" w:rsidP="00C6452A">
            <w:pPr>
              <w:pStyle w:val="Bezmezer"/>
              <w:spacing w:line="360" w:lineRule="auto"/>
              <w:jc w:val="both"/>
              <w:rPr>
                <w:rStyle w:val="Hypertextovodkaz"/>
                <w:rFonts w:ascii="Arial" w:hAnsi="Arial" w:cs="Arial"/>
                <w:color w:val="auto"/>
                <w:sz w:val="20"/>
                <w:szCs w:val="20"/>
                <w:u w:val="none"/>
                <w:lang w:eastAsia="cs-CZ"/>
              </w:rPr>
            </w:pPr>
          </w:p>
          <w:p w14:paraId="56334B8D" w14:textId="77777777" w:rsidR="00C6452A" w:rsidRPr="00C6452A" w:rsidRDefault="00C6452A" w:rsidP="00C6452A">
            <w:pPr>
              <w:pStyle w:val="Bezmezer"/>
              <w:spacing w:line="360" w:lineRule="auto"/>
              <w:jc w:val="both"/>
              <w:rPr>
                <w:rStyle w:val="Hypertextovodkaz"/>
                <w:rFonts w:ascii="Arial" w:hAnsi="Arial" w:cs="Arial"/>
                <w:color w:val="auto"/>
                <w:sz w:val="20"/>
                <w:szCs w:val="20"/>
                <w:u w:val="none"/>
                <w:lang w:eastAsia="cs-CZ"/>
              </w:rPr>
            </w:pPr>
          </w:p>
          <w:p w14:paraId="02CEFF64" w14:textId="4FE369C7" w:rsidR="00C6452A" w:rsidRDefault="00C6452A" w:rsidP="00C6452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C6452A">
              <w:rPr>
                <w:rStyle w:val="Hypertextovodkaz"/>
                <w:rFonts w:ascii="Arial" w:eastAsia="Times New Roman" w:hAnsi="Arial" w:cs="Arial"/>
                <w:bCs/>
                <w:i/>
                <w:color w:val="0F0D29" w:themeColor="text1"/>
                <w:kern w:val="36"/>
                <w:sz w:val="20"/>
                <w:szCs w:val="20"/>
                <w:u w:val="none"/>
                <w:lang w:eastAsia="cs-CZ"/>
              </w:rPr>
              <w:t>OPS bude</w:t>
            </w:r>
            <w:r>
              <w:rPr>
                <w:rStyle w:val="Hypertextovodkaz"/>
                <w:rFonts w:ascii="Arial" w:eastAsia="Times New Roman" w:hAnsi="Arial" w:cs="Arial"/>
                <w:bCs/>
                <w:i/>
                <w:color w:val="0F0D29" w:themeColor="text1"/>
                <w:kern w:val="36"/>
                <w:sz w:val="20"/>
                <w:szCs w:val="20"/>
                <w:u w:val="none"/>
                <w:lang w:eastAsia="cs-CZ"/>
              </w:rPr>
              <w:t xml:space="preserve"> nadále</w:t>
            </w:r>
            <w:r w:rsidRPr="00C6452A">
              <w:rPr>
                <w:rStyle w:val="Hypertextovodkaz"/>
                <w:rFonts w:ascii="Arial" w:eastAsia="Times New Roman" w:hAnsi="Arial" w:cs="Arial"/>
                <w:bCs/>
                <w:i/>
                <w:color w:val="0F0D29" w:themeColor="text1"/>
                <w:kern w:val="36"/>
                <w:sz w:val="20"/>
                <w:szCs w:val="20"/>
                <w:u w:val="none"/>
                <w:lang w:eastAsia="cs-CZ"/>
              </w:rPr>
              <w:t xml:space="preserve"> sledovat průběh projednávání návrhu zákona v Parlamentu.</w:t>
            </w:r>
          </w:p>
          <w:p w14:paraId="625DE583" w14:textId="77777777" w:rsidR="00C6452A" w:rsidRPr="005078C0" w:rsidRDefault="00C6452A" w:rsidP="00C6452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A2847A3" w14:textId="7BE918E7" w:rsidR="00C6452A" w:rsidRPr="005078C0" w:rsidRDefault="00C6452A" w:rsidP="00C6452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30. 6. 2023</w:t>
            </w:r>
          </w:p>
          <w:p w14:paraId="471AB78A" w14:textId="77777777" w:rsidR="00C6452A" w:rsidRPr="001018E2" w:rsidRDefault="00C6452A"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3CA4695" w:rsidR="00C90A3E" w:rsidRPr="005078C0" w:rsidRDefault="000C53CA"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C53CA">
              <w:rPr>
                <w:rStyle w:val="Hypertextovodkaz"/>
                <w:rFonts w:ascii="Arial" w:eastAsia="Times New Roman" w:hAnsi="Arial" w:cs="Arial"/>
                <w:b/>
                <w:bCs/>
                <w:color w:val="0F0D29" w:themeColor="text1"/>
                <w:kern w:val="36"/>
                <w:sz w:val="24"/>
                <w:szCs w:val="20"/>
                <w:u w:val="none"/>
                <w:lang w:eastAsia="cs-CZ"/>
              </w:rPr>
              <w:t>Vyhláška, kterou se mění vyhláška č. 358/2013 Sb., o poskytování údajů z katastru nemovitostí, ve znění vyhlášek č. 354/2015 Sb. a č. 256/2018 Sb.</w:t>
            </w:r>
            <w:r w:rsidR="00C6452A">
              <w:rPr>
                <w:rStyle w:val="Hypertextovodkaz"/>
                <w:rFonts w:ascii="Arial" w:eastAsia="Times New Roman" w:hAnsi="Arial" w:cs="Arial"/>
                <w:b/>
                <w:bCs/>
                <w:color w:val="0F0D29" w:themeColor="text1"/>
                <w:kern w:val="36"/>
                <w:sz w:val="24"/>
                <w:szCs w:val="24"/>
                <w:u w:val="none"/>
                <w:lang w:eastAsia="cs-CZ"/>
              </w:rPr>
              <w:pict w14:anchorId="32314C35">
                <v:rect id="_x0000_i1029" style="width:0;height:1.5pt" o:hralign="center" o:hrstd="t" o:hr="t" fillcolor="#a0a0a0" stroked="f"/>
              </w:pict>
            </w:r>
          </w:p>
          <w:p w14:paraId="14F47547" w14:textId="77777777" w:rsidR="000C53CA" w:rsidRDefault="000C53CA" w:rsidP="004405C5">
            <w:pPr>
              <w:pStyle w:val="Bezmezer"/>
              <w:jc w:val="right"/>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KORNCPXJ6SA4</w:t>
            </w:r>
          </w:p>
          <w:p w14:paraId="56306A1A" w14:textId="2DD9AF61" w:rsidR="004405C5" w:rsidRPr="004405C5" w:rsidRDefault="000C53C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 ukončeno</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678C2FF9" w14:textId="77777777" w:rsidR="000C53CA" w:rsidRPr="000C53CA" w:rsidRDefault="000C53CA" w:rsidP="000C53CA">
            <w:pPr>
              <w:pStyle w:val="Bezmeze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 xml:space="preserve">Předkládaný návrh vyhlášky reaguje na postupující elektronizaci postupů při poskytování údajů z katastru a stejně tak na stále významnější míru elektronizace na straně uživatelů údajů katastru, která vytváří tlak jednak na vhodnější úpravu některých parametrů stanovených vyhláškou, a také na vytvoření nových možností při poskytování údajů katastru v elektronické podobě. Cílem návrhu vyhlášky je tak odstranit v praxi identifikované dílčí problémy související s poskytováním údajů katastru v elektronické podobě, zejména </w:t>
            </w:r>
          </w:p>
          <w:p w14:paraId="1142BD86" w14:textId="77777777" w:rsidR="000C53CA" w:rsidRDefault="000C53CA" w:rsidP="000C53CA">
            <w:pPr>
              <w:pStyle w:val="Bezmezer"/>
              <w:numPr>
                <w:ilvl w:val="0"/>
                <w:numId w:val="6"/>
              </w:numP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upravit výši úplat za údaje v elektronické podobě tak, aby byli žadatelé motivování získávat údaje katastru předavším v elektronické podobě,</w:t>
            </w:r>
          </w:p>
          <w:p w14:paraId="397BBD0F" w14:textId="77777777" w:rsidR="000C53CA" w:rsidRDefault="000C53CA" w:rsidP="000C53CA">
            <w:pPr>
              <w:pStyle w:val="Bezmezer"/>
              <w:numPr>
                <w:ilvl w:val="0"/>
                <w:numId w:val="6"/>
              </w:numP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 xml:space="preserve">sjednotit úplaty za obsahově shodné výstupy v elektronické podobě napříč poskytovanými formáty, </w:t>
            </w:r>
          </w:p>
          <w:p w14:paraId="72D5F3BE" w14:textId="77777777" w:rsidR="000C53CA" w:rsidRDefault="000C53CA" w:rsidP="000C53CA">
            <w:pPr>
              <w:pStyle w:val="Bezmezer"/>
              <w:numPr>
                <w:ilvl w:val="0"/>
                <w:numId w:val="6"/>
              </w:numP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zvýšit úplatu za ty údaje v elektronické podobě, které jsou významné z pohledu ochrany soukromí a osobních údajů, a posílit tak její regulační funkci,</w:t>
            </w:r>
          </w:p>
          <w:p w14:paraId="6688CA36" w14:textId="77777777" w:rsidR="000C53CA" w:rsidRDefault="000C53CA" w:rsidP="000C53CA">
            <w:pPr>
              <w:pStyle w:val="Bezmezer"/>
              <w:numPr>
                <w:ilvl w:val="0"/>
                <w:numId w:val="6"/>
              </w:numP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zavést novou bezúplatnou webovou službu dálkového přístupu, prostřednictvím které by byly poskytovány vybrané údaje o nemovitostech a o řízeních bez osobních údajů v aktuálním čase,</w:t>
            </w:r>
          </w:p>
          <w:p w14:paraId="619E02A9" w14:textId="28C26D29" w:rsidR="00932F08" w:rsidRDefault="000C53CA" w:rsidP="000C53CA">
            <w:pPr>
              <w:pStyle w:val="Bezmezer"/>
              <w:numPr>
                <w:ilvl w:val="0"/>
                <w:numId w:val="6"/>
              </w:numPr>
              <w:spacing w:line="360" w:lineRule="auto"/>
              <w:jc w:val="both"/>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umožnit šíření údajů katastru získaných webovou službou dálkového přístupu.</w:t>
            </w:r>
          </w:p>
          <w:p w14:paraId="1D09A34F" w14:textId="2FB650F0"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B31AD">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A8FF037"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B31AD">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91C67">
              <w:rPr>
                <w:rStyle w:val="Hypertextovodkaz"/>
                <w:rFonts w:ascii="Arial" w:eastAsia="Times New Roman" w:hAnsi="Arial" w:cs="Arial"/>
                <w:b/>
                <w:bCs/>
                <w:i/>
                <w:color w:val="0F0D29" w:themeColor="text1"/>
                <w:kern w:val="36"/>
                <w:sz w:val="20"/>
                <w:szCs w:val="20"/>
                <w:u w:val="none"/>
                <w:lang w:eastAsia="cs-CZ"/>
              </w:rPr>
              <w:t>3</w:t>
            </w:r>
            <w:r w:rsidR="00932F08">
              <w:rPr>
                <w:rStyle w:val="Hypertextovodkaz"/>
                <w:rFonts w:ascii="Arial" w:eastAsia="Times New Roman" w:hAnsi="Arial" w:cs="Arial"/>
                <w:b/>
                <w:bCs/>
                <w:i/>
                <w:color w:val="0F0D29" w:themeColor="text1"/>
                <w:kern w:val="36"/>
                <w:sz w:val="20"/>
                <w:szCs w:val="20"/>
                <w:u w:val="none"/>
                <w:lang w:eastAsia="cs-CZ"/>
              </w:rPr>
              <w:t>1.</w:t>
            </w:r>
            <w:r w:rsidR="000C53CA">
              <w:rPr>
                <w:rStyle w:val="Hypertextovodkaz"/>
                <w:rFonts w:ascii="Arial" w:eastAsia="Times New Roman" w:hAnsi="Arial" w:cs="Arial"/>
                <w:b/>
                <w:bCs/>
                <w:i/>
                <w:color w:val="0F0D29" w:themeColor="text1"/>
                <w:kern w:val="36"/>
                <w:sz w:val="20"/>
                <w:szCs w:val="20"/>
                <w:u w:val="none"/>
                <w:lang w:eastAsia="cs-CZ"/>
              </w:rPr>
              <w:t xml:space="preserve"> 5. 2023</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7F9ECBC6" w14:textId="44D1EB3E" w:rsidR="00932F08" w:rsidRPr="005078C0" w:rsidRDefault="000C53CA" w:rsidP="00932F08">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C53CA">
              <w:rPr>
                <w:rStyle w:val="Hypertextovodkaz"/>
                <w:rFonts w:ascii="Arial" w:eastAsia="Times New Roman" w:hAnsi="Arial" w:cs="Arial"/>
                <w:b/>
                <w:bCs/>
                <w:color w:val="0F0D29" w:themeColor="text1"/>
                <w:kern w:val="36"/>
                <w:sz w:val="24"/>
                <w:szCs w:val="20"/>
                <w:u w:val="none"/>
                <w:lang w:eastAsia="cs-CZ"/>
              </w:rPr>
              <w:t>Návrh vyhlášky, kterou se mění vyhláška č. 393/2020 Sb., o digitální technické mapě kraje</w:t>
            </w:r>
            <w:r w:rsidR="00C6452A">
              <w:rPr>
                <w:rStyle w:val="Hypertextovodkaz"/>
                <w:rFonts w:ascii="Arial" w:eastAsia="Times New Roman" w:hAnsi="Arial" w:cs="Arial"/>
                <w:b/>
                <w:bCs/>
                <w:color w:val="0F0D29" w:themeColor="text1"/>
                <w:kern w:val="36"/>
                <w:sz w:val="24"/>
                <w:szCs w:val="24"/>
                <w:u w:val="none"/>
                <w:lang w:eastAsia="cs-CZ"/>
              </w:rPr>
              <w:pict w14:anchorId="4BDFEB6C">
                <v:rect id="_x0000_i1030" style="width:0;height:1.5pt" o:hralign="center" o:hrstd="t" o:hr="t" fillcolor="#a0a0a0" stroked="f"/>
              </w:pict>
            </w:r>
          </w:p>
          <w:p w14:paraId="1FF40364" w14:textId="77777777" w:rsidR="000C53CA" w:rsidRDefault="000C53CA" w:rsidP="004405C5">
            <w:pPr>
              <w:pStyle w:val="Bezmezer"/>
              <w:jc w:val="right"/>
              <w:rPr>
                <w:rStyle w:val="Hypertextovodkaz"/>
                <w:rFonts w:ascii="Arial" w:hAnsi="Arial" w:cs="Arial"/>
                <w:color w:val="auto"/>
                <w:sz w:val="20"/>
                <w:szCs w:val="20"/>
                <w:u w:val="none"/>
                <w:lang w:eastAsia="cs-CZ"/>
              </w:rPr>
            </w:pPr>
            <w:r w:rsidRPr="000C53CA">
              <w:rPr>
                <w:rStyle w:val="Hypertextovodkaz"/>
                <w:rFonts w:ascii="Arial" w:hAnsi="Arial" w:cs="Arial"/>
                <w:color w:val="auto"/>
                <w:sz w:val="20"/>
                <w:szCs w:val="20"/>
                <w:u w:val="none"/>
                <w:lang w:eastAsia="cs-CZ"/>
              </w:rPr>
              <w:t>KORNCPRJPFKT</w:t>
            </w:r>
          </w:p>
          <w:p w14:paraId="42CD8CB4" w14:textId="1ADEFDDE" w:rsidR="004405C5" w:rsidRPr="004405C5" w:rsidRDefault="000C53C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 ukončeno</w:t>
            </w:r>
          </w:p>
          <w:p w14:paraId="12EF2DC8" w14:textId="77777777" w:rsidR="00932F08" w:rsidRPr="00FE4C3F" w:rsidRDefault="00932F08" w:rsidP="00932F08">
            <w:pPr>
              <w:pStyle w:val="Bezmezer"/>
              <w:spacing w:line="276" w:lineRule="auto"/>
              <w:jc w:val="right"/>
              <w:rPr>
                <w:rStyle w:val="Hypertextovodkaz"/>
                <w:rFonts w:ascii="Arial" w:eastAsia="Times New Roman" w:hAnsi="Arial" w:cs="Arial"/>
                <w:bCs/>
                <w:color w:val="0F0D29" w:themeColor="text1"/>
                <w:kern w:val="36"/>
                <w:sz w:val="20"/>
                <w:szCs w:val="20"/>
                <w:highlight w:val="yellow"/>
                <w:u w:val="none"/>
                <w:lang w:eastAsia="cs-CZ"/>
              </w:rPr>
            </w:pPr>
          </w:p>
          <w:p w14:paraId="4FEFBFE9" w14:textId="77777777" w:rsidR="006E225F" w:rsidRPr="00FE4C3F" w:rsidRDefault="006E225F"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highlight w:val="yellow"/>
                <w:u w:val="none"/>
                <w:lang w:eastAsia="cs-CZ"/>
              </w:rPr>
            </w:pPr>
          </w:p>
          <w:p w14:paraId="383D7640" w14:textId="77777777" w:rsidR="000C53CA" w:rsidRPr="000C53CA"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C53CA">
              <w:rPr>
                <w:rStyle w:val="Hypertextovodkaz"/>
                <w:rFonts w:asciiTheme="majorHAnsi" w:eastAsia="Times New Roman" w:hAnsiTheme="majorHAnsi" w:cstheme="majorHAnsi"/>
                <w:bCs/>
                <w:color w:val="0F0D29" w:themeColor="text1"/>
                <w:kern w:val="36"/>
                <w:sz w:val="20"/>
                <w:szCs w:val="20"/>
                <w:u w:val="none"/>
                <w:lang w:eastAsia="cs-CZ"/>
              </w:rPr>
              <w:t xml:space="preserve">Předkládaným návrhem novely vyhlášky o digitální technické mapě kraje je reagováno na skutečnost, že v průběhu procesu vytváření digitálních technických map krajů byla zjištěna potřeba některých dílčích změn a </w:t>
            </w:r>
            <w:r w:rsidRPr="000C53CA">
              <w:rPr>
                <w:rStyle w:val="Hypertextovodkaz"/>
                <w:rFonts w:asciiTheme="majorHAnsi" w:eastAsia="Times New Roman" w:hAnsiTheme="majorHAnsi" w:cstheme="majorHAnsi"/>
                <w:bCs/>
                <w:color w:val="0F0D29" w:themeColor="text1"/>
                <w:kern w:val="36"/>
                <w:sz w:val="20"/>
                <w:szCs w:val="20"/>
                <w:u w:val="none"/>
                <w:lang w:eastAsia="cs-CZ"/>
              </w:rPr>
              <w:lastRenderedPageBreak/>
              <w:t>zpřesnění v oblasti obsahu digitální technické mapy kraje, které jsou nezbytné k tomu, aby nově vytvářené digitální technické mapy krajů plnily svůj účel. Jedná se zejména o doplnění dalších objektů a vlastností objektů digitální technické mapy kraje, případně úpravu nebo rušení objektů, které se ukázaly jako nadbytečné nebo duplicitní.</w:t>
            </w:r>
          </w:p>
          <w:p w14:paraId="6E6BA518" w14:textId="77777777" w:rsidR="000C53CA"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28EE4580" w14:textId="3B48AEEE" w:rsidR="000C53CA" w:rsidRPr="000C53CA"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C53CA">
              <w:rPr>
                <w:rStyle w:val="Hypertextovodkaz"/>
                <w:rFonts w:asciiTheme="majorHAnsi" w:eastAsia="Times New Roman" w:hAnsiTheme="majorHAnsi" w:cstheme="majorHAnsi"/>
                <w:bCs/>
                <w:color w:val="0F0D29" w:themeColor="text1"/>
                <w:kern w:val="36"/>
                <w:sz w:val="20"/>
                <w:szCs w:val="20"/>
                <w:u w:val="none"/>
                <w:lang w:eastAsia="cs-CZ"/>
              </w:rPr>
              <w:t xml:space="preserve">Druhou významnou změnou je úprava poskytování údajů z veřejné části digitální technické mapy formou stahovacích služeb. Tuto změnu iniciovali zástupci Asociace kritické infrastruktury České republiky, </w:t>
            </w:r>
            <w:proofErr w:type="spellStart"/>
            <w:r w:rsidRPr="000C53CA">
              <w:rPr>
                <w:rStyle w:val="Hypertextovodkaz"/>
                <w:rFonts w:asciiTheme="majorHAnsi" w:eastAsia="Times New Roman" w:hAnsiTheme="majorHAnsi" w:cstheme="majorHAnsi"/>
                <w:bCs/>
                <w:color w:val="0F0D29" w:themeColor="text1"/>
                <w:kern w:val="36"/>
                <w:sz w:val="20"/>
                <w:szCs w:val="20"/>
                <w:u w:val="none"/>
                <w:lang w:eastAsia="cs-CZ"/>
              </w:rPr>
              <w:t>z.s</w:t>
            </w:r>
            <w:proofErr w:type="spellEnd"/>
            <w:r w:rsidRPr="000C53CA">
              <w:rPr>
                <w:rStyle w:val="Hypertextovodkaz"/>
                <w:rFonts w:asciiTheme="majorHAnsi" w:eastAsia="Times New Roman" w:hAnsiTheme="majorHAnsi" w:cstheme="majorHAnsi"/>
                <w:bCs/>
                <w:color w:val="0F0D29" w:themeColor="text1"/>
                <w:kern w:val="36"/>
                <w:sz w:val="20"/>
                <w:szCs w:val="20"/>
                <w:u w:val="none"/>
                <w:lang w:eastAsia="cs-CZ"/>
              </w:rPr>
              <w:t xml:space="preserve">., a to z důvodu potřeby zajištění bezpečnosti provozu a ochrany sítí technické infrastruktury vedené pod povrchem.   </w:t>
            </w:r>
          </w:p>
          <w:p w14:paraId="29909D5A" w14:textId="77777777" w:rsidR="000C53CA"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36C1B6C9" w14:textId="2BF13D98" w:rsidR="00932F08"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C53CA">
              <w:rPr>
                <w:rStyle w:val="Hypertextovodkaz"/>
                <w:rFonts w:asciiTheme="majorHAnsi" w:eastAsia="Times New Roman" w:hAnsiTheme="majorHAnsi" w:cstheme="majorHAnsi"/>
                <w:bCs/>
                <w:color w:val="0F0D29" w:themeColor="text1"/>
                <w:kern w:val="36"/>
                <w:sz w:val="20"/>
                <w:szCs w:val="20"/>
                <w:u w:val="none"/>
                <w:lang w:eastAsia="cs-CZ"/>
              </w:rPr>
              <w:t>Dále dochází k posunu data, ke kterému měla vyhláška č. 393/2020 Sb. nabýt účinnosti, a to s ohledem na posun účinnosti zákona č. 47/2020 Sb.</w:t>
            </w:r>
          </w:p>
          <w:p w14:paraId="60D4B706" w14:textId="77777777" w:rsidR="000C53CA" w:rsidRDefault="000C53CA"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408E1091" w14:textId="1679A6BC"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C53CA">
              <w:rPr>
                <w:rStyle w:val="Hypertextovodkaz"/>
                <w:rFonts w:ascii="Arial" w:eastAsia="Times New Roman" w:hAnsi="Arial" w:cs="Arial"/>
                <w:bCs/>
                <w:i/>
                <w:color w:val="0F0D29" w:themeColor="text1"/>
                <w:kern w:val="36"/>
                <w:sz w:val="20"/>
                <w:szCs w:val="20"/>
                <w:u w:val="none"/>
                <w:lang w:eastAsia="cs-CZ"/>
              </w:rPr>
              <w:t>OPS</w:t>
            </w:r>
            <w:r w:rsidR="009F3BD4">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51E5276" w14:textId="7777777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4E2CCC" w14:textId="134C975D" w:rsidR="00932F08" w:rsidRPr="005078C0" w:rsidRDefault="00932F08" w:rsidP="00932F0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C53CA">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r w:rsidR="000C53CA">
              <w:rPr>
                <w:rStyle w:val="Hypertextovodkaz"/>
                <w:rFonts w:ascii="Arial" w:eastAsia="Times New Roman" w:hAnsi="Arial" w:cs="Arial"/>
                <w:b/>
                <w:bCs/>
                <w:i/>
                <w:color w:val="0F0D29" w:themeColor="text1"/>
                <w:kern w:val="36"/>
                <w:sz w:val="20"/>
                <w:szCs w:val="20"/>
                <w:u w:val="none"/>
                <w:lang w:eastAsia="cs-CZ"/>
              </w:rPr>
              <w:t xml:space="preserve"> 5. 2023</w:t>
            </w:r>
          </w:p>
          <w:p w14:paraId="46DC81AF" w14:textId="706FAEAF" w:rsidR="00A06F4B" w:rsidRDefault="00A06F4B" w:rsidP="00932F08">
            <w:pPr>
              <w:pStyle w:val="Bezmezer"/>
              <w:tabs>
                <w:tab w:val="left" w:pos="6360"/>
              </w:tabs>
              <w:spacing w:line="360" w:lineRule="auto"/>
              <w:rPr>
                <w:rStyle w:val="Hypertextovodkaz"/>
                <w:rFonts w:ascii="Arial" w:eastAsia="Times New Roman" w:hAnsi="Arial" w:cs="Arial"/>
                <w:b/>
                <w:color w:val="0F0D29" w:themeColor="text1"/>
                <w:kern w:val="36"/>
                <w:sz w:val="24"/>
                <w:szCs w:val="24"/>
                <w:u w:val="none"/>
                <w:lang w:eastAsia="cs-CZ"/>
              </w:rPr>
            </w:pPr>
          </w:p>
          <w:p w14:paraId="6F483DFC" w14:textId="4774F53B" w:rsidR="00DA4CC0" w:rsidRPr="005078C0" w:rsidRDefault="00E46109" w:rsidP="00DA4CC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E46109">
              <w:rPr>
                <w:rStyle w:val="Hypertextovodkaz"/>
                <w:rFonts w:ascii="Arial" w:eastAsia="Times New Roman" w:hAnsi="Arial" w:cs="Arial"/>
                <w:b/>
                <w:bCs/>
                <w:color w:val="0F0D29" w:themeColor="text1"/>
                <w:kern w:val="36"/>
                <w:sz w:val="24"/>
                <w:szCs w:val="20"/>
                <w:u w:val="none"/>
                <w:lang w:eastAsia="cs-CZ"/>
              </w:rPr>
              <w:t>Návrh vyhlášky, kterou se mění vyhláška č. 428/2001 Sb., kterou se provádí zákon č. 274/2001 Sb., o vodovodech a kanalizacích pro veřejnou potřebu a o změně některých zákonů (zákon o vodovodech a kanalizacích), ve znění pozdějších předpisů</w:t>
            </w:r>
            <w:r w:rsidR="00C6452A">
              <w:rPr>
                <w:rStyle w:val="Hypertextovodkaz"/>
                <w:rFonts w:ascii="Arial" w:eastAsia="Times New Roman" w:hAnsi="Arial" w:cs="Arial"/>
                <w:b/>
                <w:bCs/>
                <w:color w:val="0F0D29" w:themeColor="text1"/>
                <w:kern w:val="36"/>
                <w:sz w:val="24"/>
                <w:szCs w:val="24"/>
                <w:u w:val="none"/>
                <w:lang w:eastAsia="cs-CZ"/>
              </w:rPr>
              <w:pict w14:anchorId="0712976F">
                <v:rect id="_x0000_i1031" style="width:0;height:1.5pt" o:hralign="center" o:hrstd="t" o:hr="t" fillcolor="#a0a0a0" stroked="f"/>
              </w:pict>
            </w:r>
          </w:p>
          <w:p w14:paraId="417EE362" w14:textId="51E73853" w:rsidR="00DA4CC0" w:rsidRPr="00205C1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 xml:space="preserve">EKLEP  </w:t>
            </w:r>
            <w:r w:rsidR="00E46109" w:rsidRPr="00E46109">
              <w:rPr>
                <w:rStyle w:val="Hypertextovodkaz"/>
                <w:rFonts w:ascii="Arial" w:eastAsia="Times New Roman" w:hAnsi="Arial" w:cs="Arial"/>
                <w:bCs/>
                <w:color w:val="0F0D29" w:themeColor="text1"/>
                <w:kern w:val="36"/>
                <w:sz w:val="20"/>
                <w:szCs w:val="20"/>
                <w:u w:val="none"/>
                <w:lang w:eastAsia="cs-CZ"/>
              </w:rPr>
              <w:t>ALBSCPRE655W</w:t>
            </w:r>
          </w:p>
          <w:p w14:paraId="3BE603BD" w14:textId="6A5F9E79" w:rsidR="00DA4CC0" w:rsidRPr="00205C10" w:rsidRDefault="006D797C" w:rsidP="00DA4CC0">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 xml:space="preserve">mezirezortní připomínkové řízení </w:t>
            </w:r>
            <w:r w:rsidR="00B83A81">
              <w:rPr>
                <w:rStyle w:val="Hypertextovodkaz"/>
                <w:rFonts w:ascii="Arial" w:eastAsia="Times New Roman" w:hAnsi="Arial" w:cs="Arial"/>
                <w:bCs/>
                <w:color w:val="0F0D29" w:themeColor="text1"/>
                <w:kern w:val="36"/>
                <w:sz w:val="20"/>
                <w:szCs w:val="20"/>
                <w:u w:val="none"/>
                <w:lang w:eastAsia="cs-CZ"/>
              </w:rPr>
              <w:t>ukončeno</w:t>
            </w:r>
          </w:p>
          <w:p w14:paraId="022A3B09" w14:textId="77777777" w:rsidR="00DA4CC0" w:rsidRPr="00205C1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92785CA" w14:textId="77777777" w:rsidR="00DA4CC0" w:rsidRPr="00205C1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37ACE7A9" w14:textId="5AD952C9" w:rsidR="00E46109" w:rsidRPr="00E46109" w:rsidRDefault="00E46109" w:rsidP="00E46109">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Předkládanou novelou vyhlášky d</w:t>
            </w:r>
            <w:r w:rsidRPr="00E46109">
              <w:rPr>
                <w:rStyle w:val="Hypertextovodkaz"/>
                <w:rFonts w:asciiTheme="majorHAnsi" w:eastAsia="Times New Roman" w:hAnsiTheme="majorHAnsi" w:cstheme="majorHAnsi"/>
                <w:bCs/>
                <w:color w:val="0F0D29" w:themeColor="text1"/>
                <w:kern w:val="36"/>
                <w:sz w:val="20"/>
                <w:szCs w:val="20"/>
                <w:u w:val="none"/>
                <w:lang w:eastAsia="cs-CZ"/>
              </w:rPr>
              <w:t>ochází k úpravě rozsahu úplných a krácených rozborů surové vody na základě výsledků posouzení rizik, zpracovaného podle vyhlášky č. 252/2004 Sb., kterou se stanoví hygienické požadavky na pitnou a teplou vodu a četnost a rozsah kontroly pitné vody, ve znění pozdějších předpisů včetně připravované novely, a na základě výsledků posouzení a řízení rizik částí povodí souvisejících s místy odběru vody určené k lidské spotřebě, zpracovaného podle nové vyhlášky č. 50/2023 Sb., o plánech povodí a plánech pro zvládání povodňových rizik, která nabyla účinnosti dnem 1. 3. 2023.</w:t>
            </w:r>
          </w:p>
          <w:p w14:paraId="7F401169" w14:textId="77777777" w:rsidR="00E46109" w:rsidRPr="00E46109" w:rsidRDefault="00E46109" w:rsidP="00E46109">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5FFE2214" w14:textId="5E49BC90" w:rsidR="006D797C" w:rsidRDefault="00E46109" w:rsidP="00E46109">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E46109">
              <w:rPr>
                <w:rStyle w:val="Hypertextovodkaz"/>
                <w:rFonts w:asciiTheme="majorHAnsi" w:eastAsia="Times New Roman" w:hAnsiTheme="majorHAnsi" w:cstheme="majorHAnsi"/>
                <w:bCs/>
                <w:color w:val="0F0D29" w:themeColor="text1"/>
                <w:kern w:val="36"/>
                <w:sz w:val="20"/>
                <w:szCs w:val="20"/>
                <w:u w:val="none"/>
                <w:lang w:eastAsia="cs-CZ"/>
              </w:rPr>
              <w:t xml:space="preserve">Návrh vyhlášky na základě směrnice 2020/2184 dále upravuje informační povinnosti vlastníka vodovodu nebo kanalizace, popřípadě provozovatele. Jedná se především o rozsah informací zveřejňovaných provozovatelem vodovodu nebo kanalizace na jeho internetových stránkách nebo rozsah konkrétních údajů o vodném nebo stočném, které musí být pravidelně předávány vlastníkem vodovodu nebo kanalizace, popřípadě provozovatelem, odběratelům. </w:t>
            </w:r>
          </w:p>
          <w:p w14:paraId="4DD3CE75" w14:textId="77777777" w:rsidR="00E46109" w:rsidRDefault="00E46109" w:rsidP="00E46109">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261A641" w14:textId="78D6C2C1"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E46109">
              <w:rPr>
                <w:rStyle w:val="Hypertextovodkaz"/>
                <w:rFonts w:ascii="Arial" w:eastAsia="Times New Roman" w:hAnsi="Arial" w:cs="Arial"/>
                <w:bCs/>
                <w:i/>
                <w:color w:val="0F0D29" w:themeColor="text1"/>
                <w:kern w:val="36"/>
                <w:sz w:val="20"/>
                <w:szCs w:val="20"/>
                <w:u w:val="none"/>
                <w:lang w:eastAsia="cs-CZ"/>
              </w:rPr>
              <w:t>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733D053"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CBC949" w14:textId="74DC549D" w:rsidR="00DA4CC0" w:rsidRPr="005078C0" w:rsidRDefault="00DA4CC0" w:rsidP="00DA4CC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E46109">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D797C">
              <w:rPr>
                <w:rStyle w:val="Hypertextovodkaz"/>
                <w:rFonts w:ascii="Arial" w:eastAsia="Times New Roman" w:hAnsi="Arial" w:cs="Arial"/>
                <w:b/>
                <w:bCs/>
                <w:i/>
                <w:color w:val="0F0D29" w:themeColor="text1"/>
                <w:kern w:val="36"/>
                <w:sz w:val="20"/>
                <w:szCs w:val="20"/>
                <w:u w:val="none"/>
                <w:lang w:eastAsia="cs-CZ"/>
              </w:rPr>
              <w:t>3</w:t>
            </w:r>
            <w:r w:rsidR="00E46109">
              <w:rPr>
                <w:rStyle w:val="Hypertextovodkaz"/>
                <w:rFonts w:ascii="Arial" w:eastAsia="Times New Roman" w:hAnsi="Arial" w:cs="Arial"/>
                <w:b/>
                <w:bCs/>
                <w:i/>
                <w:color w:val="0F0D29" w:themeColor="text1"/>
                <w:kern w:val="36"/>
                <w:sz w:val="20"/>
                <w:szCs w:val="20"/>
                <w:u w:val="none"/>
                <w:lang w:eastAsia="cs-CZ"/>
              </w:rPr>
              <w:t>1.5.2023</w:t>
            </w:r>
          </w:p>
          <w:p w14:paraId="078D6F1B" w14:textId="0D86CDFD" w:rsidR="00DA4CC0" w:rsidRDefault="00DA4CC0" w:rsidP="00932F08">
            <w:pPr>
              <w:pStyle w:val="Bezmezer"/>
              <w:tabs>
                <w:tab w:val="left" w:pos="6360"/>
              </w:tabs>
              <w:spacing w:line="360" w:lineRule="auto"/>
            </w:pPr>
          </w:p>
          <w:p w14:paraId="2124F9E1" w14:textId="68C1B96E" w:rsidR="00214F9E" w:rsidRPr="005C048D" w:rsidRDefault="00E46109" w:rsidP="00214F9E">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E46109">
              <w:rPr>
                <w:rStyle w:val="Hypertextovodkaz"/>
                <w:rFonts w:ascii="Arial" w:eastAsia="Times New Roman" w:hAnsi="Arial" w:cs="Arial"/>
                <w:b/>
                <w:bCs/>
                <w:color w:val="auto"/>
                <w:kern w:val="36"/>
                <w:sz w:val="24"/>
                <w:szCs w:val="24"/>
                <w:u w:val="none"/>
                <w:lang w:eastAsia="cs-CZ"/>
              </w:rPr>
              <w:t>Návrh vyhlášky, kterou se mění vyhláška č. 227/2015 Sb., o náležitostech bezpečnostní dokumentace a rozsahu informací poskytovaných zpracovateli posudku</w:t>
            </w:r>
            <w:r w:rsidR="00C6452A">
              <w:rPr>
                <w:rStyle w:val="Hypertextovodkaz"/>
                <w:rFonts w:ascii="Arial" w:eastAsia="Times New Roman" w:hAnsi="Arial" w:cs="Arial"/>
                <w:b/>
                <w:bCs/>
                <w:color w:val="auto"/>
                <w:kern w:val="36"/>
                <w:sz w:val="24"/>
                <w:szCs w:val="24"/>
                <w:u w:val="none"/>
                <w:lang w:eastAsia="cs-CZ"/>
              </w:rPr>
              <w:pict w14:anchorId="19FF02FB">
                <v:rect id="_x0000_i1032" style="width:0;height:1.5pt" o:hralign="center" o:hrstd="t" o:hr="t" fillcolor="#a0a0a0" stroked="f"/>
              </w:pict>
            </w:r>
          </w:p>
          <w:p w14:paraId="6833B9A5" w14:textId="0256C5B6" w:rsidR="00446F61" w:rsidRPr="00446F61" w:rsidRDefault="00446F61" w:rsidP="00446F6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446F61">
              <w:rPr>
                <w:rStyle w:val="Hypertextovodkaz"/>
                <w:rFonts w:ascii="Arial" w:eastAsia="Times New Roman" w:hAnsi="Arial" w:cs="Arial"/>
                <w:bCs/>
                <w:color w:val="0F0D29" w:themeColor="text1"/>
                <w:kern w:val="36"/>
                <w:sz w:val="20"/>
                <w:szCs w:val="20"/>
                <w:u w:val="none"/>
                <w:lang w:eastAsia="cs-CZ"/>
              </w:rPr>
              <w:t>EKLE</w:t>
            </w:r>
            <w:r w:rsidR="00E46109">
              <w:rPr>
                <w:rStyle w:val="Hypertextovodkaz"/>
                <w:rFonts w:ascii="Arial" w:eastAsia="Times New Roman" w:hAnsi="Arial" w:cs="Arial"/>
                <w:bCs/>
                <w:color w:val="0F0D29" w:themeColor="text1"/>
                <w:kern w:val="36"/>
                <w:sz w:val="20"/>
                <w:szCs w:val="20"/>
                <w:u w:val="none"/>
                <w:lang w:eastAsia="cs-CZ"/>
              </w:rPr>
              <w:t>P</w:t>
            </w:r>
            <w:r w:rsidR="00E46109">
              <w:t xml:space="preserve"> </w:t>
            </w:r>
            <w:r w:rsidR="00E46109" w:rsidRPr="00E46109">
              <w:rPr>
                <w:rStyle w:val="Hypertextovodkaz"/>
                <w:rFonts w:ascii="Arial" w:eastAsia="Times New Roman" w:hAnsi="Arial" w:cs="Arial"/>
                <w:bCs/>
                <w:color w:val="0F0D29" w:themeColor="text1"/>
                <w:kern w:val="36"/>
                <w:sz w:val="20"/>
                <w:szCs w:val="20"/>
                <w:u w:val="none"/>
                <w:lang w:eastAsia="cs-CZ"/>
              </w:rPr>
              <w:t>ALBSCQ79Y4E3</w:t>
            </w:r>
            <w:r w:rsidR="00E46109">
              <w:rPr>
                <w:rStyle w:val="Hypertextovodkaz"/>
                <w:rFonts w:ascii="Arial" w:eastAsia="Times New Roman" w:hAnsi="Arial" w:cs="Arial"/>
                <w:bCs/>
                <w:color w:val="0F0D29" w:themeColor="text1"/>
                <w:kern w:val="36"/>
                <w:sz w:val="20"/>
                <w:szCs w:val="20"/>
                <w:u w:val="none"/>
                <w:lang w:eastAsia="cs-CZ"/>
              </w:rPr>
              <w:t xml:space="preserve"> </w:t>
            </w:r>
            <w:r w:rsidRPr="00446F61">
              <w:rPr>
                <w:rStyle w:val="Hypertextovodkaz"/>
                <w:rFonts w:ascii="Arial" w:eastAsia="Times New Roman" w:hAnsi="Arial" w:cs="Arial"/>
                <w:bCs/>
                <w:color w:val="0F0D29" w:themeColor="text1"/>
                <w:kern w:val="36"/>
                <w:sz w:val="20"/>
                <w:szCs w:val="20"/>
                <w:u w:val="none"/>
                <w:lang w:eastAsia="cs-CZ"/>
              </w:rPr>
              <w:t xml:space="preserve"> </w:t>
            </w:r>
            <w:r w:rsidR="00E46109">
              <w:rPr>
                <w:rStyle w:val="Hypertextovodkaz"/>
                <w:rFonts w:ascii="Arial" w:eastAsia="Times New Roman" w:hAnsi="Arial" w:cs="Arial"/>
                <w:bCs/>
                <w:color w:val="0F0D29" w:themeColor="text1"/>
                <w:kern w:val="36"/>
                <w:sz w:val="20"/>
                <w:szCs w:val="20"/>
                <w:u w:val="none"/>
                <w:lang w:eastAsia="cs-CZ"/>
              </w:rPr>
              <w:t xml:space="preserve"> </w:t>
            </w:r>
          </w:p>
          <w:p w14:paraId="2365E614" w14:textId="45CE9592" w:rsidR="00446F61" w:rsidRPr="00446F61" w:rsidRDefault="00446F61" w:rsidP="00446F61">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sidRPr="00446F61">
              <w:rPr>
                <w:rStyle w:val="Hypertextovodkaz"/>
                <w:rFonts w:ascii="Arial" w:eastAsia="Times New Roman" w:hAnsi="Arial" w:cs="Arial"/>
                <w:bCs/>
                <w:color w:val="0F0D29" w:themeColor="text1"/>
                <w:kern w:val="36"/>
                <w:sz w:val="20"/>
                <w:szCs w:val="20"/>
                <w:u w:val="none"/>
                <w:lang w:eastAsia="cs-CZ"/>
              </w:rPr>
              <w:t>mezirezortní připomínkové řízení</w:t>
            </w:r>
            <w:r w:rsidR="00B83A81">
              <w:rPr>
                <w:rStyle w:val="Hypertextovodkaz"/>
                <w:rFonts w:ascii="Arial" w:eastAsia="Times New Roman" w:hAnsi="Arial" w:cs="Arial"/>
                <w:bCs/>
                <w:color w:val="0F0D29" w:themeColor="text1"/>
                <w:kern w:val="36"/>
                <w:sz w:val="20"/>
                <w:szCs w:val="20"/>
                <w:u w:val="none"/>
                <w:lang w:eastAsia="cs-CZ"/>
              </w:rPr>
              <w:t xml:space="preserve"> ukončeno</w:t>
            </w:r>
            <w:r w:rsidRPr="00446F61">
              <w:rPr>
                <w:rStyle w:val="Hypertextovodkaz"/>
                <w:rFonts w:ascii="Arial" w:eastAsia="Times New Roman" w:hAnsi="Arial" w:cs="Arial"/>
                <w:bCs/>
                <w:color w:val="0F0D29" w:themeColor="text1"/>
                <w:kern w:val="36"/>
                <w:sz w:val="20"/>
                <w:szCs w:val="20"/>
                <w:u w:val="none"/>
                <w:lang w:eastAsia="cs-CZ"/>
              </w:rPr>
              <w:t xml:space="preserve"> </w:t>
            </w:r>
          </w:p>
          <w:p w14:paraId="4AF64AC7" w14:textId="393CAEAA" w:rsidR="006C0197" w:rsidRDefault="006C0197" w:rsidP="006C0197">
            <w:pPr>
              <w:pStyle w:val="text-large"/>
              <w:shd w:val="clear" w:color="auto" w:fill="FFFFFF"/>
              <w:spacing w:line="408" w:lineRule="atLeast"/>
              <w:jc w:val="both"/>
              <w:rPr>
                <w:rFonts w:asciiTheme="majorHAnsi" w:hAnsiTheme="majorHAnsi" w:cstheme="majorHAnsi"/>
                <w:sz w:val="20"/>
                <w:szCs w:val="20"/>
              </w:rPr>
            </w:pPr>
            <w:r w:rsidRPr="006C0197">
              <w:rPr>
                <w:rFonts w:asciiTheme="majorHAnsi" w:hAnsiTheme="majorHAnsi" w:cstheme="majorHAnsi"/>
                <w:sz w:val="20"/>
                <w:szCs w:val="20"/>
              </w:rPr>
              <w:t xml:space="preserve">Tato vyhláška stanovuje náležitosti posudku návrhu bezpečnostní dokumentace coby odborného podkladu pro jeho schválení krajským úřadem a vymezuje okruh dokumentů, které je zpracovatel posudku pro účely posouzení návrhu bezpečnostní dokumentace oprávněn po provozovateli objektu požadovat. </w:t>
            </w:r>
          </w:p>
          <w:p w14:paraId="680583D3" w14:textId="20FA880C" w:rsidR="006C0197" w:rsidRPr="006C0197" w:rsidRDefault="006C0197" w:rsidP="006C0197">
            <w:pPr>
              <w:pStyle w:val="text-large"/>
              <w:shd w:val="clear" w:color="auto" w:fill="FFFFFF"/>
              <w:spacing w:line="408" w:lineRule="atLeast"/>
              <w:jc w:val="both"/>
              <w:rPr>
                <w:rFonts w:asciiTheme="majorHAnsi" w:hAnsiTheme="majorHAnsi" w:cstheme="majorHAnsi"/>
                <w:sz w:val="20"/>
                <w:szCs w:val="20"/>
              </w:rPr>
            </w:pPr>
            <w:r w:rsidRPr="006C0197">
              <w:rPr>
                <w:rFonts w:asciiTheme="majorHAnsi" w:hAnsiTheme="majorHAnsi" w:cstheme="majorHAnsi"/>
                <w:sz w:val="20"/>
                <w:szCs w:val="20"/>
              </w:rPr>
              <w:t xml:space="preserve">Druhým primárním účelem této navrhované vyhlášky je upravit znění vyhlášky č. 227/2015 Sb., aby odpovídala změnám, které budou do zákona o prevenci závažných havárií doplněny v souvislosti se zcela novou úpravou tzv. jednotného environmentálního stanoviska. Změnový zákon k zákonu o jednotném environmentálním stanovisku je v současné době v legislativním procesu v Parlamentu České republiky.  </w:t>
            </w:r>
          </w:p>
          <w:p w14:paraId="7A1F4561" w14:textId="4902DE6E" w:rsidR="00214F9E" w:rsidRPr="005078C0" w:rsidRDefault="00214F9E" w:rsidP="006C019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446F61">
              <w:rPr>
                <w:rStyle w:val="Hypertextovodkaz"/>
                <w:rFonts w:ascii="Arial" w:eastAsia="Times New Roman" w:hAnsi="Arial" w:cs="Arial"/>
                <w:bCs/>
                <w:i/>
                <w:color w:val="0F0D29" w:themeColor="text1"/>
                <w:kern w:val="36"/>
                <w:sz w:val="20"/>
                <w:szCs w:val="20"/>
                <w:u w:val="none"/>
                <w:lang w:eastAsia="cs-CZ"/>
              </w:rPr>
              <w:t>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CB59160" w14:textId="77777777" w:rsidR="00214F9E" w:rsidRPr="005078C0" w:rsidRDefault="00214F9E" w:rsidP="00214F9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C96E284" w14:textId="6224BE51" w:rsidR="00214F9E" w:rsidRPr="005078C0" w:rsidRDefault="00214F9E" w:rsidP="00214F9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446F61">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446F61">
              <w:rPr>
                <w:rStyle w:val="Hypertextovodkaz"/>
                <w:rFonts w:ascii="Arial" w:eastAsia="Times New Roman" w:hAnsi="Arial" w:cs="Arial"/>
                <w:b/>
                <w:bCs/>
                <w:i/>
                <w:color w:val="0F0D29" w:themeColor="text1"/>
                <w:kern w:val="36"/>
                <w:sz w:val="20"/>
                <w:szCs w:val="20"/>
                <w:u w:val="none"/>
                <w:lang w:eastAsia="cs-CZ"/>
              </w:rPr>
              <w:t>31.</w:t>
            </w:r>
            <w:r w:rsidR="006C0197">
              <w:rPr>
                <w:rStyle w:val="Hypertextovodkaz"/>
                <w:rFonts w:ascii="Arial" w:eastAsia="Times New Roman" w:hAnsi="Arial" w:cs="Arial"/>
                <w:b/>
                <w:bCs/>
                <w:i/>
                <w:color w:val="0F0D29" w:themeColor="text1"/>
                <w:kern w:val="36"/>
                <w:sz w:val="20"/>
                <w:szCs w:val="20"/>
                <w:u w:val="none"/>
                <w:lang w:eastAsia="cs-CZ"/>
              </w:rPr>
              <w:t>5</w:t>
            </w:r>
            <w:r w:rsidR="00446F61">
              <w:rPr>
                <w:rStyle w:val="Hypertextovodkaz"/>
                <w:rFonts w:ascii="Arial" w:eastAsia="Times New Roman" w:hAnsi="Arial" w:cs="Arial"/>
                <w:b/>
                <w:bCs/>
                <w:i/>
                <w:color w:val="0F0D29" w:themeColor="text1"/>
                <w:kern w:val="36"/>
                <w:sz w:val="20"/>
                <w:szCs w:val="20"/>
                <w:u w:val="none"/>
                <w:lang w:eastAsia="cs-CZ"/>
              </w:rPr>
              <w:t>.2023</w:t>
            </w:r>
          </w:p>
          <w:p w14:paraId="2549310F" w14:textId="4D7EFA95" w:rsidR="00214F9E" w:rsidRDefault="00214F9E" w:rsidP="00214F9E">
            <w:pPr>
              <w:spacing w:line="360" w:lineRule="auto"/>
              <w:jc w:val="both"/>
              <w:rPr>
                <w:rFonts w:ascii="Arial" w:hAnsi="Arial" w:cs="Arial"/>
                <w:bCs/>
                <w:color w:val="1B174A" w:themeColor="text1" w:themeTint="E6"/>
                <w:sz w:val="20"/>
                <w:szCs w:val="20"/>
              </w:rPr>
            </w:pPr>
          </w:p>
          <w:p w14:paraId="4077899C" w14:textId="7C5716DC" w:rsidR="005F1F37" w:rsidRPr="005C048D" w:rsidRDefault="005F1F37" w:rsidP="005F1F37">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F1F37">
              <w:rPr>
                <w:rStyle w:val="Hypertextovodkaz"/>
                <w:rFonts w:ascii="Arial" w:eastAsia="Times New Roman" w:hAnsi="Arial" w:cs="Arial"/>
                <w:b/>
                <w:bCs/>
                <w:color w:val="auto"/>
                <w:kern w:val="36"/>
                <w:sz w:val="24"/>
                <w:szCs w:val="24"/>
                <w:u w:val="none"/>
                <w:lang w:eastAsia="cs-CZ"/>
              </w:rPr>
              <w:t>Novela zákona č. 110/1997 o potravinách a tabákových výrobcích</w:t>
            </w:r>
            <w:r w:rsidR="00C6452A">
              <w:rPr>
                <w:rStyle w:val="Hypertextovodkaz"/>
                <w:rFonts w:ascii="Arial" w:eastAsia="Times New Roman" w:hAnsi="Arial" w:cs="Arial"/>
                <w:b/>
                <w:bCs/>
                <w:color w:val="auto"/>
                <w:kern w:val="36"/>
                <w:sz w:val="24"/>
                <w:szCs w:val="24"/>
                <w:u w:val="none"/>
                <w:lang w:eastAsia="cs-CZ"/>
              </w:rPr>
              <w:pict w14:anchorId="27B0B0B3">
                <v:rect id="_x0000_i1033" style="width:0;height:1.5pt" o:hralign="center" o:hrstd="t" o:hr="t" fillcolor="#a0a0a0" stroked="f"/>
              </w:pict>
            </w:r>
          </w:p>
          <w:p w14:paraId="44E7038F" w14:textId="2948B3B0" w:rsidR="005F1F37" w:rsidRPr="00446F61" w:rsidRDefault="005F1F37" w:rsidP="005F1F3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311</w:t>
            </w:r>
          </w:p>
          <w:p w14:paraId="6D804F47" w14:textId="6E567388" w:rsidR="005F1F37" w:rsidRPr="00446F61" w:rsidRDefault="005F1F37" w:rsidP="005F1F37">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Schváleno v PS, postoupeno do Senátu</w:t>
            </w:r>
            <w:r w:rsidRPr="00446F61">
              <w:rPr>
                <w:rStyle w:val="Hypertextovodkaz"/>
                <w:rFonts w:ascii="Arial" w:eastAsia="Times New Roman" w:hAnsi="Arial" w:cs="Arial"/>
                <w:bCs/>
                <w:color w:val="0F0D29" w:themeColor="text1"/>
                <w:kern w:val="36"/>
                <w:sz w:val="20"/>
                <w:szCs w:val="20"/>
                <w:u w:val="none"/>
                <w:lang w:eastAsia="cs-CZ"/>
              </w:rPr>
              <w:t xml:space="preserve"> </w:t>
            </w:r>
          </w:p>
          <w:p w14:paraId="6E6E37D3" w14:textId="2B8DAB95" w:rsidR="005F1F37" w:rsidRDefault="005F1F37" w:rsidP="005F1F37">
            <w:pPr>
              <w:pStyle w:val="text-large"/>
              <w:shd w:val="clear" w:color="auto" w:fill="FFFFFF"/>
              <w:spacing w:line="408" w:lineRule="atLeast"/>
              <w:jc w:val="both"/>
              <w:rPr>
                <w:rFonts w:asciiTheme="majorHAnsi" w:hAnsiTheme="majorHAnsi" w:cstheme="majorHAnsi"/>
                <w:sz w:val="20"/>
                <w:szCs w:val="20"/>
              </w:rPr>
            </w:pPr>
            <w:r>
              <w:rPr>
                <w:rFonts w:asciiTheme="majorHAnsi" w:hAnsiTheme="majorHAnsi" w:cstheme="majorHAnsi"/>
                <w:sz w:val="20"/>
                <w:szCs w:val="20"/>
              </w:rPr>
              <w:t xml:space="preserve">Formou přílepku k zákonu o ochraně veřejného zdraví Poslanecká sněmovna dne 5. 4. 2023 schválila novelu zákona č. </w:t>
            </w:r>
            <w:r w:rsidRPr="005F1F37">
              <w:rPr>
                <w:rFonts w:asciiTheme="majorHAnsi" w:hAnsiTheme="majorHAnsi" w:cstheme="majorHAnsi"/>
                <w:sz w:val="20"/>
                <w:szCs w:val="20"/>
              </w:rPr>
              <w:t>110/1997 o potravinách a tabákových výrobcích</w:t>
            </w:r>
            <w:r>
              <w:rPr>
                <w:rFonts w:asciiTheme="majorHAnsi" w:hAnsiTheme="majorHAnsi" w:cstheme="majorHAnsi"/>
                <w:sz w:val="20"/>
                <w:szCs w:val="20"/>
              </w:rPr>
              <w:t>.</w:t>
            </w:r>
          </w:p>
          <w:p w14:paraId="74FC44B9" w14:textId="6A943874" w:rsidR="005F1F37" w:rsidRDefault="005F1F37" w:rsidP="005F1F37">
            <w:pPr>
              <w:pStyle w:val="text-large"/>
              <w:shd w:val="clear" w:color="auto" w:fill="FFFFFF"/>
              <w:spacing w:line="408" w:lineRule="atLeast"/>
              <w:jc w:val="both"/>
              <w:rPr>
                <w:rFonts w:asciiTheme="majorHAnsi" w:hAnsiTheme="majorHAnsi" w:cstheme="majorHAnsi"/>
                <w:sz w:val="20"/>
                <w:szCs w:val="20"/>
              </w:rPr>
            </w:pPr>
            <w:r>
              <w:rPr>
                <w:rFonts w:asciiTheme="majorHAnsi" w:hAnsiTheme="majorHAnsi" w:cstheme="majorHAnsi"/>
                <w:sz w:val="20"/>
                <w:szCs w:val="20"/>
              </w:rPr>
              <w:t xml:space="preserve">Novela transponuje do českého právního řádu </w:t>
            </w:r>
            <w:r w:rsidRPr="005F1F37">
              <w:rPr>
                <w:rFonts w:asciiTheme="majorHAnsi" w:hAnsiTheme="majorHAnsi" w:cstheme="majorHAnsi"/>
                <w:sz w:val="20"/>
                <w:szCs w:val="20"/>
              </w:rPr>
              <w:t>Směrnic</w:t>
            </w:r>
            <w:r>
              <w:rPr>
                <w:rFonts w:asciiTheme="majorHAnsi" w:hAnsiTheme="majorHAnsi" w:cstheme="majorHAnsi"/>
                <w:sz w:val="20"/>
                <w:szCs w:val="20"/>
              </w:rPr>
              <w:t>i</w:t>
            </w:r>
            <w:r w:rsidRPr="005F1F37">
              <w:rPr>
                <w:rFonts w:asciiTheme="majorHAnsi" w:hAnsiTheme="majorHAnsi" w:cstheme="majorHAnsi"/>
                <w:sz w:val="20"/>
                <w:szCs w:val="20"/>
              </w:rPr>
              <w:t xml:space="preserve"> (EU) 2022/2100 ze dne 29. června 2022, kterou se mění směrnice Evropského parlamentu a Rady 2014/40/EU, pokud jde o zrušení některých výjimek týkajících se zahřívaných tabákových výrobk</w:t>
            </w:r>
            <w:r>
              <w:rPr>
                <w:rFonts w:asciiTheme="majorHAnsi" w:hAnsiTheme="majorHAnsi" w:cstheme="majorHAnsi"/>
                <w:sz w:val="20"/>
                <w:szCs w:val="20"/>
              </w:rPr>
              <w:t xml:space="preserve">ů, dle které má </w:t>
            </w:r>
            <w:r w:rsidRPr="005F1F37">
              <w:rPr>
                <w:rFonts w:asciiTheme="majorHAnsi" w:hAnsiTheme="majorHAnsi" w:cstheme="majorHAnsi"/>
                <w:sz w:val="20"/>
                <w:szCs w:val="20"/>
              </w:rPr>
              <w:t>do 23. října skončit</w:t>
            </w:r>
            <w:r>
              <w:rPr>
                <w:rFonts w:asciiTheme="majorHAnsi" w:hAnsiTheme="majorHAnsi" w:cstheme="majorHAnsi"/>
                <w:sz w:val="20"/>
                <w:szCs w:val="20"/>
              </w:rPr>
              <w:t xml:space="preserve"> v EU</w:t>
            </w:r>
            <w:r w:rsidRPr="005F1F37">
              <w:rPr>
                <w:rFonts w:asciiTheme="majorHAnsi" w:hAnsiTheme="majorHAnsi" w:cstheme="majorHAnsi"/>
                <w:sz w:val="20"/>
                <w:szCs w:val="20"/>
              </w:rPr>
              <w:t xml:space="preserve"> prodej nahřívaného tabáku s</w:t>
            </w:r>
            <w:r>
              <w:rPr>
                <w:rFonts w:asciiTheme="majorHAnsi" w:hAnsiTheme="majorHAnsi" w:cstheme="majorHAnsi"/>
                <w:sz w:val="20"/>
                <w:szCs w:val="20"/>
              </w:rPr>
              <w:t> </w:t>
            </w:r>
            <w:r w:rsidRPr="005F1F37">
              <w:rPr>
                <w:rFonts w:asciiTheme="majorHAnsi" w:hAnsiTheme="majorHAnsi" w:cstheme="majorHAnsi"/>
                <w:sz w:val="20"/>
                <w:szCs w:val="20"/>
              </w:rPr>
              <w:t>příchutí</w:t>
            </w:r>
            <w:r>
              <w:rPr>
                <w:rFonts w:asciiTheme="majorHAnsi" w:hAnsiTheme="majorHAnsi" w:cstheme="majorHAnsi"/>
                <w:sz w:val="20"/>
                <w:szCs w:val="20"/>
              </w:rPr>
              <w:t>.</w:t>
            </w:r>
          </w:p>
          <w:p w14:paraId="3188EB85" w14:textId="2A439F0A" w:rsidR="005F1F37" w:rsidRPr="005078C0" w:rsidRDefault="005F1F37" w:rsidP="005F1F3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OČS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CC01BFD" w14:textId="77777777" w:rsidR="005F1F37" w:rsidRPr="005078C0" w:rsidRDefault="005F1F37" w:rsidP="005F1F3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0FEAE7A" w14:textId="01D6F0B6" w:rsidR="005F1F37" w:rsidRPr="005078C0" w:rsidRDefault="005F1F37" w:rsidP="005F1F3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OČS – Ing. Otakar Krejsa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31.5.2023</w:t>
            </w:r>
          </w:p>
          <w:p w14:paraId="23704EBB" w14:textId="1DD0C3C0" w:rsidR="005F1F37" w:rsidRDefault="005F1F37" w:rsidP="005F1F37">
            <w:pPr>
              <w:pStyle w:val="Bezmezer"/>
              <w:spacing w:line="360" w:lineRule="auto"/>
              <w:jc w:val="center"/>
              <w:rPr>
                <w:rStyle w:val="Hypertextovodkaz"/>
                <w:rFonts w:ascii="Arial" w:eastAsia="Times New Roman" w:hAnsi="Arial" w:cs="Arial"/>
                <w:b/>
                <w:bCs/>
                <w:color w:val="auto"/>
                <w:kern w:val="36"/>
                <w:sz w:val="24"/>
                <w:szCs w:val="24"/>
                <w:u w:val="none"/>
                <w:lang w:eastAsia="cs-CZ"/>
              </w:rPr>
            </w:pPr>
          </w:p>
          <w:p w14:paraId="6CF2534C" w14:textId="77777777" w:rsidR="00A81EDF" w:rsidRDefault="00A81EDF" w:rsidP="005F1F37">
            <w:pPr>
              <w:pStyle w:val="Bezmezer"/>
              <w:spacing w:line="360" w:lineRule="auto"/>
              <w:jc w:val="center"/>
              <w:rPr>
                <w:rStyle w:val="Hypertextovodkaz"/>
                <w:rFonts w:ascii="Arial" w:eastAsia="Times New Roman" w:hAnsi="Arial" w:cs="Arial"/>
                <w:b/>
                <w:bCs/>
                <w:color w:val="auto"/>
                <w:kern w:val="36"/>
                <w:sz w:val="24"/>
                <w:szCs w:val="24"/>
                <w:u w:val="none"/>
                <w:lang w:eastAsia="cs-CZ"/>
              </w:rPr>
            </w:pPr>
          </w:p>
          <w:p w14:paraId="62B0EB79" w14:textId="24F5F656" w:rsidR="005F1F37" w:rsidRPr="005C048D" w:rsidRDefault="005F1F37" w:rsidP="005F1F37">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Pr>
                <w:rStyle w:val="Hypertextovodkaz"/>
                <w:rFonts w:ascii="Arial" w:eastAsia="Times New Roman" w:hAnsi="Arial" w:cs="Arial"/>
                <w:b/>
                <w:bCs/>
                <w:color w:val="auto"/>
                <w:kern w:val="36"/>
                <w:sz w:val="24"/>
                <w:szCs w:val="24"/>
                <w:u w:val="none"/>
                <w:lang w:eastAsia="cs-CZ"/>
              </w:rPr>
              <w:lastRenderedPageBreak/>
              <w:t>Návrh zákona o jednotném enviromentálním stanovisku</w:t>
            </w:r>
            <w:r w:rsidR="00C6452A">
              <w:rPr>
                <w:rStyle w:val="Hypertextovodkaz"/>
                <w:rFonts w:ascii="Arial" w:eastAsia="Times New Roman" w:hAnsi="Arial" w:cs="Arial"/>
                <w:b/>
                <w:bCs/>
                <w:color w:val="auto"/>
                <w:kern w:val="36"/>
                <w:sz w:val="24"/>
                <w:szCs w:val="24"/>
                <w:u w:val="none"/>
                <w:lang w:eastAsia="cs-CZ"/>
              </w:rPr>
              <w:pict w14:anchorId="3163F4BE">
                <v:rect id="_x0000_i1034" style="width:0;height:1.5pt" o:hralign="center" o:hrstd="t" o:hr="t" fillcolor="#a0a0a0" stroked="f"/>
              </w:pict>
            </w:r>
          </w:p>
          <w:p w14:paraId="42AE3BF6" w14:textId="77777777" w:rsidR="005F1F37" w:rsidRDefault="005F1F37" w:rsidP="005F1F3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328</w:t>
            </w:r>
          </w:p>
          <w:p w14:paraId="7F1BAA02" w14:textId="553DE605" w:rsidR="005F1F37" w:rsidRPr="00446F61" w:rsidRDefault="005F1F37" w:rsidP="005F1F3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Schváleno v PS, postoupeno do Senátu</w:t>
            </w:r>
            <w:r w:rsidRPr="00446F61">
              <w:rPr>
                <w:rStyle w:val="Hypertextovodkaz"/>
                <w:rFonts w:ascii="Arial" w:eastAsia="Times New Roman" w:hAnsi="Arial" w:cs="Arial"/>
                <w:bCs/>
                <w:color w:val="0F0D29" w:themeColor="text1"/>
                <w:kern w:val="36"/>
                <w:sz w:val="20"/>
                <w:szCs w:val="20"/>
                <w:u w:val="none"/>
                <w:lang w:eastAsia="cs-CZ"/>
              </w:rPr>
              <w:t xml:space="preserve"> </w:t>
            </w:r>
          </w:p>
          <w:p w14:paraId="15AFA1B4" w14:textId="2A31617D" w:rsidR="005F1F37" w:rsidRPr="005F1F37" w:rsidRDefault="005F1F37" w:rsidP="005F1F37">
            <w:pPr>
              <w:pStyle w:val="text-large"/>
              <w:shd w:val="clear" w:color="auto" w:fill="FFFFFF"/>
              <w:spacing w:line="408" w:lineRule="atLeast"/>
              <w:jc w:val="both"/>
              <w:rPr>
                <w:rFonts w:asciiTheme="majorHAnsi" w:hAnsiTheme="majorHAnsi" w:cstheme="majorHAnsi"/>
                <w:sz w:val="20"/>
                <w:szCs w:val="20"/>
              </w:rPr>
            </w:pPr>
            <w:r w:rsidRPr="005F1F37">
              <w:rPr>
                <w:rFonts w:asciiTheme="majorHAnsi" w:hAnsiTheme="majorHAnsi" w:cstheme="majorHAnsi"/>
                <w:sz w:val="20"/>
                <w:szCs w:val="20"/>
              </w:rPr>
              <w:t>Vládní návrh zákona o jednotném environmentálním stanovisku upravuje zejména procesní pravidla vydávání jednotného environmentálního stanoviska (JES) včetně jeho náležitostí, dále ustanovení o zveřejňování JES, o výkonu státní správy, a o přestupcích.</w:t>
            </w:r>
          </w:p>
          <w:p w14:paraId="2B00CAB3" w14:textId="41F5D0D7" w:rsidR="005F1F37" w:rsidRPr="005F1F37" w:rsidRDefault="005F1F37" w:rsidP="005F1F37">
            <w:pPr>
              <w:pStyle w:val="text-large"/>
              <w:shd w:val="clear" w:color="auto" w:fill="FFFFFF"/>
              <w:spacing w:line="408" w:lineRule="atLeast"/>
              <w:jc w:val="both"/>
              <w:rPr>
                <w:rFonts w:asciiTheme="majorHAnsi" w:hAnsiTheme="majorHAnsi" w:cstheme="majorHAnsi"/>
                <w:sz w:val="20"/>
                <w:szCs w:val="20"/>
              </w:rPr>
            </w:pPr>
            <w:r w:rsidRPr="005F1F37">
              <w:rPr>
                <w:rFonts w:asciiTheme="majorHAnsi" w:hAnsiTheme="majorHAnsi" w:cstheme="majorHAnsi"/>
                <w:sz w:val="20"/>
                <w:szCs w:val="20"/>
              </w:rPr>
              <w:t>Návrh představuje procesní integraci na úseku ochrany životního prostředí a zavádí JES ve formě závazného stanoviska, a to pro všechny záměry povolované podle stavebního zákona –</w:t>
            </w:r>
            <w:r>
              <w:rPr>
                <w:rFonts w:asciiTheme="majorHAnsi" w:hAnsiTheme="majorHAnsi" w:cstheme="majorHAnsi"/>
                <w:sz w:val="20"/>
                <w:szCs w:val="20"/>
              </w:rPr>
              <w:t xml:space="preserve"> </w:t>
            </w:r>
            <w:r w:rsidRPr="005F1F37">
              <w:rPr>
                <w:rFonts w:asciiTheme="majorHAnsi" w:hAnsiTheme="majorHAnsi" w:cstheme="majorHAnsi"/>
                <w:sz w:val="20"/>
                <w:szCs w:val="20"/>
              </w:rPr>
              <w:t xml:space="preserve">ať už jde o záměry vyžadující EIA nebo záměry ostatní. </w:t>
            </w:r>
          </w:p>
          <w:p w14:paraId="6836EAF8" w14:textId="4034BA0E" w:rsidR="005F1F37" w:rsidRPr="005F1F37" w:rsidRDefault="005F1F37" w:rsidP="005F1F37">
            <w:pPr>
              <w:pStyle w:val="text-large"/>
              <w:shd w:val="clear" w:color="auto" w:fill="FFFFFF"/>
              <w:spacing w:line="408" w:lineRule="atLeast"/>
              <w:jc w:val="both"/>
              <w:rPr>
                <w:rFonts w:asciiTheme="majorHAnsi" w:hAnsiTheme="majorHAnsi" w:cstheme="majorHAnsi"/>
                <w:sz w:val="20"/>
                <w:szCs w:val="20"/>
              </w:rPr>
            </w:pPr>
            <w:r w:rsidRPr="005F1F37">
              <w:rPr>
                <w:rFonts w:asciiTheme="majorHAnsi" w:hAnsiTheme="majorHAnsi" w:cstheme="majorHAnsi"/>
                <w:sz w:val="20"/>
                <w:szCs w:val="20"/>
              </w:rPr>
              <w:t xml:space="preserve">JES bude nově nahrazovat správní úkony obsažené nyní v devíti různých zákonech z oblasti </w:t>
            </w:r>
            <w:r>
              <w:rPr>
                <w:rFonts w:asciiTheme="majorHAnsi" w:hAnsiTheme="majorHAnsi" w:cstheme="majorHAnsi"/>
                <w:sz w:val="20"/>
                <w:szCs w:val="20"/>
              </w:rPr>
              <w:t>ž</w:t>
            </w:r>
            <w:r w:rsidRPr="005F1F37">
              <w:rPr>
                <w:rFonts w:asciiTheme="majorHAnsi" w:hAnsiTheme="majorHAnsi" w:cstheme="majorHAnsi"/>
                <w:sz w:val="20"/>
                <w:szCs w:val="20"/>
              </w:rPr>
              <w:t xml:space="preserve">ivotního prostředí, která mají podle platné a účinné právní úpravy většinou podobu závazného </w:t>
            </w:r>
            <w:r w:rsidR="00177623">
              <w:rPr>
                <w:rFonts w:asciiTheme="majorHAnsi" w:hAnsiTheme="majorHAnsi" w:cstheme="majorHAnsi"/>
                <w:sz w:val="20"/>
                <w:szCs w:val="20"/>
              </w:rPr>
              <w:t>stanoviska.</w:t>
            </w:r>
          </w:p>
          <w:p w14:paraId="1AF911D3" w14:textId="5A597883" w:rsidR="005F1F37" w:rsidRPr="005078C0" w:rsidRDefault="005F1F37" w:rsidP="005F1F3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02D9C80" w14:textId="77777777" w:rsidR="005F1F37" w:rsidRPr="005078C0" w:rsidRDefault="005F1F37" w:rsidP="005F1F3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0D9B3F7" w14:textId="579FD5F1" w:rsidR="005F1F37" w:rsidRPr="005078C0" w:rsidRDefault="005F1F37" w:rsidP="005F1F3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OPS – Mgr. Pavel Císař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31.5.2023</w:t>
            </w:r>
          </w:p>
          <w:p w14:paraId="65B20BCD" w14:textId="7A7BA2FE" w:rsidR="004B005C" w:rsidRDefault="004B005C" w:rsidP="00932F08">
            <w:pPr>
              <w:pStyle w:val="Bezmezer"/>
              <w:tabs>
                <w:tab w:val="left" w:pos="6360"/>
              </w:tabs>
              <w:spacing w:line="360" w:lineRule="auto"/>
            </w:pPr>
          </w:p>
          <w:p w14:paraId="0973A3F2" w14:textId="4B314869" w:rsidR="00177623" w:rsidRPr="005C048D" w:rsidRDefault="00177623" w:rsidP="00177623">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177623">
              <w:rPr>
                <w:rStyle w:val="Hypertextovodkaz"/>
                <w:rFonts w:ascii="Arial" w:eastAsia="Times New Roman" w:hAnsi="Arial" w:cs="Arial"/>
                <w:b/>
                <w:bCs/>
                <w:color w:val="auto"/>
                <w:kern w:val="36"/>
                <w:sz w:val="24"/>
                <w:szCs w:val="24"/>
                <w:u w:val="none"/>
                <w:lang w:eastAsia="cs-CZ"/>
              </w:rPr>
              <w:t>Novela zákona č.416/2009 Sb., o urychlení výstavby dopravní, vodní a energetické infrastruktury a infrastruktury elektronických komunikací (liniový zákon)</w:t>
            </w:r>
            <w:r w:rsidR="00C6452A">
              <w:rPr>
                <w:rStyle w:val="Hypertextovodkaz"/>
                <w:rFonts w:ascii="Arial" w:eastAsia="Times New Roman" w:hAnsi="Arial" w:cs="Arial"/>
                <w:b/>
                <w:bCs/>
                <w:color w:val="auto"/>
                <w:kern w:val="36"/>
                <w:sz w:val="24"/>
                <w:szCs w:val="24"/>
                <w:u w:val="none"/>
                <w:lang w:eastAsia="cs-CZ"/>
              </w:rPr>
              <w:pict w14:anchorId="66F2BE19">
                <v:rect id="_x0000_i1035" style="width:0;height:1.5pt" o:hralign="center" o:hrstd="t" o:hr="t" fillcolor="#a0a0a0" stroked="f"/>
              </w:pict>
            </w:r>
          </w:p>
          <w:p w14:paraId="34652CBE" w14:textId="3A568F20" w:rsidR="00177623" w:rsidRDefault="00177623" w:rsidP="0017762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410</w:t>
            </w:r>
          </w:p>
          <w:p w14:paraId="287246D9" w14:textId="4CB7F497" w:rsidR="00177623" w:rsidRPr="00446F61" w:rsidRDefault="00177623" w:rsidP="0017762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poslanecké sněmovny</w:t>
            </w:r>
          </w:p>
          <w:p w14:paraId="3CFD9CB1" w14:textId="12C38DD0" w:rsidR="00177623" w:rsidRPr="00177623" w:rsidRDefault="00177623" w:rsidP="00177623">
            <w:pPr>
              <w:pStyle w:val="text-large"/>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Cílem předkládaného návrhu zákona</w:t>
            </w:r>
            <w:r>
              <w:rPr>
                <w:rFonts w:asciiTheme="majorHAnsi" w:hAnsiTheme="majorHAnsi" w:cstheme="majorHAnsi"/>
                <w:sz w:val="20"/>
                <w:szCs w:val="20"/>
              </w:rPr>
              <w:t xml:space="preserve"> </w:t>
            </w:r>
            <w:r w:rsidRPr="00177623">
              <w:rPr>
                <w:rFonts w:asciiTheme="majorHAnsi" w:hAnsiTheme="majorHAnsi" w:cstheme="majorHAnsi"/>
                <w:sz w:val="20"/>
                <w:szCs w:val="20"/>
              </w:rPr>
              <w:t xml:space="preserve">je zajistit na zákonné úrovni transpozici směrnice Evropského parlamentu a Rady (EU) 2021/1187 ze dne 7. července 2021 o zjednodušení opatření na zlepšení realizace transevropské dopravní sítě (TEN-T) (dále jen „směrnice“). </w:t>
            </w:r>
          </w:p>
          <w:p w14:paraId="55F0FB78" w14:textId="73241AF5" w:rsidR="00177623" w:rsidRPr="00177623" w:rsidRDefault="00177623" w:rsidP="00177623">
            <w:pPr>
              <w:pStyle w:val="text-large"/>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Zjednodušeně lze konstatovat, že v návrhu zákona jsou obsaženy následující okruhy právní úpravy:</w:t>
            </w:r>
          </w:p>
          <w:p w14:paraId="3DD81FE2" w14:textId="77777777" w:rsidR="00177623" w:rsidRDefault="00177623" w:rsidP="00177623">
            <w:pPr>
              <w:pStyle w:val="text-large"/>
              <w:numPr>
                <w:ilvl w:val="0"/>
                <w:numId w:val="7"/>
              </w:numPr>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stanovení určeného orgánu vykonávajícího úkoly předpokládané směrnicí,</w:t>
            </w:r>
          </w:p>
          <w:p w14:paraId="3035DE7C" w14:textId="77777777" w:rsidR="00177623" w:rsidRDefault="00177623" w:rsidP="00177623">
            <w:pPr>
              <w:pStyle w:val="text-large"/>
              <w:numPr>
                <w:ilvl w:val="0"/>
                <w:numId w:val="7"/>
              </w:numPr>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 xml:space="preserve">vymezení časového rámce pro ukončení správních řízení relevantních pro uskutečnění staveb vybrané transevropské dopravní infrastruktury, zajištění informování určeného orgánu o těchto řízeních a zakotvení dohledu určeného orgánu nad dodržováním uvedeného časového rámce, </w:t>
            </w:r>
          </w:p>
          <w:p w14:paraId="3BD737AC" w14:textId="77777777" w:rsidR="00177623" w:rsidRDefault="00177623" w:rsidP="00177623">
            <w:pPr>
              <w:pStyle w:val="text-large"/>
              <w:numPr>
                <w:ilvl w:val="0"/>
                <w:numId w:val="7"/>
              </w:numPr>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 xml:space="preserve">umožnění poskytování informací vztahujících se k uskutečnění konkrétních staveb vybrané transevropské dopravní infrastruktury určeným orgánem v rozsahu výrazně přesahujícím požadavky </w:t>
            </w:r>
            <w:r w:rsidRPr="00177623">
              <w:rPr>
                <w:rFonts w:asciiTheme="majorHAnsi" w:hAnsiTheme="majorHAnsi" w:cstheme="majorHAnsi"/>
                <w:sz w:val="20"/>
                <w:szCs w:val="20"/>
              </w:rPr>
              <w:lastRenderedPageBreak/>
              <w:t xml:space="preserve">zákona č. 283/2021 Sb., stavební zákon, ve znění pozdějších předpisů, (dále jen „nový stavební zákon“) na poskytnutí předběžné informace, </w:t>
            </w:r>
          </w:p>
          <w:p w14:paraId="3664B819" w14:textId="77777777" w:rsidR="00177623" w:rsidRDefault="00177623" w:rsidP="00177623">
            <w:pPr>
              <w:pStyle w:val="text-large"/>
              <w:numPr>
                <w:ilvl w:val="0"/>
                <w:numId w:val="7"/>
              </w:numPr>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 xml:space="preserve">zajištění zveřejňování obecných informací týkajících se staveb vybrané transevropské dopravní infrastruktury Ministerstvem pro místní rozvoj, </w:t>
            </w:r>
          </w:p>
          <w:p w14:paraId="7CC94D88" w14:textId="6586E4C5" w:rsidR="00177623" w:rsidRPr="00177623" w:rsidRDefault="00177623" w:rsidP="00177623">
            <w:pPr>
              <w:pStyle w:val="text-large"/>
              <w:numPr>
                <w:ilvl w:val="0"/>
                <w:numId w:val="7"/>
              </w:numPr>
              <w:shd w:val="clear" w:color="auto" w:fill="FFFFFF"/>
              <w:spacing w:line="408" w:lineRule="atLeast"/>
              <w:jc w:val="both"/>
              <w:rPr>
                <w:rFonts w:asciiTheme="majorHAnsi" w:hAnsiTheme="majorHAnsi" w:cstheme="majorHAnsi"/>
                <w:sz w:val="20"/>
                <w:szCs w:val="20"/>
              </w:rPr>
            </w:pPr>
            <w:r w:rsidRPr="00177623">
              <w:rPr>
                <w:rFonts w:asciiTheme="majorHAnsi" w:hAnsiTheme="majorHAnsi" w:cstheme="majorHAnsi"/>
                <w:sz w:val="20"/>
                <w:szCs w:val="20"/>
              </w:rPr>
              <w:t>stanovení spolupráce mezi určenými orgány členských států Evropské unie a s evropskými koordinátory u přeshraničních stavebních záměrů a stanovení zvláštních pravidel pro určení rozhodného práva v oblasti zadávání veřejných zakázek společným subjektem u přeshraničních stavebních záměrů.</w:t>
            </w:r>
          </w:p>
          <w:p w14:paraId="604797A4" w14:textId="7E7F82C9" w:rsidR="00177623" w:rsidRPr="005078C0" w:rsidRDefault="00177623" w:rsidP="0017762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5914C9D" w14:textId="77777777" w:rsidR="00177623" w:rsidRPr="005078C0" w:rsidRDefault="00177623" w:rsidP="0017762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234FB4E" w14:textId="77777777" w:rsidR="00177623" w:rsidRPr="005078C0" w:rsidRDefault="00177623" w:rsidP="00177623">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OPS – Mgr. Pavel Císař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31.5.2023</w:t>
            </w:r>
          </w:p>
          <w:p w14:paraId="47FCF448" w14:textId="77777777" w:rsidR="004B005C" w:rsidRPr="00DA4CC0" w:rsidRDefault="004B005C"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3B0ED2EC" w:rsidR="00325E58" w:rsidRPr="002F5594" w:rsidRDefault="00325E58"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325E58">
              <w:rPr>
                <w:rStyle w:val="Hypertextovodkaz"/>
                <w:rFonts w:ascii="Arial" w:eastAsia="Times New Roman" w:hAnsi="Arial" w:cs="Arial"/>
                <w:b/>
                <w:bCs/>
                <w:color w:val="0F0D29" w:themeColor="text1"/>
                <w:kern w:val="36"/>
                <w:sz w:val="24"/>
                <w:szCs w:val="20"/>
                <w:u w:val="none"/>
                <w:lang w:eastAsia="cs-CZ"/>
              </w:rPr>
              <w:t>Prostý elektronický podpis dle EIDAS v soudní praxi</w:t>
            </w:r>
            <w:r>
              <w:rPr>
                <w:rStyle w:val="Hypertextovodkaz"/>
                <w:rFonts w:ascii="Arial" w:eastAsia="Times New Roman" w:hAnsi="Arial" w:cs="Arial"/>
                <w:b/>
                <w:bCs/>
                <w:color w:val="0F0D29" w:themeColor="text1"/>
                <w:kern w:val="36"/>
                <w:sz w:val="24"/>
                <w:szCs w:val="20"/>
                <w:u w:val="none"/>
                <w:lang w:eastAsia="cs-CZ"/>
              </w:rPr>
              <w:t xml:space="preserve"> nižších soudů</w:t>
            </w:r>
            <w:r w:rsidR="00C6452A">
              <w:rPr>
                <w:rStyle w:val="Hypertextovodkaz"/>
                <w:rFonts w:ascii="Arial" w:eastAsia="Times New Roman" w:hAnsi="Arial" w:cs="Arial"/>
                <w:b/>
                <w:bCs/>
                <w:color w:val="0F0D29" w:themeColor="text1"/>
                <w:kern w:val="36"/>
                <w:sz w:val="24"/>
                <w:szCs w:val="24"/>
                <w:u w:val="none"/>
                <w:lang w:eastAsia="cs-CZ"/>
              </w:rPr>
              <w:pict w14:anchorId="2602181E">
                <v:rect id="_x0000_i1036" style="width:0;height:1.5pt" o:hralign="center" o:hrstd="t" o:hr="t" fillcolor="#a0a0a0" stroked="f"/>
              </w:pict>
            </w:r>
          </w:p>
          <w:p w14:paraId="103767C5" w14:textId="42BE6B8B"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E309C19" w14:textId="58070B89"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Nižší soudy stále ve své rozhodovací praxi nepřikládají prostému elektronickému podpisu, i přes závazná právní ustanovení nařízení EIDAS, právní účinky. Níže jsou uvedena některá rozhodnutí okresních soudů:</w:t>
            </w:r>
          </w:p>
          <w:p w14:paraId="215274D7" w14:textId="73592F6C"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F35B1F3" w14:textId="7D72D735"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325E58">
              <w:rPr>
                <w:rStyle w:val="Hypertextovodkaz"/>
                <w:rFonts w:ascii="Arial" w:eastAsia="Times New Roman" w:hAnsi="Arial" w:cs="Arial"/>
                <w:bCs/>
                <w:color w:val="0F0D29" w:themeColor="text1"/>
                <w:kern w:val="36"/>
                <w:sz w:val="20"/>
                <w:szCs w:val="20"/>
                <w:u w:val="none"/>
                <w:lang w:eastAsia="cs-CZ"/>
              </w:rPr>
              <w:t>Předložená smlouva o úvěru není opatřena podpisem žalovaného. Za žalovaného byla elektronická smlouva podepsána kódem. Samotná úvěrová smlouva v elektronické podobě neobsahuje žádné záznamy o tom, že by k němu byly připojeny podpisy (tj. data v elektronické podobě, která by byla připojena k jiným datům – smlouvě), tj. žádné záznamy o tom, že by elektronická smlouva obsahovala kvalifikovaný či uznávaný elektronický podpis a ani údaje o připojení jakýchkoliv dalších dat ke smlouvě, jež by mohly být považovány za podpis. Kód měl být žalovaným připojen na smlouvu, ze smlouvy předložené žalobkyní však nevyplývá, kdy a jak k ní byl výše uvedený kód připojen, a že po té, kdy k ní byl tento kód připojen, je možné zjistit jakoukoliv dodatečnou změnu smlouvy. Dále nebylo prokázáno, že by kód byl připojen právě žalovaným, a že by právě žalovaný byl tím, kdo jej na smlouvu připojil. Soud proto uzavřel, že žalobkyně neunesla důkazní břemeno ohledně tvrzeného uzavření předmětné smlouvy.</w:t>
            </w:r>
          </w:p>
          <w:p w14:paraId="57EFABF4" w14:textId="20A48330"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2499038" w14:textId="39B6F993"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325E58">
              <w:rPr>
                <w:rStyle w:val="Hypertextovodkaz"/>
                <w:rFonts w:ascii="Arial" w:eastAsia="Times New Roman" w:hAnsi="Arial" w:cs="Arial"/>
                <w:bCs/>
                <w:color w:val="0F0D29" w:themeColor="text1"/>
                <w:kern w:val="36"/>
                <w:sz w:val="20"/>
                <w:szCs w:val="20"/>
                <w:u w:val="none"/>
                <w:lang w:eastAsia="cs-CZ"/>
              </w:rPr>
              <w:t xml:space="preserve">Žalobkyně tvrdila, že žalovaný se zaregistroval zadáním osobních údajů včetně telefonního čísla a e-mailové adresy, čímž zahájil kroky ke zřízení uživatelského účtu; následně byl žalovanému v rámci webového rozhraní zaslán návrh úvěrové smlouvy, což žalovaný odsouhlasil verifikačním kódem s tím, že kód nahrazuje fyzický podpis smlouvy. K žádné z těchto tvrzených skutečností však žalobkyně nenavrhla důkazy, kterými by bylo možné prokázat, že k takovému průběhu událostí opravdu došlo. Mohl by např. být navržen důkaz počítačovým systémem, který obsahuje záznamy údajů o právních jednáních. Pokud by zároveň bylo prokázáno, že se záznamy provádějí se systematicky a posloupně a jsou chráněny proti změnám, mohla by se uplatnit vyvratitelná </w:t>
            </w:r>
            <w:r w:rsidRPr="00325E58">
              <w:rPr>
                <w:rStyle w:val="Hypertextovodkaz"/>
                <w:rFonts w:ascii="Arial" w:eastAsia="Times New Roman" w:hAnsi="Arial" w:cs="Arial"/>
                <w:bCs/>
                <w:color w:val="0F0D29" w:themeColor="text1"/>
                <w:kern w:val="36"/>
                <w:sz w:val="20"/>
                <w:szCs w:val="20"/>
                <w:u w:val="none"/>
                <w:lang w:eastAsia="cs-CZ"/>
              </w:rPr>
              <w:lastRenderedPageBreak/>
              <w:t>právní domněnka stanovená v § 562 odst. 2 o. z., že záznamy v takovém elektronickém systému jsou spolehlivé. Důkaz počítačovým systémem však navržen nebyl a z důkazů, které žalobkyně navrhla a předložila, nevyplývá, že by žalovaný (elektronickým) podpisem vyjádřil svůj souhlas se smlouvou. Proto není možné uzavřít, že by žalovaný byl smlouvou vázán.</w:t>
            </w:r>
            <w:r>
              <w:rPr>
                <w:rStyle w:val="Hypertextovodkaz"/>
                <w:rFonts w:ascii="Arial" w:eastAsia="Times New Roman" w:hAnsi="Arial" w:cs="Arial"/>
                <w:bCs/>
                <w:color w:val="0F0D29" w:themeColor="text1"/>
                <w:kern w:val="36"/>
                <w:sz w:val="20"/>
                <w:szCs w:val="20"/>
                <w:u w:val="none"/>
                <w:lang w:eastAsia="cs-CZ"/>
              </w:rPr>
              <w:t xml:space="preserve"> </w:t>
            </w:r>
            <w:r w:rsidRPr="00325E58">
              <w:rPr>
                <w:rStyle w:val="Hypertextovodkaz"/>
                <w:rFonts w:ascii="Arial" w:eastAsia="Times New Roman" w:hAnsi="Arial" w:cs="Arial"/>
                <w:bCs/>
                <w:color w:val="0F0D29" w:themeColor="text1"/>
                <w:kern w:val="36"/>
                <w:sz w:val="20"/>
                <w:szCs w:val="20"/>
                <w:u w:val="none"/>
                <w:lang w:eastAsia="cs-CZ"/>
              </w:rPr>
              <w:t>V daném případě tedy nebylo v řízení prokázáno, že by účastníci uzavřeli tvrzenou smlouvu o úvěru, proto jim ani nemohla vzniknout žádná smluvní práva ani povinnosti.</w:t>
            </w:r>
          </w:p>
          <w:p w14:paraId="3B9156D7" w14:textId="51BD5929"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81258AD" w14:textId="5FD2A0D5"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325E58">
              <w:rPr>
                <w:rStyle w:val="Hypertextovodkaz"/>
                <w:rFonts w:ascii="Arial" w:eastAsia="Times New Roman" w:hAnsi="Arial" w:cs="Arial"/>
                <w:bCs/>
                <w:color w:val="0F0D29" w:themeColor="text1"/>
                <w:kern w:val="36"/>
                <w:sz w:val="20"/>
                <w:szCs w:val="20"/>
                <w:u w:val="none"/>
                <w:lang w:eastAsia="cs-CZ"/>
              </w:rPr>
              <w:t xml:space="preserve">Podle názoru soudu proto nelze za platný elektronický podpis považovat vypsání jména a příjmení v datové zprávě (emailu, např. formou tzv. emailové patičky), nebo uvedení přihlašovacího jména (tzv. ID nebo login) a zadání hesla ([příjmení]) spojené s následným„ </w:t>
            </w:r>
            <w:proofErr w:type="spellStart"/>
            <w:r w:rsidRPr="00325E58">
              <w:rPr>
                <w:rStyle w:val="Hypertextovodkaz"/>
                <w:rFonts w:ascii="Arial" w:eastAsia="Times New Roman" w:hAnsi="Arial" w:cs="Arial"/>
                <w:bCs/>
                <w:color w:val="0F0D29" w:themeColor="text1"/>
                <w:kern w:val="36"/>
                <w:sz w:val="20"/>
                <w:szCs w:val="20"/>
                <w:u w:val="none"/>
                <w:lang w:eastAsia="cs-CZ"/>
              </w:rPr>
              <w:t>odkliknutím</w:t>
            </w:r>
            <w:proofErr w:type="spellEnd"/>
            <w:r w:rsidRPr="00325E58">
              <w:rPr>
                <w:rStyle w:val="Hypertextovodkaz"/>
                <w:rFonts w:ascii="Arial" w:eastAsia="Times New Roman" w:hAnsi="Arial" w:cs="Arial"/>
                <w:bCs/>
                <w:color w:val="0F0D29" w:themeColor="text1"/>
                <w:kern w:val="36"/>
                <w:sz w:val="20"/>
                <w:szCs w:val="20"/>
                <w:u w:val="none"/>
                <w:lang w:eastAsia="cs-CZ"/>
              </w:rPr>
              <w:t>“ určitého dokumentu na konkrétní internetové stránce, popřípadě odeslání SMS zprávy z mobilního telefonu určité osoby, telefonické potvrzení souhlasu nebo identity (prokazované nahrávkou hlasu), odeslání finančních prostředků z určitého účtu, zjištění IP adresy použité pro připojení k internetu a podobně. Nic z toho totiž z hlediska technologických vlastností samo o sobě objektivně neumožňuje jednoznačnou identifikaci podepsané osoby, vytvoření takových„ podpisů“ není pod výhradní kontrolou konkrétní (identifikované a autentizované) osoby. Nejsou také s podepsanými daty nijak pevně technicky spojeny, natož ve smyslu ověření integrity (nezměnitelnosti) podepsaných dat (zpětného určení obsahu jednání). Opačným výkladem by za písemné právní jednání opatřené elektronickým podpisem bylo možné považovat nejen prosté emaily, SMS zprávy, ale i sdělení na sociálních i komunikačních sítích nejrůznějšího druhu (např. Facebook, WhatsApp apod.), kde jednotlivé fyzické osoby mohou vystupovat pod smyšlenými nebo cizími identitami, tyto libovolně měnit či množit. Bylo by nutné rezignovat na požadavek jistoty o zachování původního obsahu písemného jednání i na požadavek jistoty o podepsané osobě (jednoznačnost).</w:t>
            </w:r>
          </w:p>
          <w:p w14:paraId="2E70F2EE" w14:textId="77777777"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F8B920" w14:textId="77777777" w:rsidR="00325E58" w:rsidRDefault="00325E58" w:rsidP="00325E5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POŘ. </w:t>
            </w:r>
          </w:p>
          <w:p w14:paraId="55E2F896" w14:textId="77777777" w:rsidR="00325E58" w:rsidRDefault="00325E58" w:rsidP="00325E58">
            <w:pPr>
              <w:tabs>
                <w:tab w:val="left" w:pos="3696"/>
              </w:tabs>
              <w:rPr>
                <w:rFonts w:ascii="Arial" w:eastAsia="Times New Roman" w:hAnsi="Arial" w:cs="Arial"/>
                <w:sz w:val="20"/>
                <w:szCs w:val="20"/>
                <w:lang w:eastAsia="cs-CZ"/>
              </w:rPr>
            </w:pPr>
          </w:p>
          <w:p w14:paraId="596794EE" w14:textId="75C95E67" w:rsidR="00CB1423" w:rsidRDefault="00CB1423" w:rsidP="00FE4C3F">
            <w:pPr>
              <w:tabs>
                <w:tab w:val="left" w:pos="3696"/>
              </w:tabs>
              <w:rPr>
                <w:rFonts w:ascii="Arial" w:eastAsia="Times New Roman" w:hAnsi="Arial" w:cs="Arial"/>
                <w:sz w:val="20"/>
                <w:szCs w:val="20"/>
                <w:lang w:eastAsia="cs-CZ"/>
              </w:rPr>
            </w:pPr>
          </w:p>
          <w:p w14:paraId="67BAABBD" w14:textId="593A165A" w:rsidR="008264C3" w:rsidRPr="002F5594" w:rsidRDefault="008264C3" w:rsidP="008264C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Objektivní odpovědnost za škodu na nemovitosti</w:t>
            </w:r>
            <w:r w:rsidR="00C6452A">
              <w:rPr>
                <w:rStyle w:val="Hypertextovodkaz"/>
                <w:rFonts w:ascii="Arial" w:eastAsia="Times New Roman" w:hAnsi="Arial" w:cs="Arial"/>
                <w:b/>
                <w:bCs/>
                <w:color w:val="0F0D29" w:themeColor="text1"/>
                <w:kern w:val="36"/>
                <w:sz w:val="24"/>
                <w:szCs w:val="24"/>
                <w:u w:val="none"/>
                <w:lang w:eastAsia="cs-CZ"/>
              </w:rPr>
              <w:pict w14:anchorId="2A71B85E">
                <v:rect id="_x0000_i1038" style="width:0;height:1.5pt" o:hralign="center" o:hrstd="t" o:hr="t" fillcolor="#a0a0a0" stroked="f"/>
              </w:pict>
            </w:r>
          </w:p>
          <w:p w14:paraId="7F5B5756" w14:textId="56F87B3F" w:rsidR="008264C3" w:rsidRDefault="008264C3" w:rsidP="008264C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w:t>
            </w:r>
            <w:r w:rsidRPr="008264C3">
              <w:rPr>
                <w:rStyle w:val="Hypertextovodkaz"/>
                <w:rFonts w:ascii="Arial" w:eastAsia="Times New Roman" w:hAnsi="Arial" w:cs="Arial"/>
                <w:bCs/>
                <w:color w:val="0F0D29" w:themeColor="text1"/>
                <w:kern w:val="36"/>
                <w:sz w:val="20"/>
                <w:szCs w:val="20"/>
                <w:u w:val="none"/>
                <w:lang w:eastAsia="cs-CZ"/>
              </w:rPr>
              <w:t>5 Cdo 627/2022</w:t>
            </w:r>
            <w:r>
              <w:rPr>
                <w:rFonts w:ascii="Arial" w:hAnsi="Arial" w:cs="Arial"/>
                <w:color w:val="555555"/>
              </w:rP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42982112" w14:textId="77777777"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E62C93C" w14:textId="49CB9001"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se zabýval </w:t>
            </w:r>
            <w:r w:rsidR="004B005C">
              <w:rPr>
                <w:rStyle w:val="Hypertextovodkaz"/>
                <w:rFonts w:ascii="Arial" w:eastAsia="Times New Roman" w:hAnsi="Arial" w:cs="Arial"/>
                <w:bCs/>
                <w:color w:val="0F0D29" w:themeColor="text1"/>
                <w:kern w:val="36"/>
                <w:sz w:val="20"/>
                <w:szCs w:val="20"/>
                <w:u w:val="none"/>
                <w:lang w:eastAsia="cs-CZ"/>
              </w:rPr>
              <w:t>o</w:t>
            </w:r>
            <w:r w:rsidRPr="008264C3">
              <w:rPr>
                <w:rStyle w:val="Hypertextovodkaz"/>
                <w:rFonts w:ascii="Arial" w:eastAsia="Times New Roman" w:hAnsi="Arial" w:cs="Arial"/>
                <w:bCs/>
                <w:color w:val="0F0D29" w:themeColor="text1"/>
                <w:kern w:val="36"/>
                <w:sz w:val="20"/>
                <w:szCs w:val="20"/>
                <w:u w:val="none"/>
                <w:lang w:eastAsia="cs-CZ"/>
              </w:rPr>
              <w:t>tázkou náhrady škody způsobené na podzemní síti elektronických komunikací. Nejvyšší soud dospěl k závěru, že kabelová síť elektronických komunikací není součástí pozemku, ale je částí liniové stavby ve smyslu § 509 občanského zákoníku, a nelze ji (její část) přenést z místa na místo bez porušení její podstaty. Proto je nemovitou věcí. Na posuzovaný případ, kdy došlo k poškození sítě elektronických komunikací výkopovými pracemi za pomoci buldozeru tak dopadá ustanovení § 2926 občanského zákoníku. Jde o absolutní odpovědnost, kdy liberace není možná. Tento přísný typ povinnosti hradit škodu v určitém omezeném okruhu skutečností (tj. dotčení nemovitosti stavební činností) je odůvodněn společenským zájmem na dostatečné ochraně vlastníka před technickým působením provozovatele činností, které mají potenciál působit škody i při zvýšené opatrnosti.</w:t>
            </w:r>
          </w:p>
          <w:p w14:paraId="07ED7858" w14:textId="3C2E85EF"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FD503FB" w14:textId="78E0C435"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Analogicky se tento postup aplikuje i na produktovod jako liniovou stavbu.</w:t>
            </w:r>
          </w:p>
          <w:p w14:paraId="4ECEBDC4" w14:textId="77777777"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C52E02B" w14:textId="77777777" w:rsidR="008264C3" w:rsidRPr="00C506C6" w:rsidRDefault="008264C3" w:rsidP="008264C3">
            <w:pPr>
              <w:pStyle w:val="Bezmezer"/>
              <w:shd w:val="clear" w:color="auto" w:fill="D9D9D9" w:themeFill="background1" w:themeFillShade="D9"/>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POŘ</w:t>
            </w:r>
            <w:r>
              <w:rPr>
                <w:rStyle w:val="Hypertextovodkaz"/>
                <w:rFonts w:ascii="Arial" w:eastAsia="Times New Roman" w:hAnsi="Arial" w:cs="Arial"/>
                <w:bCs/>
                <w:i/>
                <w:color w:val="0F0D29" w:themeColor="text1"/>
                <w:kern w:val="36"/>
                <w:sz w:val="20"/>
                <w:szCs w:val="20"/>
                <w:u w:val="none"/>
                <w:lang w:eastAsia="cs-CZ"/>
              </w:rPr>
              <w:t xml:space="preserve"> a OŘLZ. </w:t>
            </w:r>
          </w:p>
          <w:p w14:paraId="49377D7E" w14:textId="70D63026" w:rsidR="00CB1423" w:rsidRDefault="00CB1423" w:rsidP="00FE4C3F">
            <w:pPr>
              <w:tabs>
                <w:tab w:val="left" w:pos="3696"/>
              </w:tabs>
              <w:rPr>
                <w:rFonts w:ascii="Arial" w:eastAsia="Times New Roman" w:hAnsi="Arial" w:cs="Arial"/>
                <w:sz w:val="20"/>
                <w:szCs w:val="20"/>
                <w:lang w:eastAsia="cs-CZ"/>
              </w:rPr>
            </w:pPr>
          </w:p>
          <w:p w14:paraId="640218CA" w14:textId="3F7DE84E" w:rsidR="00CB1423" w:rsidRDefault="00CB1423" w:rsidP="00FE4C3F">
            <w:pPr>
              <w:tabs>
                <w:tab w:val="left" w:pos="3696"/>
              </w:tabs>
              <w:rPr>
                <w:rFonts w:ascii="Arial" w:eastAsia="Times New Roman" w:hAnsi="Arial" w:cs="Arial"/>
                <w:sz w:val="20"/>
                <w:szCs w:val="20"/>
                <w:lang w:eastAsia="cs-CZ"/>
              </w:rPr>
            </w:pPr>
          </w:p>
          <w:p w14:paraId="5C45D9E4" w14:textId="77777777" w:rsidR="00CB1423" w:rsidRDefault="00CB1423" w:rsidP="00FE4C3F">
            <w:pPr>
              <w:tabs>
                <w:tab w:val="left" w:pos="3696"/>
              </w:tabs>
              <w:rPr>
                <w:rFonts w:ascii="Arial" w:eastAsia="Times New Roman" w:hAnsi="Arial" w:cs="Arial"/>
                <w:sz w:val="20"/>
                <w:szCs w:val="20"/>
                <w:lang w:eastAsia="cs-CZ"/>
              </w:rPr>
            </w:pPr>
          </w:p>
          <w:p w14:paraId="307DF874" w14:textId="1B341165" w:rsidR="00CB1423" w:rsidRPr="002F5594" w:rsidRDefault="00C506C6" w:rsidP="00CB142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C506C6">
              <w:rPr>
                <w:rStyle w:val="Hypertextovodkaz"/>
                <w:rFonts w:ascii="Arial" w:eastAsia="Times New Roman" w:hAnsi="Arial" w:cs="Arial"/>
                <w:b/>
                <w:bCs/>
                <w:color w:val="0F0D29" w:themeColor="text1"/>
                <w:kern w:val="36"/>
                <w:sz w:val="24"/>
                <w:szCs w:val="20"/>
                <w:u w:val="none"/>
                <w:lang w:eastAsia="cs-CZ"/>
              </w:rPr>
              <w:t>SDEU k minimálnímu týdennímu nepřetržitému odpočinku</w:t>
            </w:r>
            <w:r w:rsidR="00C6452A">
              <w:rPr>
                <w:rStyle w:val="Hypertextovodkaz"/>
                <w:rFonts w:ascii="Arial" w:eastAsia="Times New Roman" w:hAnsi="Arial" w:cs="Arial"/>
                <w:b/>
                <w:bCs/>
                <w:color w:val="0F0D29" w:themeColor="text1"/>
                <w:kern w:val="36"/>
                <w:sz w:val="24"/>
                <w:szCs w:val="24"/>
                <w:u w:val="none"/>
                <w:lang w:eastAsia="cs-CZ"/>
              </w:rPr>
              <w:pict w14:anchorId="0F905E4A">
                <v:rect id="_x0000_i1039" style="width:0;height:1.5pt" o:hralign="center" o:hrstd="t" o:hr="t" fillcolor="#a0a0a0" stroked="f"/>
              </w:pict>
            </w:r>
          </w:p>
          <w:p w14:paraId="0982DD4E" w14:textId="2EAADDBC" w:rsidR="00CB1423" w:rsidRDefault="00C506C6" w:rsidP="00CB142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Soudní dvůr EU ve věci C-477/21</w:t>
            </w:r>
            <w:r>
              <w:rPr>
                <w:rFonts w:ascii="Arial" w:hAnsi="Arial" w:cs="Arial"/>
                <w:color w:val="555555"/>
              </w:rP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7DF88B3F" w14:textId="6390F5E2" w:rsidR="00C506C6" w:rsidRP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Cs/>
                <w:color w:val="0F0D29" w:themeColor="text1"/>
                <w:kern w:val="36"/>
                <w:sz w:val="20"/>
                <w:szCs w:val="20"/>
                <w:u w:val="none"/>
                <w:lang w:eastAsia="cs-CZ"/>
              </w:rPr>
              <w:t>SDEU se zabýval otázkou, zda i v případě, že týdenní doba odpočinku přesahuje 35 hodin, má zaměstnanec právo i na denní dobu odpočinku.</w:t>
            </w:r>
          </w:p>
          <w:p w14:paraId="048D386A" w14:textId="77777777"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335DCFE" w14:textId="196E4D3F"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Cs/>
                <w:color w:val="0F0D29" w:themeColor="text1"/>
                <w:kern w:val="36"/>
                <w:sz w:val="20"/>
                <w:szCs w:val="20"/>
                <w:u w:val="none"/>
                <w:lang w:eastAsia="cs-CZ"/>
              </w:rPr>
              <w:t>V</w:t>
            </w:r>
            <w:r>
              <w:rPr>
                <w:rStyle w:val="Hypertextovodkaz"/>
                <w:rFonts w:ascii="Arial" w:eastAsia="Times New Roman" w:hAnsi="Arial" w:cs="Arial"/>
                <w:bCs/>
                <w:color w:val="0F0D29" w:themeColor="text1"/>
                <w:kern w:val="36"/>
                <w:sz w:val="20"/>
                <w:szCs w:val="20"/>
                <w:u w:val="none"/>
                <w:lang w:eastAsia="cs-CZ"/>
              </w:rPr>
              <w:t> posuzovaném případě</w:t>
            </w:r>
            <w:r w:rsidRPr="00C506C6">
              <w:rPr>
                <w:rStyle w:val="Hypertextovodkaz"/>
                <w:rFonts w:ascii="Arial" w:eastAsia="Times New Roman" w:hAnsi="Arial" w:cs="Arial"/>
                <w:bCs/>
                <w:color w:val="0F0D29" w:themeColor="text1"/>
                <w:kern w:val="36"/>
                <w:sz w:val="20"/>
                <w:szCs w:val="20"/>
                <w:u w:val="none"/>
                <w:lang w:eastAsia="cs-CZ"/>
              </w:rPr>
              <w:t xml:space="preserve"> šlo </w:t>
            </w:r>
            <w:r>
              <w:rPr>
                <w:rStyle w:val="Hypertextovodkaz"/>
                <w:rFonts w:ascii="Arial" w:eastAsia="Times New Roman" w:hAnsi="Arial" w:cs="Arial"/>
                <w:bCs/>
                <w:color w:val="0F0D29" w:themeColor="text1"/>
                <w:kern w:val="36"/>
                <w:sz w:val="20"/>
                <w:szCs w:val="20"/>
                <w:u w:val="none"/>
                <w:lang w:eastAsia="cs-CZ"/>
              </w:rPr>
              <w:t xml:space="preserve">skutkově </w:t>
            </w:r>
            <w:r w:rsidRPr="00C506C6">
              <w:rPr>
                <w:rStyle w:val="Hypertextovodkaz"/>
                <w:rFonts w:ascii="Arial" w:eastAsia="Times New Roman" w:hAnsi="Arial" w:cs="Arial"/>
                <w:bCs/>
                <w:color w:val="0F0D29" w:themeColor="text1"/>
                <w:kern w:val="36"/>
                <w:sz w:val="20"/>
                <w:szCs w:val="20"/>
                <w:u w:val="none"/>
                <w:lang w:eastAsia="cs-CZ"/>
              </w:rPr>
              <w:t>o to, že maďarský zaměstnanec tvrdil, že po poskytnutí minimálního týdenního nepřetržitého odpočinku je nutné zaměstnanci poskytnout ještě denní dobu odpočinku. Zaměstnavatel namítal, že denní doba odpočinku je již součástí týdenní doby odpočinku.</w:t>
            </w:r>
          </w:p>
          <w:p w14:paraId="3796168B"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8AB8094" w14:textId="51B848A3"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
                <w:color w:val="0F0D29" w:themeColor="text1"/>
                <w:kern w:val="36"/>
                <w:sz w:val="20"/>
                <w:szCs w:val="20"/>
                <w:u w:val="none"/>
                <w:lang w:eastAsia="cs-CZ"/>
              </w:rPr>
              <w:t>Dle SDEU denní doba odpočinku není součástí týdenní doby odpočinku</w:t>
            </w:r>
            <w:r w:rsidRPr="00C506C6">
              <w:rPr>
                <w:rStyle w:val="Hypertextovodkaz"/>
                <w:rFonts w:ascii="Arial" w:eastAsia="Times New Roman" w:hAnsi="Arial" w:cs="Arial"/>
                <w:bCs/>
                <w:color w:val="0F0D29" w:themeColor="text1"/>
                <w:kern w:val="36"/>
                <w:sz w:val="20"/>
                <w:szCs w:val="20"/>
                <w:u w:val="none"/>
                <w:lang w:eastAsia="cs-CZ"/>
              </w:rPr>
              <w:t>. Zároveň denní doba odpočinku předchází týdenní době odpočinku, a tak se právo zaměstnance na denní dobu odpočinku (nejméně 11 hodin) přičítá k právu zaměstnance na týdenní dobu odpočinku (nejméně 24 hodin). Toto právo není dotčeno ani tím, že členský stát zaměstnanci přiznal zvýšenou týdenní dobu odpočinku (v ČR 35 hodin – viz níže).</w:t>
            </w:r>
          </w:p>
          <w:p w14:paraId="54BA9FD8" w14:textId="77777777" w:rsidR="00C506C6" w:rsidRP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6707A32" w14:textId="77777777" w:rsidR="00C506C6" w:rsidRP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Cs/>
                <w:color w:val="0F0D29" w:themeColor="text1"/>
                <w:kern w:val="36"/>
                <w:sz w:val="20"/>
                <w:szCs w:val="20"/>
                <w:u w:val="none"/>
                <w:lang w:eastAsia="cs-CZ"/>
              </w:rPr>
              <w:t>Český zákoník práce[4] stanoví, že zaměstnavatel je povinen rozvrhnout pracovní dobu tak, aby zaměstnanec měl nepřetržitý odpočinek v týdnu v trvání alespoň 35 hodin.</w:t>
            </w:r>
          </w:p>
          <w:p w14:paraId="1EA6240C"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40C8E21" w14:textId="220BF96D" w:rsidR="00C506C6" w:rsidRP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Cs/>
                <w:color w:val="0F0D29" w:themeColor="text1"/>
                <w:kern w:val="36"/>
                <w:sz w:val="20"/>
                <w:szCs w:val="20"/>
                <w:u w:val="none"/>
                <w:lang w:eastAsia="cs-CZ"/>
              </w:rPr>
              <w:t>České právo sice používá odlišnou terminologii od čl. 5 Směrnice (nepřetržitý odpočinek v týdnu místo týdenní doba odpočinku). SDEU však argumentuje, že článek 5 směrnice 2003/88 neobsahuje žádný odkaz na vnitrostátní právo členských států. Výrazy, které používá, tedy musí být chápány jako autonomní pojmy unijního práva a vykládány jednotně na celém území Unie bez ohledu na kvalifikace použité v členských státech.</w:t>
            </w:r>
          </w:p>
          <w:p w14:paraId="0A3B0AC3"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506C6">
              <w:rPr>
                <w:rStyle w:val="Hypertextovodkaz"/>
                <w:rFonts w:ascii="Arial" w:eastAsia="Times New Roman" w:hAnsi="Arial" w:cs="Arial"/>
                <w:bCs/>
                <w:color w:val="0F0D29" w:themeColor="text1"/>
                <w:kern w:val="36"/>
                <w:sz w:val="20"/>
                <w:szCs w:val="20"/>
                <w:u w:val="none"/>
                <w:lang w:eastAsia="cs-CZ"/>
              </w:rPr>
              <w:t xml:space="preserve">Uvedené je nejspíše důsledkem nepřesné implementace Směrnice zákonodárcem a nepochopení smyslu daného ustanovení, kdy byl rovnou zakotven součet obou odpočinků, aniž to bylo ale slovně odpovídajícím způsobem vyjádřeno (24 + 11 = 35). </w:t>
            </w:r>
          </w:p>
          <w:p w14:paraId="44E24493"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25C3356"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Lze tak očekávat novelizaci zákoníku práce, která bude uvedenou terminologii zpřesňovat. V opačném případě by totiž rozsudek SDEU v praxi českého pracovního práva znamenal, že </w:t>
            </w:r>
            <w:r w:rsidRPr="00C506C6">
              <w:rPr>
                <w:rStyle w:val="Hypertextovodkaz"/>
                <w:rFonts w:ascii="Arial" w:eastAsia="Times New Roman" w:hAnsi="Arial" w:cs="Arial"/>
                <w:bCs/>
                <w:color w:val="0F0D29" w:themeColor="text1"/>
                <w:kern w:val="36"/>
                <w:sz w:val="20"/>
                <w:szCs w:val="20"/>
                <w:u w:val="none"/>
                <w:lang w:eastAsia="cs-CZ"/>
              </w:rPr>
              <w:t xml:space="preserve">celá řada zaměstnavatelů, zejména těch se směnným provozem nebo nerovnoměrně rozvrženou pracovní dobou nebo konty pracovní doby v ČR neposkytuje svým zaměstnancům dostatečný nepřetržitý odpočinek v týdnu. </w:t>
            </w:r>
          </w:p>
          <w:p w14:paraId="306B5564" w14:textId="77777777" w:rsidR="00C506C6" w:rsidRDefault="00C506C6" w:rsidP="00C506C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6BDD5201" w:rsidR="00CB1423" w:rsidRPr="00A81EDF" w:rsidRDefault="00CB1423" w:rsidP="00A81EDF">
            <w:pPr>
              <w:pStyle w:val="Bezmezer"/>
              <w:shd w:val="clear" w:color="auto" w:fill="D9D9D9" w:themeFill="background1" w:themeFillShade="D9"/>
              <w:spacing w:line="360" w:lineRule="auto"/>
              <w:jc w:val="both"/>
              <w:rPr>
                <w:rFonts w:ascii="Arial" w:eastAsia="Times New Roman" w:hAnsi="Arial" w:cs="Arial"/>
                <w:bCs/>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POŘ</w:t>
            </w:r>
            <w:r w:rsidR="00C506C6">
              <w:rPr>
                <w:rStyle w:val="Hypertextovodkaz"/>
                <w:rFonts w:ascii="Arial" w:eastAsia="Times New Roman" w:hAnsi="Arial" w:cs="Arial"/>
                <w:bCs/>
                <w:i/>
                <w:color w:val="0F0D29" w:themeColor="text1"/>
                <w:kern w:val="36"/>
                <w:sz w:val="20"/>
                <w:szCs w:val="20"/>
                <w:u w:val="none"/>
                <w:lang w:eastAsia="cs-CZ"/>
              </w:rPr>
              <w:t xml:space="preserve"> a OŘLZ</w:t>
            </w:r>
            <w:r>
              <w:rPr>
                <w:rStyle w:val="Hypertextovodkaz"/>
                <w:rFonts w:ascii="Arial" w:eastAsia="Times New Roman" w:hAnsi="Arial" w:cs="Arial"/>
                <w:bCs/>
                <w:i/>
                <w:color w:val="0F0D29" w:themeColor="text1"/>
                <w:kern w:val="36"/>
                <w:sz w:val="20"/>
                <w:szCs w:val="20"/>
                <w:u w:val="none"/>
                <w:lang w:eastAsia="cs-CZ"/>
              </w:rPr>
              <w:t>.</w:t>
            </w:r>
          </w:p>
        </w:tc>
      </w:tr>
      <w:tr w:rsidR="00F75ED7" w:rsidRPr="005078C0" w14:paraId="68237412" w14:textId="77777777" w:rsidTr="00DA4CC0">
        <w:trPr>
          <w:trHeight w:val="5931"/>
        </w:trPr>
        <w:tc>
          <w:tcPr>
            <w:tcW w:w="9923" w:type="dxa"/>
            <w:shd w:val="clear" w:color="auto" w:fill="auto"/>
          </w:tcPr>
          <w:p w14:paraId="5049F3DA" w14:textId="77777777" w:rsidR="002F352C" w:rsidRDefault="002F352C" w:rsidP="00A81ED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15390061" w14:textId="3AEA79A8" w:rsidR="008264C3" w:rsidRPr="002F5594" w:rsidRDefault="008264C3" w:rsidP="00A81ED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Dohoda o prodloužení výpovědní doby</w:t>
            </w:r>
            <w:r w:rsidR="00C6452A">
              <w:rPr>
                <w:rStyle w:val="Hypertextovodkaz"/>
                <w:rFonts w:ascii="Arial" w:eastAsia="Times New Roman" w:hAnsi="Arial" w:cs="Arial"/>
                <w:b/>
                <w:bCs/>
                <w:color w:val="0F0D29" w:themeColor="text1"/>
                <w:kern w:val="36"/>
                <w:sz w:val="24"/>
                <w:szCs w:val="24"/>
                <w:u w:val="none"/>
                <w:lang w:eastAsia="cs-CZ"/>
              </w:rPr>
              <w:pict w14:anchorId="667442F1">
                <v:rect id="_x0000_i1040" style="width:0;height:1.5pt" o:hralign="center" o:hrstd="t" o:hr="t" fillcolor="#a0a0a0" stroked="f"/>
              </w:pict>
            </w:r>
          </w:p>
          <w:p w14:paraId="46D04122" w14:textId="246A1951" w:rsidR="008264C3" w:rsidRDefault="008264C3" w:rsidP="008264C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8264C3">
              <w:rPr>
                <w:rStyle w:val="Hypertextovodkaz"/>
                <w:rFonts w:eastAsia="Times New Roman"/>
                <w:bCs/>
                <w:color w:val="0F0D29" w:themeColor="text1"/>
                <w:kern w:val="36"/>
                <w:sz w:val="20"/>
                <w:szCs w:val="20"/>
                <w:u w:val="none"/>
                <w:lang w:eastAsia="cs-CZ"/>
              </w:rPr>
              <w:t>N</w:t>
            </w:r>
            <w:r w:rsidRPr="008264C3">
              <w:rPr>
                <w:rStyle w:val="Hypertextovodkaz"/>
                <w:rFonts w:ascii="Arial" w:eastAsia="Times New Roman" w:hAnsi="Arial" w:cs="Arial"/>
                <w:bCs/>
                <w:color w:val="0F0D29" w:themeColor="text1"/>
                <w:kern w:val="36"/>
                <w:sz w:val="20"/>
                <w:szCs w:val="20"/>
                <w:u w:val="none"/>
                <w:lang w:eastAsia="cs-CZ"/>
              </w:rPr>
              <w:t>ejvyšší soud, sp. zn. 21 Cdo 2861/2022</w:t>
            </w:r>
            <w:r w:rsidRPr="008264C3">
              <w:rPr>
                <w:rStyle w:val="Hypertextovodkaz"/>
                <w:rFonts w:eastAsia="Times New Roman"/>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0C2EEE27" w14:textId="77777777"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7B37215" w14:textId="423F29AF"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4C3">
              <w:rPr>
                <w:rStyle w:val="Hypertextovodkaz"/>
                <w:rFonts w:ascii="Arial" w:eastAsia="Times New Roman" w:hAnsi="Arial" w:cs="Arial"/>
                <w:bCs/>
                <w:color w:val="0F0D29" w:themeColor="text1"/>
                <w:kern w:val="36"/>
                <w:sz w:val="20"/>
                <w:szCs w:val="20"/>
                <w:u w:val="none"/>
                <w:lang w:eastAsia="cs-CZ"/>
              </w:rPr>
              <w:t xml:space="preserve">Nejvyšší soud </w:t>
            </w:r>
            <w:r>
              <w:rPr>
                <w:rStyle w:val="Hypertextovodkaz"/>
                <w:rFonts w:ascii="Arial" w:eastAsia="Times New Roman" w:hAnsi="Arial" w:cs="Arial"/>
                <w:bCs/>
                <w:color w:val="0F0D29" w:themeColor="text1"/>
                <w:kern w:val="36"/>
                <w:sz w:val="20"/>
                <w:szCs w:val="20"/>
                <w:u w:val="none"/>
                <w:lang w:eastAsia="cs-CZ"/>
              </w:rPr>
              <w:t xml:space="preserve">řešil </w:t>
            </w:r>
            <w:r w:rsidRPr="008264C3">
              <w:rPr>
                <w:rStyle w:val="Hypertextovodkaz"/>
                <w:rFonts w:ascii="Arial" w:eastAsia="Times New Roman" w:hAnsi="Arial" w:cs="Arial"/>
                <w:bCs/>
                <w:color w:val="0F0D29" w:themeColor="text1"/>
                <w:kern w:val="36"/>
                <w:sz w:val="20"/>
                <w:szCs w:val="20"/>
                <w:u w:val="none"/>
                <w:lang w:eastAsia="cs-CZ"/>
              </w:rPr>
              <w:t>otázku, zda (podle právní úpravy účinné od 1.1.2014) mohou zaměstnavatel a zaměstnanec platně uzavřít dohodu o prodloužení výpovědní doby v době, kdy již výpovědní doba běží. Odkazujíc na charakter současného občanského zákoníku, který klade větší důraz na princip autonomie vůle a umožňuje větší míru smluvní volnosti, dospěl Nejvyšší soud k závěru odlišnému od závěru judikovanému za platnosti starého občanského zákoníku. Konstatoval, že uzavření dohody o prodloužení výpovědní doby podle ustanovení § 51 odst. 1 zákoníku práce v průběhu výpovědní doby je možné. Z obsahu takové dohody však musí jednoznačně vyplývat, kdy (který den) má pracovní poměr účastníků dohody skončit. Zároveň musí být výpovědní doba sjednána tak, aby její délka po prodloužení byla přiměřená okolnostem konkrétního případu. Jinak by šlo o (relativně) neplatné právní jednání ve smyslu ustanovení §580 odst. 1 občanského zákoníku.</w:t>
            </w:r>
            <w:r w:rsidRPr="00C506C6">
              <w:rPr>
                <w:rStyle w:val="Hypertextovodkaz"/>
                <w:rFonts w:ascii="Arial" w:eastAsia="Times New Roman" w:hAnsi="Arial" w:cs="Arial"/>
                <w:bCs/>
                <w:color w:val="0F0D29" w:themeColor="text1"/>
                <w:kern w:val="36"/>
                <w:sz w:val="20"/>
                <w:szCs w:val="20"/>
                <w:u w:val="none"/>
                <w:lang w:eastAsia="cs-CZ"/>
              </w:rPr>
              <w:t xml:space="preserve"> </w:t>
            </w:r>
          </w:p>
          <w:p w14:paraId="6A2C8E55" w14:textId="77777777" w:rsidR="008264C3" w:rsidRDefault="008264C3" w:rsidP="008264C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A5D32A3" w14:textId="77777777" w:rsidR="008264C3" w:rsidRPr="00C506C6" w:rsidRDefault="008264C3" w:rsidP="008264C3">
            <w:pPr>
              <w:pStyle w:val="Bezmezer"/>
              <w:shd w:val="clear" w:color="auto" w:fill="D9D9D9" w:themeFill="background1" w:themeFillShade="D9"/>
              <w:spacing w:line="360" w:lineRule="auto"/>
              <w:jc w:val="both"/>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POŘ</w:t>
            </w:r>
            <w:r>
              <w:rPr>
                <w:rStyle w:val="Hypertextovodkaz"/>
                <w:rFonts w:ascii="Arial" w:eastAsia="Times New Roman" w:hAnsi="Arial" w:cs="Arial"/>
                <w:bCs/>
                <w:i/>
                <w:color w:val="0F0D29" w:themeColor="text1"/>
                <w:kern w:val="36"/>
                <w:sz w:val="20"/>
                <w:szCs w:val="20"/>
                <w:u w:val="none"/>
                <w:lang w:eastAsia="cs-CZ"/>
              </w:rPr>
              <w:t xml:space="preserve"> a OŘLZ. </w:t>
            </w:r>
          </w:p>
          <w:p w14:paraId="4281E1A1" w14:textId="6D1EE237" w:rsidR="00F75ED7" w:rsidRDefault="00F75ED7" w:rsidP="00DC282C">
            <w:pPr>
              <w:pStyle w:val="Bezmezer"/>
              <w:spacing w:line="360" w:lineRule="auto"/>
            </w:pPr>
          </w:p>
          <w:p w14:paraId="70242E31" w14:textId="24E6E389" w:rsidR="00B861BF" w:rsidRPr="002F5594" w:rsidRDefault="00B861BF" w:rsidP="00B861B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B861BF">
              <w:rPr>
                <w:rStyle w:val="Hypertextovodkaz"/>
                <w:rFonts w:ascii="Arial" w:eastAsia="Times New Roman" w:hAnsi="Arial" w:cs="Arial"/>
                <w:b/>
                <w:bCs/>
                <w:color w:val="0F0D29" w:themeColor="text1"/>
                <w:kern w:val="36"/>
                <w:sz w:val="24"/>
                <w:szCs w:val="20"/>
                <w:u w:val="none"/>
                <w:lang w:eastAsia="cs-CZ"/>
              </w:rPr>
              <w:t xml:space="preserve">Přihlášení nevyplněné avalované blankosměnky do insolvenčního řízení vedeného na majetek směnečného rukojmího </w:t>
            </w:r>
            <w:r w:rsidR="00C6452A">
              <w:rPr>
                <w:rStyle w:val="Hypertextovodkaz"/>
                <w:rFonts w:ascii="Arial" w:eastAsia="Times New Roman" w:hAnsi="Arial" w:cs="Arial"/>
                <w:b/>
                <w:bCs/>
                <w:color w:val="0F0D29" w:themeColor="text1"/>
                <w:kern w:val="36"/>
                <w:sz w:val="24"/>
                <w:szCs w:val="24"/>
                <w:u w:val="none"/>
                <w:lang w:eastAsia="cs-CZ"/>
              </w:rPr>
              <w:pict w14:anchorId="2CD485F7">
                <v:rect id="_x0000_i1041" style="width:0;height:1.5pt" o:hralign="center" o:hrstd="t" o:hr="t" fillcolor="#a0a0a0" stroked="f"/>
              </w:pict>
            </w:r>
          </w:p>
          <w:p w14:paraId="370D095C" w14:textId="2FD3F8C1" w:rsidR="00B861BF" w:rsidRDefault="00B861BF" w:rsidP="00B861B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8264C3">
              <w:rPr>
                <w:rStyle w:val="Hypertextovodkaz"/>
                <w:rFonts w:eastAsia="Times New Roman"/>
                <w:bCs/>
                <w:color w:val="0F0D29" w:themeColor="text1"/>
                <w:kern w:val="36"/>
                <w:sz w:val="20"/>
                <w:szCs w:val="20"/>
                <w:u w:val="none"/>
                <w:lang w:eastAsia="cs-CZ"/>
              </w:rPr>
              <w:t>N</w:t>
            </w:r>
            <w:r w:rsidRPr="008264C3">
              <w:rPr>
                <w:rStyle w:val="Hypertextovodkaz"/>
                <w:rFonts w:ascii="Arial" w:eastAsia="Times New Roman" w:hAnsi="Arial" w:cs="Arial"/>
                <w:bCs/>
                <w:color w:val="0F0D29" w:themeColor="text1"/>
                <w:kern w:val="36"/>
                <w:sz w:val="20"/>
                <w:szCs w:val="20"/>
                <w:u w:val="none"/>
                <w:lang w:eastAsia="cs-CZ"/>
              </w:rPr>
              <w:t xml:space="preserve">ejvyšší soud, sp. zn. </w:t>
            </w:r>
            <w:r w:rsidR="007C19BC" w:rsidRPr="007C19BC">
              <w:rPr>
                <w:rStyle w:val="Hypertextovodkaz"/>
                <w:rFonts w:ascii="Arial" w:eastAsia="Times New Roman" w:hAnsi="Arial" w:cs="Arial"/>
                <w:bCs/>
                <w:color w:val="0F0D29" w:themeColor="text1"/>
                <w:kern w:val="36"/>
                <w:sz w:val="20"/>
                <w:szCs w:val="20"/>
                <w:u w:val="none"/>
                <w:lang w:eastAsia="cs-CZ"/>
              </w:rPr>
              <w:t xml:space="preserve">29 </w:t>
            </w:r>
            <w:proofErr w:type="spellStart"/>
            <w:r w:rsidR="007C19BC" w:rsidRPr="007C19BC">
              <w:rPr>
                <w:rStyle w:val="Hypertextovodkaz"/>
                <w:rFonts w:ascii="Arial" w:eastAsia="Times New Roman" w:hAnsi="Arial" w:cs="Arial"/>
                <w:bCs/>
                <w:color w:val="0F0D29" w:themeColor="text1"/>
                <w:kern w:val="36"/>
                <w:sz w:val="20"/>
                <w:szCs w:val="20"/>
                <w:u w:val="none"/>
                <w:lang w:eastAsia="cs-CZ"/>
              </w:rPr>
              <w:t>ICdo</w:t>
            </w:r>
            <w:proofErr w:type="spellEnd"/>
            <w:r w:rsidR="007C19BC" w:rsidRPr="007C19BC">
              <w:rPr>
                <w:rStyle w:val="Hypertextovodkaz"/>
                <w:rFonts w:ascii="Arial" w:eastAsia="Times New Roman" w:hAnsi="Arial" w:cs="Arial"/>
                <w:bCs/>
                <w:color w:val="0F0D29" w:themeColor="text1"/>
                <w:kern w:val="36"/>
                <w:sz w:val="20"/>
                <w:szCs w:val="20"/>
                <w:u w:val="none"/>
                <w:lang w:eastAsia="cs-CZ"/>
              </w:rPr>
              <w:t xml:space="preserve"> 32/2021</w:t>
            </w:r>
          </w:p>
          <w:p w14:paraId="0A2CD622" w14:textId="77777777" w:rsidR="00B861BF" w:rsidRDefault="00B861BF" w:rsidP="00B861B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4FD46F0" w14:textId="4C448EA0" w:rsidR="00B861BF" w:rsidRDefault="007C19BC" w:rsidP="00B861B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7C19BC">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 xml:space="preserve"> se</w:t>
            </w:r>
            <w:r w:rsidRPr="007C19BC">
              <w:rPr>
                <w:rStyle w:val="Hypertextovodkaz"/>
                <w:rFonts w:ascii="Arial" w:eastAsia="Times New Roman" w:hAnsi="Arial" w:cs="Arial"/>
                <w:bCs/>
                <w:color w:val="0F0D29" w:themeColor="text1"/>
                <w:kern w:val="36"/>
                <w:sz w:val="20"/>
                <w:szCs w:val="20"/>
                <w:u w:val="none"/>
                <w:lang w:eastAsia="cs-CZ"/>
              </w:rPr>
              <w:t xml:space="preserve"> zabýv</w:t>
            </w:r>
            <w:r>
              <w:rPr>
                <w:rStyle w:val="Hypertextovodkaz"/>
                <w:rFonts w:ascii="Arial" w:eastAsia="Times New Roman" w:hAnsi="Arial" w:cs="Arial"/>
                <w:bCs/>
                <w:color w:val="0F0D29" w:themeColor="text1"/>
                <w:kern w:val="36"/>
                <w:sz w:val="20"/>
                <w:szCs w:val="20"/>
                <w:u w:val="none"/>
                <w:lang w:eastAsia="cs-CZ"/>
              </w:rPr>
              <w:t>al</w:t>
            </w:r>
            <w:r w:rsidRPr="007C19BC">
              <w:rPr>
                <w:rStyle w:val="Hypertextovodkaz"/>
                <w:rFonts w:ascii="Arial" w:eastAsia="Times New Roman" w:hAnsi="Arial" w:cs="Arial"/>
                <w:bCs/>
                <w:color w:val="0F0D29" w:themeColor="text1"/>
                <w:kern w:val="36"/>
                <w:sz w:val="20"/>
                <w:szCs w:val="20"/>
                <w:u w:val="none"/>
                <w:lang w:eastAsia="cs-CZ"/>
              </w:rPr>
              <w:t xml:space="preserve"> otázkou, zda lze do insolvenčního řízení vedeného na majetek směnečného rukojmího přihlásit dosud nevyplněnou avalovanou blankosměnku, a to jako pohledávku podmíněnou. Blankosměnka se stává směnkou vyplněním chybějících náležitostí s účinky ex </w:t>
            </w:r>
            <w:proofErr w:type="spellStart"/>
            <w:r w:rsidRPr="007C19BC">
              <w:rPr>
                <w:rStyle w:val="Hypertextovodkaz"/>
                <w:rFonts w:ascii="Arial" w:eastAsia="Times New Roman" w:hAnsi="Arial" w:cs="Arial"/>
                <w:bCs/>
                <w:color w:val="0F0D29" w:themeColor="text1"/>
                <w:kern w:val="36"/>
                <w:sz w:val="20"/>
                <w:szCs w:val="20"/>
                <w:u w:val="none"/>
                <w:lang w:eastAsia="cs-CZ"/>
              </w:rPr>
              <w:t>tunc</w:t>
            </w:r>
            <w:proofErr w:type="spellEnd"/>
            <w:r w:rsidRPr="007C19BC">
              <w:rPr>
                <w:rStyle w:val="Hypertextovodkaz"/>
                <w:rFonts w:ascii="Arial" w:eastAsia="Times New Roman" w:hAnsi="Arial" w:cs="Arial"/>
                <w:bCs/>
                <w:color w:val="0F0D29" w:themeColor="text1"/>
                <w:kern w:val="36"/>
                <w:sz w:val="20"/>
                <w:szCs w:val="20"/>
                <w:u w:val="none"/>
                <w:lang w:eastAsia="cs-CZ"/>
              </w:rPr>
              <w:t xml:space="preserve">. Ke vzniku směnečné pohledávky tak dochází zpětně vyplněním blankosměnky. Nejvyšší soud proto uzavřel, že majitel blankosměnky může přihlásit svou pohledávku za dlužníka, který je na blankosměnce podepsán jako směnečný rukojmí, do insolvenčního řízení dlužníka jako pohledávku vázanou na podmínku, že bude blankosměnka doplněna o chybějící náležitosti, a stane se tak (s účinky ex </w:t>
            </w:r>
            <w:proofErr w:type="spellStart"/>
            <w:r w:rsidRPr="007C19BC">
              <w:rPr>
                <w:rStyle w:val="Hypertextovodkaz"/>
                <w:rFonts w:ascii="Arial" w:eastAsia="Times New Roman" w:hAnsi="Arial" w:cs="Arial"/>
                <w:bCs/>
                <w:color w:val="0F0D29" w:themeColor="text1"/>
                <w:kern w:val="36"/>
                <w:sz w:val="20"/>
                <w:szCs w:val="20"/>
                <w:u w:val="none"/>
                <w:lang w:eastAsia="cs-CZ"/>
              </w:rPr>
              <w:t>tunc</w:t>
            </w:r>
            <w:proofErr w:type="spellEnd"/>
            <w:r w:rsidRPr="007C19BC">
              <w:rPr>
                <w:rStyle w:val="Hypertextovodkaz"/>
                <w:rFonts w:ascii="Arial" w:eastAsia="Times New Roman" w:hAnsi="Arial" w:cs="Arial"/>
                <w:bCs/>
                <w:color w:val="0F0D29" w:themeColor="text1"/>
                <w:kern w:val="36"/>
                <w:sz w:val="20"/>
                <w:szCs w:val="20"/>
                <w:u w:val="none"/>
                <w:lang w:eastAsia="cs-CZ"/>
              </w:rPr>
              <w:t xml:space="preserve">) směnkou úplnou.  </w:t>
            </w:r>
          </w:p>
          <w:p w14:paraId="7D207C8B" w14:textId="77777777" w:rsidR="007C19BC" w:rsidRDefault="007C19BC" w:rsidP="00B861B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4D93BB6" w14:textId="4A8786A0" w:rsidR="00B861BF" w:rsidRDefault="00B861BF" w:rsidP="00B861BF">
            <w:pPr>
              <w:pStyle w:val="Bezmezer"/>
              <w:shd w:val="clear" w:color="auto" w:fill="D9D9D9" w:themeFill="background1" w:themeFillShade="D9"/>
              <w:spacing w:line="360" w:lineRule="auto"/>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w:t>
            </w:r>
            <w:r w:rsidRPr="00B861BF">
              <w:rPr>
                <w:rStyle w:val="Hypertextovodkaz"/>
                <w:rFonts w:ascii="Arial" w:eastAsia="Times New Roman" w:hAnsi="Arial" w:cs="Arial"/>
                <w:bCs/>
                <w:i/>
                <w:color w:val="0F0D29" w:themeColor="text1"/>
                <w:kern w:val="36"/>
                <w:sz w:val="20"/>
                <w:szCs w:val="20"/>
                <w:u w:val="none"/>
                <w:shd w:val="clear" w:color="auto" w:fill="D9D9D9" w:themeFill="background1" w:themeFillShade="D9"/>
                <w:lang w:eastAsia="cs-CZ"/>
              </w:rPr>
              <w:t xml:space="preserve">POŘ a </w:t>
            </w:r>
            <w:r w:rsidR="007C19BC">
              <w:rPr>
                <w:rStyle w:val="Hypertextovodkaz"/>
                <w:rFonts w:ascii="Arial" w:eastAsia="Times New Roman" w:hAnsi="Arial" w:cs="Arial"/>
                <w:bCs/>
                <w:i/>
                <w:color w:val="0F0D29" w:themeColor="text1"/>
                <w:kern w:val="36"/>
                <w:sz w:val="20"/>
                <w:szCs w:val="20"/>
                <w:u w:val="none"/>
                <w:shd w:val="clear" w:color="auto" w:fill="D9D9D9" w:themeFill="background1" w:themeFillShade="D9"/>
                <w:lang w:eastAsia="cs-CZ"/>
              </w:rPr>
              <w:t>KV</w:t>
            </w:r>
            <w:r>
              <w:rPr>
                <w:rStyle w:val="Hypertextovodkaz"/>
                <w:rFonts w:ascii="Arial" w:eastAsia="Times New Roman" w:hAnsi="Arial" w:cs="Arial"/>
                <w:bCs/>
                <w:i/>
                <w:color w:val="0F0D29" w:themeColor="text1"/>
                <w:kern w:val="36"/>
                <w:sz w:val="20"/>
                <w:szCs w:val="20"/>
                <w:u w:val="none"/>
                <w:lang w:eastAsia="cs-CZ"/>
              </w:rPr>
              <w:t>.</w:t>
            </w:r>
          </w:p>
          <w:p w14:paraId="702DB280" w14:textId="77777777" w:rsidR="008B5919" w:rsidRDefault="008B5919" w:rsidP="00DC282C">
            <w:pPr>
              <w:pStyle w:val="Bezmezer"/>
              <w:spacing w:line="360" w:lineRule="auto"/>
              <w:rPr>
                <w:b/>
              </w:rPr>
            </w:pPr>
          </w:p>
          <w:p w14:paraId="30AC96D7" w14:textId="26E38325" w:rsidR="008B5919" w:rsidRPr="005078C0" w:rsidRDefault="008B5919" w:rsidP="00B861BF">
            <w:pPr>
              <w:pStyle w:val="Odstavecseseznamem"/>
              <w:spacing w:line="360" w:lineRule="auto"/>
              <w:ind w:left="786"/>
              <w:jc w:val="both"/>
              <w:rPr>
                <w:rFonts w:ascii="Arial" w:hAnsi="Arial" w:cs="Arial"/>
                <w:b/>
                <w:color w:val="0F0D29" w:themeColor="text1"/>
              </w:rPr>
            </w:pP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36AC9AAC" w14:textId="5478FA9A"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8"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5"/>
  </w:num>
  <w:num w:numId="2" w16cid:durableId="1234467224">
    <w:abstractNumId w:val="4"/>
  </w:num>
  <w:num w:numId="3" w16cid:durableId="1316882545">
    <w:abstractNumId w:val="0"/>
  </w:num>
  <w:num w:numId="4" w16cid:durableId="1408501083">
    <w:abstractNumId w:val="7"/>
  </w:num>
  <w:num w:numId="5" w16cid:durableId="1987006562">
    <w:abstractNumId w:val="6"/>
  </w:num>
  <w:num w:numId="6" w16cid:durableId="1453748572">
    <w:abstractNumId w:val="2"/>
  </w:num>
  <w:num w:numId="7" w16cid:durableId="1505437701">
    <w:abstractNumId w:val="8"/>
  </w:num>
  <w:num w:numId="8" w16cid:durableId="1461268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21BDB"/>
    <w:rsid w:val="0002482E"/>
    <w:rsid w:val="00027A0F"/>
    <w:rsid w:val="000304BF"/>
    <w:rsid w:val="000340BB"/>
    <w:rsid w:val="00043884"/>
    <w:rsid w:val="00045505"/>
    <w:rsid w:val="00045D16"/>
    <w:rsid w:val="000472DA"/>
    <w:rsid w:val="00047C36"/>
    <w:rsid w:val="00050324"/>
    <w:rsid w:val="00057254"/>
    <w:rsid w:val="0007061F"/>
    <w:rsid w:val="0007093B"/>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63C9"/>
    <w:rsid w:val="000E795D"/>
    <w:rsid w:val="000F5AD4"/>
    <w:rsid w:val="000F5BA6"/>
    <w:rsid w:val="00101083"/>
    <w:rsid w:val="001018E2"/>
    <w:rsid w:val="00111A4A"/>
    <w:rsid w:val="001168AA"/>
    <w:rsid w:val="00127DCB"/>
    <w:rsid w:val="00130E9D"/>
    <w:rsid w:val="00140D0B"/>
    <w:rsid w:val="00142E9F"/>
    <w:rsid w:val="00144F93"/>
    <w:rsid w:val="0014703E"/>
    <w:rsid w:val="00150A6D"/>
    <w:rsid w:val="001559DF"/>
    <w:rsid w:val="00160DC8"/>
    <w:rsid w:val="001625EE"/>
    <w:rsid w:val="0016474D"/>
    <w:rsid w:val="00167935"/>
    <w:rsid w:val="00170060"/>
    <w:rsid w:val="00177623"/>
    <w:rsid w:val="0018012A"/>
    <w:rsid w:val="001822B6"/>
    <w:rsid w:val="00185B35"/>
    <w:rsid w:val="00187880"/>
    <w:rsid w:val="00196F8A"/>
    <w:rsid w:val="00197363"/>
    <w:rsid w:val="001A0DC1"/>
    <w:rsid w:val="001A0EC5"/>
    <w:rsid w:val="001B5353"/>
    <w:rsid w:val="001B54B1"/>
    <w:rsid w:val="001D7152"/>
    <w:rsid w:val="001E048A"/>
    <w:rsid w:val="001E4C6C"/>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7420"/>
    <w:rsid w:val="00240052"/>
    <w:rsid w:val="002419B4"/>
    <w:rsid w:val="00243EBC"/>
    <w:rsid w:val="002452D2"/>
    <w:rsid w:val="00246A35"/>
    <w:rsid w:val="00261F3A"/>
    <w:rsid w:val="00262E16"/>
    <w:rsid w:val="002673EB"/>
    <w:rsid w:val="00270CA7"/>
    <w:rsid w:val="00283722"/>
    <w:rsid w:val="00284348"/>
    <w:rsid w:val="00285D32"/>
    <w:rsid w:val="002867AA"/>
    <w:rsid w:val="0029544A"/>
    <w:rsid w:val="002A5582"/>
    <w:rsid w:val="002A7B59"/>
    <w:rsid w:val="002A7D57"/>
    <w:rsid w:val="002B714E"/>
    <w:rsid w:val="002E068A"/>
    <w:rsid w:val="002E61AB"/>
    <w:rsid w:val="002F0D61"/>
    <w:rsid w:val="002F352C"/>
    <w:rsid w:val="002F51F5"/>
    <w:rsid w:val="002F5594"/>
    <w:rsid w:val="002F6DF2"/>
    <w:rsid w:val="00310247"/>
    <w:rsid w:val="00312137"/>
    <w:rsid w:val="00313BA5"/>
    <w:rsid w:val="00325E58"/>
    <w:rsid w:val="00330359"/>
    <w:rsid w:val="00333529"/>
    <w:rsid w:val="00334605"/>
    <w:rsid w:val="003369D3"/>
    <w:rsid w:val="0033762F"/>
    <w:rsid w:val="00337ABE"/>
    <w:rsid w:val="0034183A"/>
    <w:rsid w:val="00341F21"/>
    <w:rsid w:val="00344A05"/>
    <w:rsid w:val="00355AF2"/>
    <w:rsid w:val="00360494"/>
    <w:rsid w:val="00361BA9"/>
    <w:rsid w:val="00366C7E"/>
    <w:rsid w:val="00366FC0"/>
    <w:rsid w:val="00372A73"/>
    <w:rsid w:val="00382E1F"/>
    <w:rsid w:val="00384EA3"/>
    <w:rsid w:val="003A39A1"/>
    <w:rsid w:val="003A3D7A"/>
    <w:rsid w:val="003C1F55"/>
    <w:rsid w:val="003C2191"/>
    <w:rsid w:val="003C4763"/>
    <w:rsid w:val="003C6F49"/>
    <w:rsid w:val="003D3863"/>
    <w:rsid w:val="003D5145"/>
    <w:rsid w:val="003F7659"/>
    <w:rsid w:val="00404C9B"/>
    <w:rsid w:val="004110DE"/>
    <w:rsid w:val="00411A05"/>
    <w:rsid w:val="004325C8"/>
    <w:rsid w:val="00433509"/>
    <w:rsid w:val="004344BA"/>
    <w:rsid w:val="0043631E"/>
    <w:rsid w:val="004405C5"/>
    <w:rsid w:val="0044085A"/>
    <w:rsid w:val="00444FD9"/>
    <w:rsid w:val="00446F61"/>
    <w:rsid w:val="004539F3"/>
    <w:rsid w:val="00454469"/>
    <w:rsid w:val="004571BE"/>
    <w:rsid w:val="00457844"/>
    <w:rsid w:val="004579C9"/>
    <w:rsid w:val="004646E1"/>
    <w:rsid w:val="004709CD"/>
    <w:rsid w:val="0047577B"/>
    <w:rsid w:val="00475E5C"/>
    <w:rsid w:val="0049783A"/>
    <w:rsid w:val="004B005C"/>
    <w:rsid w:val="004B21A5"/>
    <w:rsid w:val="004B2C1D"/>
    <w:rsid w:val="004C05F3"/>
    <w:rsid w:val="004D39AC"/>
    <w:rsid w:val="004F0B76"/>
    <w:rsid w:val="004F5618"/>
    <w:rsid w:val="005037F0"/>
    <w:rsid w:val="005054D5"/>
    <w:rsid w:val="005078C0"/>
    <w:rsid w:val="00514577"/>
    <w:rsid w:val="00516A86"/>
    <w:rsid w:val="00521069"/>
    <w:rsid w:val="0052653B"/>
    <w:rsid w:val="005275F6"/>
    <w:rsid w:val="00532EB6"/>
    <w:rsid w:val="005337A5"/>
    <w:rsid w:val="00537168"/>
    <w:rsid w:val="005412CE"/>
    <w:rsid w:val="00560334"/>
    <w:rsid w:val="005637F4"/>
    <w:rsid w:val="00565D89"/>
    <w:rsid w:val="005700DE"/>
    <w:rsid w:val="00572102"/>
    <w:rsid w:val="005721FE"/>
    <w:rsid w:val="0058396E"/>
    <w:rsid w:val="0058525A"/>
    <w:rsid w:val="005A405A"/>
    <w:rsid w:val="005A623B"/>
    <w:rsid w:val="005B0434"/>
    <w:rsid w:val="005B3D0D"/>
    <w:rsid w:val="005C0086"/>
    <w:rsid w:val="005C048D"/>
    <w:rsid w:val="005C3DFE"/>
    <w:rsid w:val="005C72CD"/>
    <w:rsid w:val="005D3817"/>
    <w:rsid w:val="005E1BAB"/>
    <w:rsid w:val="005E4904"/>
    <w:rsid w:val="005F1BB0"/>
    <w:rsid w:val="005F1F37"/>
    <w:rsid w:val="005F4E93"/>
    <w:rsid w:val="00610BF6"/>
    <w:rsid w:val="006142F4"/>
    <w:rsid w:val="00616648"/>
    <w:rsid w:val="00617A67"/>
    <w:rsid w:val="0062116E"/>
    <w:rsid w:val="00623626"/>
    <w:rsid w:val="00625270"/>
    <w:rsid w:val="00630128"/>
    <w:rsid w:val="00642F78"/>
    <w:rsid w:val="00644DD2"/>
    <w:rsid w:val="00651663"/>
    <w:rsid w:val="00651780"/>
    <w:rsid w:val="00652171"/>
    <w:rsid w:val="00656C4D"/>
    <w:rsid w:val="00657864"/>
    <w:rsid w:val="00660E12"/>
    <w:rsid w:val="0069077B"/>
    <w:rsid w:val="00691C67"/>
    <w:rsid w:val="00694EBE"/>
    <w:rsid w:val="006A077B"/>
    <w:rsid w:val="006A21D5"/>
    <w:rsid w:val="006A2953"/>
    <w:rsid w:val="006A4215"/>
    <w:rsid w:val="006A4542"/>
    <w:rsid w:val="006A4E78"/>
    <w:rsid w:val="006A5A4D"/>
    <w:rsid w:val="006B1771"/>
    <w:rsid w:val="006B33F6"/>
    <w:rsid w:val="006C0197"/>
    <w:rsid w:val="006C147A"/>
    <w:rsid w:val="006C166A"/>
    <w:rsid w:val="006C458E"/>
    <w:rsid w:val="006D2230"/>
    <w:rsid w:val="006D5B87"/>
    <w:rsid w:val="006D797C"/>
    <w:rsid w:val="006E225F"/>
    <w:rsid w:val="006E4475"/>
    <w:rsid w:val="006E530F"/>
    <w:rsid w:val="006E5716"/>
    <w:rsid w:val="006E5B8D"/>
    <w:rsid w:val="006E713B"/>
    <w:rsid w:val="006F0138"/>
    <w:rsid w:val="006F1F17"/>
    <w:rsid w:val="006F3D1A"/>
    <w:rsid w:val="006F41EA"/>
    <w:rsid w:val="006F790F"/>
    <w:rsid w:val="006F7A2A"/>
    <w:rsid w:val="006F7ADA"/>
    <w:rsid w:val="006F7E18"/>
    <w:rsid w:val="00701CC1"/>
    <w:rsid w:val="007055E5"/>
    <w:rsid w:val="00706AC0"/>
    <w:rsid w:val="0071777B"/>
    <w:rsid w:val="007237A1"/>
    <w:rsid w:val="00723E3F"/>
    <w:rsid w:val="007274B3"/>
    <w:rsid w:val="007302B3"/>
    <w:rsid w:val="00730733"/>
    <w:rsid w:val="00730C65"/>
    <w:rsid w:val="00730E3A"/>
    <w:rsid w:val="00735EAB"/>
    <w:rsid w:val="00736AAF"/>
    <w:rsid w:val="00742128"/>
    <w:rsid w:val="00756BA5"/>
    <w:rsid w:val="00765B2A"/>
    <w:rsid w:val="00770314"/>
    <w:rsid w:val="00780112"/>
    <w:rsid w:val="00782B2D"/>
    <w:rsid w:val="00783A34"/>
    <w:rsid w:val="0079780B"/>
    <w:rsid w:val="007A38DC"/>
    <w:rsid w:val="007A5D12"/>
    <w:rsid w:val="007B360B"/>
    <w:rsid w:val="007C19BC"/>
    <w:rsid w:val="007C6B52"/>
    <w:rsid w:val="007C7E90"/>
    <w:rsid w:val="007D083D"/>
    <w:rsid w:val="007D16C5"/>
    <w:rsid w:val="007E06C5"/>
    <w:rsid w:val="007E4EC7"/>
    <w:rsid w:val="008070BF"/>
    <w:rsid w:val="00810E13"/>
    <w:rsid w:val="00815900"/>
    <w:rsid w:val="00820160"/>
    <w:rsid w:val="00824CAE"/>
    <w:rsid w:val="00825113"/>
    <w:rsid w:val="008264C3"/>
    <w:rsid w:val="00834F4E"/>
    <w:rsid w:val="00847AEC"/>
    <w:rsid w:val="008508DD"/>
    <w:rsid w:val="008602AE"/>
    <w:rsid w:val="00862FE4"/>
    <w:rsid w:val="0086389A"/>
    <w:rsid w:val="00874D16"/>
    <w:rsid w:val="0087605E"/>
    <w:rsid w:val="00886540"/>
    <w:rsid w:val="008B1FEE"/>
    <w:rsid w:val="008B28D1"/>
    <w:rsid w:val="008B3184"/>
    <w:rsid w:val="008B5919"/>
    <w:rsid w:val="008B68A9"/>
    <w:rsid w:val="008C718E"/>
    <w:rsid w:val="008E3CAD"/>
    <w:rsid w:val="008E5AEF"/>
    <w:rsid w:val="008F5FFF"/>
    <w:rsid w:val="00901622"/>
    <w:rsid w:val="00902DCC"/>
    <w:rsid w:val="00903C32"/>
    <w:rsid w:val="00907BCC"/>
    <w:rsid w:val="00911671"/>
    <w:rsid w:val="00916B16"/>
    <w:rsid w:val="00916FC4"/>
    <w:rsid w:val="009173B9"/>
    <w:rsid w:val="009217FA"/>
    <w:rsid w:val="0092437E"/>
    <w:rsid w:val="00932282"/>
    <w:rsid w:val="00932F08"/>
    <w:rsid w:val="0093335D"/>
    <w:rsid w:val="0093613E"/>
    <w:rsid w:val="00943026"/>
    <w:rsid w:val="00945560"/>
    <w:rsid w:val="00947FBA"/>
    <w:rsid w:val="00953AD4"/>
    <w:rsid w:val="0096395A"/>
    <w:rsid w:val="009639B4"/>
    <w:rsid w:val="0096686C"/>
    <w:rsid w:val="00966B81"/>
    <w:rsid w:val="00966F7F"/>
    <w:rsid w:val="00977406"/>
    <w:rsid w:val="0098645D"/>
    <w:rsid w:val="009915F2"/>
    <w:rsid w:val="00995144"/>
    <w:rsid w:val="009974C0"/>
    <w:rsid w:val="009A17AB"/>
    <w:rsid w:val="009A2896"/>
    <w:rsid w:val="009B25AE"/>
    <w:rsid w:val="009C34EB"/>
    <w:rsid w:val="009C5F59"/>
    <w:rsid w:val="009C7720"/>
    <w:rsid w:val="009D3610"/>
    <w:rsid w:val="009D44EB"/>
    <w:rsid w:val="009E5DD7"/>
    <w:rsid w:val="009F2434"/>
    <w:rsid w:val="009F3BD4"/>
    <w:rsid w:val="009F755C"/>
    <w:rsid w:val="00A00B09"/>
    <w:rsid w:val="00A02DB7"/>
    <w:rsid w:val="00A04739"/>
    <w:rsid w:val="00A0491A"/>
    <w:rsid w:val="00A06F4B"/>
    <w:rsid w:val="00A2168E"/>
    <w:rsid w:val="00A21F5C"/>
    <w:rsid w:val="00A22382"/>
    <w:rsid w:val="00A23111"/>
    <w:rsid w:val="00A23AFA"/>
    <w:rsid w:val="00A31B3E"/>
    <w:rsid w:val="00A339D6"/>
    <w:rsid w:val="00A404F7"/>
    <w:rsid w:val="00A52014"/>
    <w:rsid w:val="00A532F3"/>
    <w:rsid w:val="00A617BF"/>
    <w:rsid w:val="00A6323B"/>
    <w:rsid w:val="00A76167"/>
    <w:rsid w:val="00A81EDF"/>
    <w:rsid w:val="00A83FFF"/>
    <w:rsid w:val="00A8489E"/>
    <w:rsid w:val="00A85F53"/>
    <w:rsid w:val="00A90466"/>
    <w:rsid w:val="00A92FB5"/>
    <w:rsid w:val="00A9528D"/>
    <w:rsid w:val="00A97F50"/>
    <w:rsid w:val="00AA1760"/>
    <w:rsid w:val="00AA594E"/>
    <w:rsid w:val="00AB02A7"/>
    <w:rsid w:val="00AB143E"/>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60730"/>
    <w:rsid w:val="00B70AB7"/>
    <w:rsid w:val="00B83A09"/>
    <w:rsid w:val="00B83A81"/>
    <w:rsid w:val="00B83E90"/>
    <w:rsid w:val="00B85CCA"/>
    <w:rsid w:val="00B861BF"/>
    <w:rsid w:val="00B8664F"/>
    <w:rsid w:val="00B8759D"/>
    <w:rsid w:val="00B94457"/>
    <w:rsid w:val="00B96FB3"/>
    <w:rsid w:val="00BA07FC"/>
    <w:rsid w:val="00BA21D1"/>
    <w:rsid w:val="00BA34E1"/>
    <w:rsid w:val="00BA6DE3"/>
    <w:rsid w:val="00BA7725"/>
    <w:rsid w:val="00BB4079"/>
    <w:rsid w:val="00BB56EB"/>
    <w:rsid w:val="00BC09D9"/>
    <w:rsid w:val="00BC14C6"/>
    <w:rsid w:val="00BC347C"/>
    <w:rsid w:val="00BD3C9C"/>
    <w:rsid w:val="00BD3D60"/>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2B46"/>
    <w:rsid w:val="00C4086D"/>
    <w:rsid w:val="00C4335C"/>
    <w:rsid w:val="00C4729D"/>
    <w:rsid w:val="00C506C6"/>
    <w:rsid w:val="00C50C1A"/>
    <w:rsid w:val="00C6452A"/>
    <w:rsid w:val="00C64AAF"/>
    <w:rsid w:val="00C655D1"/>
    <w:rsid w:val="00C6736C"/>
    <w:rsid w:val="00C8218D"/>
    <w:rsid w:val="00C841F9"/>
    <w:rsid w:val="00C8555E"/>
    <w:rsid w:val="00C86B4C"/>
    <w:rsid w:val="00C90A3E"/>
    <w:rsid w:val="00CA1896"/>
    <w:rsid w:val="00CB1423"/>
    <w:rsid w:val="00CB5B28"/>
    <w:rsid w:val="00CC07C6"/>
    <w:rsid w:val="00CC5DA6"/>
    <w:rsid w:val="00CD40D6"/>
    <w:rsid w:val="00CE07B8"/>
    <w:rsid w:val="00CF29B3"/>
    <w:rsid w:val="00CF5371"/>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70C7"/>
    <w:rsid w:val="00D80850"/>
    <w:rsid w:val="00D81550"/>
    <w:rsid w:val="00D81AA2"/>
    <w:rsid w:val="00D825F8"/>
    <w:rsid w:val="00D86945"/>
    <w:rsid w:val="00D90290"/>
    <w:rsid w:val="00D9076D"/>
    <w:rsid w:val="00D92996"/>
    <w:rsid w:val="00D95647"/>
    <w:rsid w:val="00D97B4A"/>
    <w:rsid w:val="00DA1D04"/>
    <w:rsid w:val="00DA4CC0"/>
    <w:rsid w:val="00DB1347"/>
    <w:rsid w:val="00DB5CE9"/>
    <w:rsid w:val="00DB7416"/>
    <w:rsid w:val="00DC282C"/>
    <w:rsid w:val="00DC4089"/>
    <w:rsid w:val="00DD139D"/>
    <w:rsid w:val="00DD152F"/>
    <w:rsid w:val="00DD262D"/>
    <w:rsid w:val="00DE0025"/>
    <w:rsid w:val="00DE213F"/>
    <w:rsid w:val="00DE3C37"/>
    <w:rsid w:val="00DE43F0"/>
    <w:rsid w:val="00DF027C"/>
    <w:rsid w:val="00E00A32"/>
    <w:rsid w:val="00E03770"/>
    <w:rsid w:val="00E04295"/>
    <w:rsid w:val="00E0665F"/>
    <w:rsid w:val="00E07C30"/>
    <w:rsid w:val="00E104DD"/>
    <w:rsid w:val="00E12896"/>
    <w:rsid w:val="00E14283"/>
    <w:rsid w:val="00E2016A"/>
    <w:rsid w:val="00E22ACD"/>
    <w:rsid w:val="00E2705F"/>
    <w:rsid w:val="00E36A71"/>
    <w:rsid w:val="00E373F2"/>
    <w:rsid w:val="00E4461E"/>
    <w:rsid w:val="00E46109"/>
    <w:rsid w:val="00E47C41"/>
    <w:rsid w:val="00E553B9"/>
    <w:rsid w:val="00E61997"/>
    <w:rsid w:val="00E620B0"/>
    <w:rsid w:val="00E655B6"/>
    <w:rsid w:val="00E678E1"/>
    <w:rsid w:val="00E67A9D"/>
    <w:rsid w:val="00E702E0"/>
    <w:rsid w:val="00E81B40"/>
    <w:rsid w:val="00E86C99"/>
    <w:rsid w:val="00EB0E41"/>
    <w:rsid w:val="00EB1AD7"/>
    <w:rsid w:val="00ED04AD"/>
    <w:rsid w:val="00ED7CDB"/>
    <w:rsid w:val="00EE04B7"/>
    <w:rsid w:val="00EE2C49"/>
    <w:rsid w:val="00EE35D0"/>
    <w:rsid w:val="00EE4C0A"/>
    <w:rsid w:val="00EF2109"/>
    <w:rsid w:val="00EF2EA3"/>
    <w:rsid w:val="00EF555B"/>
    <w:rsid w:val="00EF6723"/>
    <w:rsid w:val="00F027BB"/>
    <w:rsid w:val="00F02F07"/>
    <w:rsid w:val="00F04848"/>
    <w:rsid w:val="00F11DCF"/>
    <w:rsid w:val="00F1485A"/>
    <w:rsid w:val="00F162EA"/>
    <w:rsid w:val="00F2217C"/>
    <w:rsid w:val="00F2462F"/>
    <w:rsid w:val="00F33158"/>
    <w:rsid w:val="00F3526A"/>
    <w:rsid w:val="00F407A5"/>
    <w:rsid w:val="00F41F1C"/>
    <w:rsid w:val="00F426FA"/>
    <w:rsid w:val="00F4796C"/>
    <w:rsid w:val="00F52D27"/>
    <w:rsid w:val="00F54BC8"/>
    <w:rsid w:val="00F55857"/>
    <w:rsid w:val="00F5617F"/>
    <w:rsid w:val="00F57428"/>
    <w:rsid w:val="00F72153"/>
    <w:rsid w:val="00F75C32"/>
    <w:rsid w:val="00F75ED7"/>
    <w:rsid w:val="00F80FE3"/>
    <w:rsid w:val="00F81C67"/>
    <w:rsid w:val="00F83527"/>
    <w:rsid w:val="00F878CF"/>
    <w:rsid w:val="00FB42E1"/>
    <w:rsid w:val="00FD0649"/>
    <w:rsid w:val="00FD37A4"/>
    <w:rsid w:val="00FD3A18"/>
    <w:rsid w:val="00FD583F"/>
    <w:rsid w:val="00FD7488"/>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1653</TotalTime>
  <Pages>15</Pages>
  <Words>4674</Words>
  <Characters>27580</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224</cp:revision>
  <cp:lastPrinted>2006-08-01T17:47:00Z</cp:lastPrinted>
  <dcterms:created xsi:type="dcterms:W3CDTF">2022-06-02T17:54:00Z</dcterms:created>
  <dcterms:modified xsi:type="dcterms:W3CDTF">2023-04-27T16:52:00Z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