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3EA47A4">
                <wp:simplePos x="0" y="0"/>
                <wp:positionH relativeFrom="column">
                  <wp:posOffset>-203835</wp:posOffset>
                </wp:positionH>
                <wp:positionV relativeFrom="page">
                  <wp:posOffset>1009650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DDE4" id="Obdélník 3" o:spid="_x0000_s1026" alt="bílý obdélník pro text na titulní straně" style="position:absolute;margin-left:-16.05pt;margin-top:79.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&#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10BA6A12" w:rsidR="00240052" w:rsidRPr="00815900" w:rsidRDefault="009B25AE" w:rsidP="00D077E9">
                                  <w:pPr>
                                    <w:pStyle w:val="Nzev"/>
                                    <w:spacing w:after="0"/>
                                    <w:rPr>
                                      <w:color w:val="0F0D29" w:themeColor="text1"/>
                                      <w:sz w:val="56"/>
                                      <w:szCs w:val="48"/>
                                    </w:rPr>
                                  </w:pPr>
                                  <w:r>
                                    <w:rPr>
                                      <w:color w:val="0F0D29" w:themeColor="text1"/>
                                      <w:sz w:val="56"/>
                                      <w:szCs w:val="48"/>
                                      <w:lang w:bidi="cs-CZ"/>
                                    </w:rPr>
                                    <w:t>Prosinec</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10BA6A12" w:rsidR="00240052" w:rsidRPr="00815900" w:rsidRDefault="009B25AE" w:rsidP="00D077E9">
                            <w:pPr>
                              <w:pStyle w:val="Nzev"/>
                              <w:spacing w:after="0"/>
                              <w:rPr>
                                <w:color w:val="0F0D29" w:themeColor="text1"/>
                                <w:sz w:val="56"/>
                                <w:szCs w:val="48"/>
                              </w:rPr>
                            </w:pPr>
                            <w:r>
                              <w:rPr>
                                <w:color w:val="0F0D29" w:themeColor="text1"/>
                                <w:sz w:val="56"/>
                                <w:szCs w:val="48"/>
                                <w:lang w:bidi="cs-CZ"/>
                              </w:rPr>
                              <w:t>Prosinec</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44285ED0"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977406">
              <w:rPr>
                <w:b w:val="0"/>
                <w:bCs/>
                <w:noProof/>
                <w:color w:val="0F0D29" w:themeColor="text1"/>
              </w:rPr>
              <w:t> </w:t>
            </w:r>
            <w:r w:rsidR="009B25AE">
              <w:rPr>
                <w:b w:val="0"/>
                <w:bCs/>
                <w:noProof/>
                <w:color w:val="0F0D29" w:themeColor="text1"/>
              </w:rPr>
              <w:t>1</w:t>
            </w:r>
            <w:r w:rsidR="00977406">
              <w:rPr>
                <w:b w:val="0"/>
                <w:bCs/>
                <w:noProof/>
                <w:color w:val="0F0D29" w:themeColor="text1"/>
              </w:rPr>
              <w:t>4. 1. 202</w:t>
            </w:r>
            <w:r w:rsidR="009B25AE">
              <w:rPr>
                <w:b w:val="0"/>
                <w:bCs/>
                <w:noProof/>
                <w:color w:val="0F0D29" w:themeColor="text1"/>
              </w:rPr>
              <w:t>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2CA07F2A" w14:textId="7ADC90E3"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Vyhláška č. 467/2022 Sb., o změně sazby základní náhrady za používání silničních motorových vozidel a stravného a o stanovení průměrné ceny pohonných hmot pro účely poskytování cestovních náhrad pro rok 2023  </w:t>
            </w:r>
          </w:p>
          <w:p w14:paraId="7AAF54AA" w14:textId="24AE8302"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Nařízení vlády č. 466/2022 Sb.,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 ve znění pozdějších předpisů  </w:t>
            </w:r>
          </w:p>
          <w:p w14:paraId="55E49793" w14:textId="7467A002"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Nařízení vlády č. 465/2022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  </w:t>
            </w:r>
          </w:p>
          <w:p w14:paraId="586EAE29" w14:textId="690D3B8B"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458/2022 Sb., kterým se zrušuje zákon č. 112/2016 Sb., o evidenci tržeb, ve znění pozdějších předpisů, a mění a zrušují další související právní předpisy  </w:t>
            </w:r>
          </w:p>
          <w:p w14:paraId="3BB232FD" w14:textId="773265AD"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455/2022 Sb., kterým se mění zákon č. 155/1995 Sb., o důchodovém pojištění, ve znění pozdějších předpisů, a některé další zákony  </w:t>
            </w:r>
          </w:p>
          <w:p w14:paraId="6373A5C4" w14:textId="60688352"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Vyhláška č. 452/2022 Sb., kterou se mění vyhláška č. 79/2013 Sb., o provedení některých ustanovení zákona č. 373/2011 Sb., o specifických zdravotních službách, (vyhláška o pracovnělékařských službách a některých druzích posudkové péče), ve znění vyhlášky č. 436/2017 Sb.  </w:t>
            </w:r>
          </w:p>
          <w:p w14:paraId="2482D4B5" w14:textId="43DCBC5A"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Nařízení vlády č. 451/2022 Sb., kterým se mění nařízení vlády č. 276/2015 Sb., o odškodňování bolesti a ztížení společenského uplatnění způsobené pracovním úrazem nebo nemocí z povolání, ve znění nařízení vlády č. 224/2016 Sb., a nařízení vlády č. 290/1995 Sb., kterým se stanoví seznam nemocí z povolání, ve znění pozdějších předpisů  </w:t>
            </w:r>
          </w:p>
          <w:p w14:paraId="2BC6C93E" w14:textId="26E9C1ED" w:rsidR="009B25AE" w:rsidRPr="00916FC4" w:rsidRDefault="009B25A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Nařízení vlády č. 442/2022 Sb., kterým se mění nařízení vlády č. 298/2022 Sb., o stanovení cen elektřiny a plynu v mimořádné tržní situaci, ve znění nařízení vlády č. 343/2022 Sb.  </w:t>
            </w:r>
          </w:p>
          <w:p w14:paraId="5984DE42" w14:textId="64228CEA" w:rsidR="009B25AE" w:rsidRPr="00916FC4" w:rsidRDefault="00D14B3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432/2022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  </w:t>
            </w:r>
          </w:p>
          <w:p w14:paraId="1C84DD8D" w14:textId="04BEC5A4" w:rsidR="00D14B3E" w:rsidRPr="00916FC4" w:rsidRDefault="00D14B3E" w:rsidP="009B25A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431/2022 Sb., kterým se mění zákon č. 49/1997 Sb., o civilním letectví a o změně a doplnění zákona č. 455/1991 Sb., o živnostenském podnikání (živnostenský zákon), ve znění pozdějších předpisů, ve znění pozdějších předpisů, a další související zákony  </w:t>
            </w:r>
          </w:p>
          <w:p w14:paraId="51BA00BB" w14:textId="385833C2" w:rsidR="0000575E" w:rsidRPr="00916FC4" w:rsidRDefault="0000575E" w:rsidP="0000575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416/2022 Sb., kterým se mění některé zákony v souvislosti s využíváním digitálních nástrojů a postupů v právu obchodních společností a fungováním veřejných rejstříků  </w:t>
            </w:r>
          </w:p>
          <w:p w14:paraId="2AC66F32" w14:textId="7AC9AC33" w:rsidR="0000575E" w:rsidRPr="00916FC4" w:rsidRDefault="0000575E" w:rsidP="0000575E">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Nařízení vlády č. 413/2022 Sb., o úpravě náhrady za ztrátu na výdělku po skončení pracovní neschopnosti vzniklé pracovním úrazem nebo nemocí z povolání a o úpravě náhrady nákladů na výživu pozůstalých podle pracovněprávních předpisů </w:t>
            </w:r>
          </w:p>
          <w:p w14:paraId="3989CFB4" w14:textId="26A27B83" w:rsidR="0000575E" w:rsidRPr="00916FC4" w:rsidRDefault="00B94457" w:rsidP="00B94457">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t xml:space="preserve">Zákon č. 374/2022 Sb., kterým se mění zákon č. 634/1992 Sb., o ochraně spotřebitele, ve znění pozdějších předpisů, a zákon č. 89/2012 Sb., občanský zákoník, ve znění pozdějších předpisů  </w:t>
            </w:r>
          </w:p>
          <w:p w14:paraId="42691081" w14:textId="099A95F6" w:rsidR="00B94457" w:rsidRPr="00916FC4" w:rsidRDefault="00B94457" w:rsidP="00B94457">
            <w:pPr>
              <w:pStyle w:val="Bezmezer"/>
              <w:numPr>
                <w:ilvl w:val="0"/>
                <w:numId w:val="1"/>
              </w:numPr>
              <w:spacing w:line="360" w:lineRule="auto"/>
              <w:jc w:val="both"/>
              <w:rPr>
                <w:rFonts w:ascii="Arial" w:hAnsi="Arial" w:cs="Arial"/>
                <w:bCs/>
                <w:color w:val="0F0D29" w:themeColor="text1"/>
                <w:sz w:val="20"/>
                <w:szCs w:val="20"/>
              </w:rPr>
            </w:pPr>
            <w:r w:rsidRPr="00916FC4">
              <w:rPr>
                <w:rFonts w:ascii="Arial" w:hAnsi="Arial" w:cs="Arial"/>
                <w:bCs/>
                <w:color w:val="0F0D29" w:themeColor="text1"/>
                <w:sz w:val="20"/>
                <w:szCs w:val="20"/>
              </w:rPr>
              <w:lastRenderedPageBreak/>
              <w:t xml:space="preserve">Zákon č. 366/2022 Sb., kterým se mění zákon č. 235/2004 Sb., o dani z přidané hodnoty, ve znění pozdějších předpisů, zákon č. 586/1992 Sb., o daních z příjmů, ve znění pozdějších předpisů, a některé další zákony  </w:t>
            </w:r>
          </w:p>
          <w:p w14:paraId="43A3D180" w14:textId="02C69C3D" w:rsidR="0014703E" w:rsidRPr="00CF29B3" w:rsidRDefault="0014703E" w:rsidP="00CF29B3">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C86B4C" w:rsidRDefault="0014703E" w:rsidP="00C86B4C">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2553E85E" w14:textId="11E0EE43" w:rsidR="00AB791D" w:rsidRDefault="00DE43F0" w:rsidP="00DE43F0">
            <w:pPr>
              <w:pStyle w:val="Odstavecseseznamem"/>
              <w:numPr>
                <w:ilvl w:val="0"/>
                <w:numId w:val="1"/>
              </w:numPr>
              <w:spacing w:line="360" w:lineRule="auto"/>
              <w:jc w:val="both"/>
              <w:rPr>
                <w:rFonts w:ascii="Arial" w:hAnsi="Arial" w:cs="Arial"/>
                <w:bCs/>
                <w:color w:val="1B174A" w:themeColor="text1" w:themeTint="E6"/>
                <w:sz w:val="20"/>
                <w:szCs w:val="20"/>
              </w:rPr>
            </w:pPr>
            <w:r w:rsidRPr="00DE43F0">
              <w:rPr>
                <w:rFonts w:ascii="Arial" w:hAnsi="Arial" w:cs="Arial"/>
                <w:bCs/>
                <w:color w:val="1B174A" w:themeColor="text1" w:themeTint="E6"/>
                <w:sz w:val="20"/>
                <w:szCs w:val="20"/>
              </w:rPr>
              <w:t>Návrh zákona, kterým se mění zákon č. 106/1999 Sb., o svobodném přístupu k informacím, , zákon č. 123/1998 Sb., o právu na informace o životním prostředí, , a zákon č. 130/2002 Sb., o podpoře výzkumu, experimentálního vývoje a inovací z veřejných prostředků a o změně některých souvisejících zákonů (zákon o podpoře výzkumu, experimentálního vývoje a inovací)</w:t>
            </w:r>
            <w:r w:rsidR="007B360B" w:rsidRPr="00DE43F0">
              <w:rPr>
                <w:rFonts w:ascii="Arial" w:hAnsi="Arial" w:cs="Arial"/>
                <w:bCs/>
                <w:color w:val="1B174A" w:themeColor="text1" w:themeTint="E6"/>
                <w:sz w:val="20"/>
                <w:szCs w:val="20"/>
              </w:rPr>
              <w:t xml:space="preserve"> </w:t>
            </w:r>
          </w:p>
          <w:p w14:paraId="7D214AAA" w14:textId="411D6E1A" w:rsidR="00DE43F0" w:rsidRDefault="00DE43F0" w:rsidP="00DE43F0">
            <w:pPr>
              <w:pStyle w:val="Odstavecseseznamem"/>
              <w:numPr>
                <w:ilvl w:val="0"/>
                <w:numId w:val="1"/>
              </w:numPr>
              <w:spacing w:line="360" w:lineRule="auto"/>
              <w:jc w:val="both"/>
              <w:rPr>
                <w:rFonts w:ascii="Arial" w:hAnsi="Arial" w:cs="Arial"/>
                <w:bCs/>
                <w:color w:val="1B174A" w:themeColor="text1" w:themeTint="E6"/>
                <w:sz w:val="20"/>
                <w:szCs w:val="20"/>
              </w:rPr>
            </w:pPr>
            <w:r w:rsidRPr="00DE43F0">
              <w:rPr>
                <w:rFonts w:ascii="Arial" w:hAnsi="Arial" w:cs="Arial"/>
                <w:bCs/>
                <w:color w:val="1B174A" w:themeColor="text1" w:themeTint="E6"/>
                <w:sz w:val="20"/>
                <w:szCs w:val="20"/>
              </w:rPr>
              <w:t>Návrh zákona o požadavcích na přístupnost služeb</w:t>
            </w:r>
          </w:p>
          <w:p w14:paraId="2115B7D6" w14:textId="5C7F72DE" w:rsidR="00DE43F0" w:rsidRDefault="007A38DC" w:rsidP="00DE43F0">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Zákon č. 214/2022 Sb.</w:t>
            </w:r>
            <w:r w:rsidR="00DE43F0" w:rsidRPr="00DE43F0">
              <w:rPr>
                <w:rFonts w:ascii="Arial" w:hAnsi="Arial" w:cs="Arial"/>
                <w:bCs/>
                <w:color w:val="1B174A" w:themeColor="text1" w:themeTint="E6"/>
                <w:sz w:val="20"/>
                <w:szCs w:val="20"/>
              </w:rPr>
              <w:t>, kterým se mění zákon č. 99/1963 Sb., občanský soudní řád, zákon č. 120/2001 Sb., zákon č. 286/2021 Sb.</w:t>
            </w:r>
          </w:p>
          <w:p w14:paraId="00ED2EC5" w14:textId="4C33E685" w:rsidR="00DE43F0" w:rsidRDefault="00DE43F0" w:rsidP="00DE43F0">
            <w:pPr>
              <w:pStyle w:val="Odstavecseseznamem"/>
              <w:numPr>
                <w:ilvl w:val="0"/>
                <w:numId w:val="1"/>
              </w:numPr>
              <w:spacing w:line="360" w:lineRule="auto"/>
              <w:jc w:val="both"/>
              <w:rPr>
                <w:rFonts w:ascii="Arial" w:hAnsi="Arial" w:cs="Arial"/>
                <w:bCs/>
                <w:color w:val="1B174A" w:themeColor="text1" w:themeTint="E6"/>
                <w:sz w:val="20"/>
                <w:szCs w:val="20"/>
              </w:rPr>
            </w:pPr>
            <w:r w:rsidRPr="00DE43F0">
              <w:rPr>
                <w:rFonts w:ascii="Arial" w:hAnsi="Arial" w:cs="Arial"/>
                <w:bCs/>
                <w:color w:val="1B174A" w:themeColor="text1" w:themeTint="E6"/>
                <w:sz w:val="20"/>
                <w:szCs w:val="20"/>
              </w:rPr>
              <w:t>Návrh směrnice Evropského parlamentu a Rady, kterou se posiluje uplatňování zásady stejné odměny mužů a žen za stejnou nebo  rovnocennou práci prostřednictvím transparentnosti odměňování a mechanismů  prosazování</w:t>
            </w:r>
          </w:p>
          <w:p w14:paraId="7E1F5507" w14:textId="489F10BD" w:rsidR="006A2953" w:rsidRDefault="006A2953" w:rsidP="00DE43F0">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Zákon č. 1/2023 Sb.,</w:t>
            </w:r>
            <w:r w:rsidRPr="006A2953">
              <w:rPr>
                <w:rFonts w:ascii="Arial" w:hAnsi="Arial" w:cs="Arial"/>
                <w:bCs/>
                <w:color w:val="1B174A" w:themeColor="text1" w:themeTint="E6"/>
                <w:sz w:val="20"/>
                <w:szCs w:val="20"/>
              </w:rPr>
              <w:t xml:space="preserve"> o omezujících opatřeních proti některým závažným protiprávním jednáním (sankční zákon)</w:t>
            </w:r>
          </w:p>
          <w:p w14:paraId="1951F66F" w14:textId="64DD398D" w:rsidR="00E104DD" w:rsidRDefault="00E104DD" w:rsidP="00DE43F0">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V</w:t>
            </w:r>
            <w:r w:rsidRPr="00E104DD">
              <w:rPr>
                <w:rFonts w:ascii="Arial" w:hAnsi="Arial" w:cs="Arial"/>
                <w:bCs/>
                <w:color w:val="1B174A" w:themeColor="text1" w:themeTint="E6"/>
                <w:sz w:val="20"/>
                <w:szCs w:val="20"/>
              </w:rPr>
              <w:t>yhlášk</w:t>
            </w:r>
            <w:r>
              <w:rPr>
                <w:rFonts w:ascii="Arial" w:hAnsi="Arial" w:cs="Arial"/>
                <w:bCs/>
                <w:color w:val="1B174A" w:themeColor="text1" w:themeTint="E6"/>
                <w:sz w:val="20"/>
                <w:szCs w:val="20"/>
              </w:rPr>
              <w:t>a č. 346/2022 Sb.</w:t>
            </w:r>
            <w:r w:rsidRPr="00E104DD">
              <w:rPr>
                <w:rFonts w:ascii="Arial" w:hAnsi="Arial" w:cs="Arial"/>
                <w:bCs/>
                <w:color w:val="1B174A" w:themeColor="text1" w:themeTint="E6"/>
                <w:sz w:val="20"/>
                <w:szCs w:val="20"/>
              </w:rPr>
              <w:t>, kterou se mění vyhláška č. 357/2013 Sb., o katastru nemovitostí (katastrální vyhláška), ve znění vyhlášky č. 87/2017 Sb. a vyhlášky č. 301/2019 Sb.</w:t>
            </w:r>
          </w:p>
          <w:p w14:paraId="15F5D23B" w14:textId="6F2508DB" w:rsidR="00F2217C" w:rsidRDefault="00F2217C" w:rsidP="00DE43F0">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Návrh zákona o vyvlastnění</w:t>
            </w:r>
          </w:p>
          <w:p w14:paraId="7AD1B915" w14:textId="6B50F89C" w:rsidR="009F755C" w:rsidRDefault="009F755C" w:rsidP="00DE43F0">
            <w:pPr>
              <w:pStyle w:val="Odstavecseseznamem"/>
              <w:numPr>
                <w:ilvl w:val="0"/>
                <w:numId w:val="1"/>
              </w:numPr>
              <w:spacing w:line="360" w:lineRule="auto"/>
              <w:jc w:val="both"/>
              <w:rPr>
                <w:rFonts w:ascii="Arial" w:hAnsi="Arial" w:cs="Arial"/>
                <w:bCs/>
                <w:color w:val="1B174A" w:themeColor="text1" w:themeTint="E6"/>
                <w:sz w:val="20"/>
                <w:szCs w:val="20"/>
              </w:rPr>
            </w:pPr>
            <w:r w:rsidRPr="009F755C">
              <w:rPr>
                <w:rFonts w:ascii="Arial" w:hAnsi="Arial" w:cs="Arial"/>
                <w:bCs/>
                <w:color w:val="1B174A" w:themeColor="text1" w:themeTint="E6"/>
                <w:sz w:val="20"/>
                <w:szCs w:val="20"/>
              </w:rPr>
              <w:t>Zákon</w:t>
            </w:r>
            <w:r>
              <w:rPr>
                <w:rFonts w:ascii="Arial" w:hAnsi="Arial" w:cs="Arial"/>
                <w:bCs/>
                <w:color w:val="1B174A" w:themeColor="text1" w:themeTint="E6"/>
                <w:sz w:val="20"/>
                <w:szCs w:val="20"/>
              </w:rPr>
              <w:t xml:space="preserve"> </w:t>
            </w:r>
            <w:r w:rsidRPr="009F755C">
              <w:rPr>
                <w:rFonts w:ascii="Arial" w:hAnsi="Arial" w:cs="Arial"/>
                <w:bCs/>
                <w:color w:val="1B174A" w:themeColor="text1" w:themeTint="E6"/>
                <w:sz w:val="20"/>
                <w:szCs w:val="20"/>
              </w:rPr>
              <w:t>č. 245/2022 sb.,  kterým se mění zákon č. 37/2021 Sb., o evidenci skutečných majitelů</w:t>
            </w: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49E1C443" w14:textId="2EC4BC51" w:rsidR="002A7B59" w:rsidRPr="00932F08" w:rsidRDefault="002A7B59" w:rsidP="00932F08">
            <w:pPr>
              <w:pStyle w:val="Odstavecseseznamem"/>
              <w:numPr>
                <w:ilvl w:val="0"/>
                <w:numId w:val="1"/>
              </w:numPr>
              <w:spacing w:line="360" w:lineRule="auto"/>
              <w:jc w:val="both"/>
              <w:rPr>
                <w:rFonts w:ascii="Arial" w:hAnsi="Arial" w:cs="Arial"/>
                <w:bCs/>
                <w:color w:val="1B174A" w:themeColor="text1" w:themeTint="E6"/>
                <w:sz w:val="20"/>
                <w:szCs w:val="20"/>
              </w:rPr>
            </w:pPr>
            <w:r w:rsidRPr="002A7B59">
              <w:rPr>
                <w:rFonts w:ascii="Arial" w:hAnsi="Arial" w:cs="Arial"/>
                <w:bCs/>
                <w:color w:val="1B174A" w:themeColor="text1" w:themeTint="E6"/>
                <w:sz w:val="20"/>
                <w:szCs w:val="20"/>
              </w:rPr>
              <w:t>Návrh zákona o hromadném řízení</w:t>
            </w:r>
            <w:r w:rsidR="00932F08">
              <w:rPr>
                <w:rFonts w:ascii="Arial" w:hAnsi="Arial" w:cs="Arial"/>
                <w:bCs/>
                <w:color w:val="1B174A" w:themeColor="text1" w:themeTint="E6"/>
                <w:sz w:val="20"/>
                <w:szCs w:val="20"/>
              </w:rPr>
              <w:t xml:space="preserve"> </w:t>
            </w:r>
          </w:p>
          <w:p w14:paraId="2B5F7357" w14:textId="77777777" w:rsidR="002A7B59" w:rsidRPr="002A7B59" w:rsidRDefault="002A7B59" w:rsidP="002A7B59">
            <w:pPr>
              <w:pStyle w:val="Odstavecseseznamem"/>
              <w:numPr>
                <w:ilvl w:val="0"/>
                <w:numId w:val="1"/>
              </w:numPr>
              <w:spacing w:line="360" w:lineRule="auto"/>
              <w:jc w:val="both"/>
              <w:rPr>
                <w:rFonts w:ascii="Arial" w:hAnsi="Arial" w:cs="Arial"/>
                <w:bCs/>
                <w:color w:val="1B174A" w:themeColor="text1" w:themeTint="E6"/>
                <w:sz w:val="20"/>
                <w:szCs w:val="20"/>
              </w:rPr>
            </w:pPr>
            <w:r w:rsidRPr="002A7B59">
              <w:rPr>
                <w:rFonts w:ascii="Arial" w:hAnsi="Arial" w:cs="Arial"/>
                <w:bCs/>
                <w:color w:val="1B174A" w:themeColor="text1" w:themeTint="E6"/>
                <w:sz w:val="20"/>
                <w:szCs w:val="20"/>
              </w:rPr>
              <w:t>Návrh vyhlášky, kterou se mění vyhláška č. 31/1995 Sb., kterou se provádí zákon č. 200/1994 Sb., o zeměměřictví a o změně a doplnění některých zákonů souvisejících s jeho zavedením, ve znění pozdějších předpisů</w:t>
            </w:r>
          </w:p>
          <w:p w14:paraId="07D892B2" w14:textId="77777777" w:rsidR="002A7B59" w:rsidRPr="002A7B59" w:rsidRDefault="002A7B59" w:rsidP="002A7B59">
            <w:pPr>
              <w:pStyle w:val="Odstavecseseznamem"/>
              <w:numPr>
                <w:ilvl w:val="0"/>
                <w:numId w:val="1"/>
              </w:numPr>
              <w:spacing w:line="360" w:lineRule="auto"/>
              <w:jc w:val="both"/>
              <w:rPr>
                <w:rFonts w:ascii="Arial" w:hAnsi="Arial" w:cs="Arial"/>
                <w:bCs/>
                <w:color w:val="1B174A" w:themeColor="text1" w:themeTint="E6"/>
                <w:sz w:val="20"/>
                <w:szCs w:val="20"/>
              </w:rPr>
            </w:pPr>
            <w:r w:rsidRPr="002A7B59">
              <w:rPr>
                <w:rFonts w:ascii="Arial" w:hAnsi="Arial" w:cs="Arial"/>
                <w:bCs/>
                <w:color w:val="1B174A" w:themeColor="text1" w:themeTint="E6"/>
                <w:sz w:val="20"/>
                <w:szCs w:val="20"/>
              </w:rPr>
              <w:t>Návrh vyhlášky, kterou se mění vyhláška Ministerstva dopravy a spojů č. 108/1997 Sb., kterou se provádí zákon č. 49/1997 Sb., o civilním letectví a o změně a doplnění zákona č. 455/1991 Sb., o živnostenském podnikání (živnostenský zákon), ve znění pozdějších předpisů</w:t>
            </w:r>
          </w:p>
          <w:p w14:paraId="7B22DAAC" w14:textId="0AB418E6" w:rsidR="00A06F4B" w:rsidRPr="009B25AE" w:rsidRDefault="00A06F4B" w:rsidP="00FD0649">
            <w:pPr>
              <w:pStyle w:val="Odstavecseseznamem"/>
              <w:spacing w:line="360" w:lineRule="auto"/>
              <w:ind w:left="786"/>
              <w:jc w:val="both"/>
              <w:rPr>
                <w:rFonts w:ascii="Arial" w:hAnsi="Arial" w:cs="Arial"/>
                <w:bCs/>
                <w:color w:val="1B174A" w:themeColor="text1" w:themeTint="E6"/>
                <w:sz w:val="20"/>
                <w:szCs w:val="20"/>
              </w:rPr>
            </w:pPr>
          </w:p>
          <w:p w14:paraId="118937B2" w14:textId="24983B9D" w:rsidR="0014703E" w:rsidRPr="00825113"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 xml:space="preserve">III. </w:t>
            </w:r>
            <w:r w:rsidRPr="00825113">
              <w:rPr>
                <w:rFonts w:ascii="Arial" w:hAnsi="Arial" w:cs="Arial"/>
                <w:b/>
                <w:color w:val="0F0D29" w:themeColor="text1"/>
                <w:sz w:val="24"/>
                <w:szCs w:val="24"/>
              </w:rPr>
              <w:t>Judikatura a stanoviska</w:t>
            </w:r>
          </w:p>
          <w:p w14:paraId="06A763F4" w14:textId="477A19B2" w:rsidR="00C4335C" w:rsidRPr="00825113" w:rsidRDefault="009B25AE" w:rsidP="00E0665F">
            <w:pPr>
              <w:pStyle w:val="Odstavecseseznamem"/>
              <w:numPr>
                <w:ilvl w:val="0"/>
                <w:numId w:val="1"/>
              </w:numPr>
              <w:spacing w:line="360" w:lineRule="auto"/>
              <w:jc w:val="both"/>
              <w:rPr>
                <w:rFonts w:ascii="Arial" w:hAnsi="Arial" w:cs="Arial"/>
                <w:bCs/>
                <w:color w:val="0F0D29" w:themeColor="text1"/>
                <w:sz w:val="20"/>
                <w:szCs w:val="20"/>
              </w:rPr>
            </w:pPr>
            <w:r w:rsidRPr="00825113">
              <w:rPr>
                <w:rFonts w:ascii="Arial" w:hAnsi="Arial" w:cs="Arial"/>
                <w:bCs/>
                <w:color w:val="0F0D29" w:themeColor="text1"/>
                <w:sz w:val="20"/>
                <w:szCs w:val="20"/>
              </w:rPr>
              <w:t>.</w:t>
            </w:r>
            <w:r w:rsidR="008B28D1" w:rsidRPr="00825113">
              <w:rPr>
                <w:rFonts w:ascii="Arial" w:hAnsi="Arial" w:cs="Arial"/>
                <w:bCs/>
                <w:color w:val="0F0D29" w:themeColor="text1"/>
                <w:sz w:val="20"/>
                <w:szCs w:val="20"/>
              </w:rPr>
              <w:t>Jednání za právnickou osobu</w:t>
            </w:r>
          </w:p>
          <w:p w14:paraId="3D08AFC2" w14:textId="0594DBDB" w:rsidR="006A4E78" w:rsidRDefault="006A4E78" w:rsidP="00E0665F">
            <w:pPr>
              <w:pStyle w:val="Odstavecseseznamem"/>
              <w:numPr>
                <w:ilvl w:val="0"/>
                <w:numId w:val="1"/>
              </w:numPr>
              <w:spacing w:line="360" w:lineRule="auto"/>
              <w:jc w:val="both"/>
              <w:rPr>
                <w:rFonts w:ascii="Arial" w:hAnsi="Arial" w:cs="Arial"/>
                <w:bCs/>
                <w:color w:val="0F0D29" w:themeColor="text1"/>
                <w:sz w:val="20"/>
                <w:szCs w:val="20"/>
              </w:rPr>
            </w:pPr>
            <w:r w:rsidRPr="006A4E78">
              <w:rPr>
                <w:rFonts w:ascii="Arial" w:hAnsi="Arial" w:cs="Arial"/>
                <w:bCs/>
                <w:color w:val="0F0D29" w:themeColor="text1"/>
                <w:sz w:val="20"/>
                <w:szCs w:val="20"/>
              </w:rPr>
              <w:t>Nemajetková újma právnické osoby způsobená nezákonně zahájeným trestním stíháním</w:t>
            </w:r>
          </w:p>
          <w:p w14:paraId="3AC309B2" w14:textId="0532FB84" w:rsidR="00651780" w:rsidRDefault="00651780"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Vysvětlení zadávací dokumentace</w:t>
            </w:r>
          </w:p>
          <w:p w14:paraId="0FE7A1F7" w14:textId="5C9894D8" w:rsidR="00825113" w:rsidRDefault="00825113"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Nesplňování požadavků pro řádný výkon práce</w:t>
            </w:r>
          </w:p>
          <w:p w14:paraId="6493122F" w14:textId="11261D4B" w:rsidR="00825113" w:rsidRDefault="00E04295" w:rsidP="00E0665F">
            <w:pPr>
              <w:pStyle w:val="Odstavecseseznamem"/>
              <w:numPr>
                <w:ilvl w:val="0"/>
                <w:numId w:val="1"/>
              </w:numPr>
              <w:spacing w:line="360" w:lineRule="auto"/>
              <w:jc w:val="both"/>
              <w:rPr>
                <w:rFonts w:ascii="Arial" w:hAnsi="Arial" w:cs="Arial"/>
                <w:bCs/>
                <w:color w:val="0F0D29" w:themeColor="text1"/>
                <w:sz w:val="20"/>
                <w:szCs w:val="20"/>
              </w:rPr>
            </w:pPr>
            <w:r w:rsidRPr="00E04295">
              <w:rPr>
                <w:rFonts w:ascii="Arial" w:hAnsi="Arial" w:cs="Arial"/>
                <w:bCs/>
                <w:color w:val="0F0D29" w:themeColor="text1"/>
                <w:sz w:val="20"/>
                <w:szCs w:val="20"/>
              </w:rPr>
              <w:t>Výpověď pro nadbytečnost po předchozím neplatném skončení pracovního poměru</w:t>
            </w:r>
          </w:p>
          <w:p w14:paraId="5AD4C7D0" w14:textId="5D1247F3" w:rsidR="009B25AE" w:rsidRDefault="009B25AE" w:rsidP="009B25AE">
            <w:pPr>
              <w:spacing w:line="360" w:lineRule="auto"/>
              <w:jc w:val="both"/>
              <w:rPr>
                <w:rFonts w:ascii="Arial" w:hAnsi="Arial" w:cs="Arial"/>
                <w:bCs/>
                <w:color w:val="0F0D29" w:themeColor="text1"/>
                <w:sz w:val="20"/>
                <w:szCs w:val="20"/>
              </w:rPr>
            </w:pPr>
          </w:p>
          <w:p w14:paraId="1D10725D" w14:textId="0A91CB85" w:rsidR="00BA6DE3" w:rsidRDefault="00BA6DE3" w:rsidP="00BA6DE3">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w:t>
            </w:r>
            <w:r>
              <w:rPr>
                <w:rFonts w:ascii="Arial" w:hAnsi="Arial" w:cs="Arial"/>
                <w:b/>
                <w:color w:val="0F0D29" w:themeColor="text1"/>
                <w:sz w:val="24"/>
                <w:szCs w:val="24"/>
              </w:rPr>
              <w:t>V</w:t>
            </w:r>
            <w:r w:rsidRPr="005078C0">
              <w:rPr>
                <w:rFonts w:ascii="Arial" w:hAnsi="Arial" w:cs="Arial"/>
                <w:b/>
                <w:color w:val="0F0D29" w:themeColor="text1"/>
                <w:sz w:val="24"/>
                <w:szCs w:val="24"/>
              </w:rPr>
              <w:t xml:space="preserve">. </w:t>
            </w:r>
            <w:r>
              <w:rPr>
                <w:rFonts w:ascii="Arial" w:hAnsi="Arial" w:cs="Arial"/>
                <w:b/>
                <w:color w:val="0F0D29" w:themeColor="text1"/>
                <w:sz w:val="24"/>
                <w:szCs w:val="24"/>
              </w:rPr>
              <w:t>Legislativní plán 2023</w:t>
            </w:r>
          </w:p>
          <w:p w14:paraId="28077A12" w14:textId="77777777" w:rsidR="009B25AE" w:rsidRPr="009B25AE" w:rsidRDefault="009B25AE" w:rsidP="009B25AE">
            <w:pPr>
              <w:spacing w:line="360" w:lineRule="auto"/>
              <w:jc w:val="both"/>
              <w:rPr>
                <w:rFonts w:ascii="Arial" w:hAnsi="Arial" w:cs="Arial"/>
                <w:bCs/>
                <w:color w:val="0F0D29" w:themeColor="text1"/>
                <w:sz w:val="20"/>
                <w:szCs w:val="20"/>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7D830524" w:rsidR="00C203E7" w:rsidRPr="006E530F" w:rsidRDefault="000C6CC9"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0C6CC9">
              <w:rPr>
                <w:rStyle w:val="Hypertextovodkaz"/>
                <w:rFonts w:ascii="Arial" w:eastAsia="Times New Roman" w:hAnsi="Arial" w:cs="Arial"/>
                <w:b/>
                <w:bCs/>
                <w:color w:val="0F0D29" w:themeColor="text1"/>
                <w:kern w:val="36"/>
                <w:sz w:val="24"/>
                <w:szCs w:val="24"/>
                <w:u w:val="none"/>
                <w:lang w:eastAsia="cs-CZ"/>
              </w:rPr>
              <w:t xml:space="preserve"> </w:t>
            </w:r>
            <w:r w:rsidR="00916FC4">
              <w:t xml:space="preserve"> </w:t>
            </w:r>
            <w:r w:rsidR="00916FC4" w:rsidRPr="00916FC4">
              <w:rPr>
                <w:rStyle w:val="Hypertextovodkaz"/>
                <w:rFonts w:ascii="Arial" w:eastAsia="Times New Roman" w:hAnsi="Arial" w:cs="Arial"/>
                <w:b/>
                <w:bCs/>
                <w:color w:val="0F0D29" w:themeColor="text1"/>
                <w:kern w:val="36"/>
                <w:sz w:val="24"/>
                <w:szCs w:val="24"/>
                <w:u w:val="none"/>
                <w:lang w:eastAsia="cs-CZ"/>
              </w:rPr>
              <w:t xml:space="preserve">Vyhláška č. 467/2022 Sb., o změně sazby základní náhrady za používání silničních motorových vozidel a stravného a o stanovení průměrné ceny pohonných hmot pro účely poskytování cestovních náhrad pro rok 2023  </w:t>
            </w:r>
            <w:r w:rsidR="009E03E7">
              <w:rPr>
                <w:rStyle w:val="Hypertextovodkaz"/>
                <w:rFonts w:ascii="Arial" w:eastAsia="Times New Roman" w:hAnsi="Arial" w:cs="Arial"/>
                <w:b/>
                <w:bCs/>
                <w:color w:val="0F0D29" w:themeColor="text1"/>
                <w:kern w:val="36"/>
                <w:sz w:val="24"/>
                <w:szCs w:val="24"/>
                <w:u w:val="none"/>
                <w:lang w:eastAsia="cs-CZ"/>
              </w:rPr>
              <w:pict w14:anchorId="5D475690">
                <v:rect id="_x0000_i1027" style="width:0;height:1.5pt" o:hralign="center" o:hrstd="t" o:hr="t" fillcolor="#a0a0a0" stroked="f"/>
              </w:pict>
            </w:r>
          </w:p>
          <w:p w14:paraId="65A2A647" w14:textId="60D04E20"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w:t>
            </w:r>
            <w:r w:rsidR="00916FC4">
              <w:rPr>
                <w:rFonts w:asciiTheme="majorHAnsi" w:hAnsiTheme="majorHAnsi" w:cstheme="majorHAnsi"/>
                <w:color w:val="3B3B3B"/>
                <w:sz w:val="20"/>
                <w:szCs w:val="20"/>
              </w:rPr>
              <w:t xml:space="preserve"> od 1.1.2023</w:t>
            </w:r>
            <w:r>
              <w:rPr>
                <w:rFonts w:asciiTheme="majorHAnsi" w:hAnsiTheme="majorHAnsi" w:cstheme="majorHAnsi"/>
                <w:color w:val="3B3B3B"/>
                <w:sz w:val="20"/>
                <w:szCs w:val="20"/>
              </w:rPr>
              <w:t xml:space="preserve"> </w:t>
            </w:r>
          </w:p>
          <w:p w14:paraId="2BD1DD9E" w14:textId="77777777"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A1B2B86" w14:textId="10043925" w:rsidR="00C203E7"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30.12.2022 byla ve Sbírce zákonů publikována </w:t>
            </w:r>
            <w:r w:rsidRPr="00916FC4">
              <w:rPr>
                <w:rFonts w:asciiTheme="majorHAnsi" w:hAnsiTheme="majorHAnsi" w:cstheme="majorHAnsi"/>
                <w:color w:val="3B3B3B"/>
                <w:sz w:val="20"/>
                <w:szCs w:val="20"/>
              </w:rPr>
              <w:t>Vyhláška č. 467/2022 Sb., o změně sazby základní náhrady za používání silničních motorových vozidel a stravného a o stanovení průměrné ceny pohonných hmot pro účely poskytování cestovních náhrad pro rok 2023</w:t>
            </w:r>
            <w:r>
              <w:rPr>
                <w:rFonts w:asciiTheme="majorHAnsi" w:hAnsiTheme="majorHAnsi" w:cstheme="majorHAnsi"/>
                <w:color w:val="3B3B3B"/>
                <w:sz w:val="20"/>
                <w:szCs w:val="20"/>
              </w:rPr>
              <w:t>.</w:t>
            </w:r>
          </w:p>
          <w:p w14:paraId="0D10EB3B" w14:textId="5D1CDF0B" w:rsidR="00916FC4" w:rsidRPr="005C048D"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F61B049" w14:textId="0D7ACA12" w:rsidR="00C203E7" w:rsidRPr="005C048D" w:rsidRDefault="00916FC4" w:rsidP="00C203E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1DC2C892" w14:textId="67A16632" w:rsidR="00C203E7" w:rsidRPr="005C048D" w:rsidRDefault="00C203E7"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D4BF4DE" w14:textId="3A4E6102" w:rsidR="00916FC4" w:rsidRPr="005C048D" w:rsidRDefault="00916FC4"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Nařízení vlády č. 466/2022 Sb.,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 ve znění pozdějších předpisů  </w:t>
            </w:r>
            <w:r w:rsidR="009E03E7">
              <w:rPr>
                <w:rStyle w:val="Hypertextovodkaz"/>
                <w:rFonts w:ascii="Arial" w:eastAsia="Times New Roman" w:hAnsi="Arial" w:cs="Arial"/>
                <w:b/>
                <w:bCs/>
                <w:color w:val="auto"/>
                <w:kern w:val="36"/>
                <w:sz w:val="24"/>
                <w:szCs w:val="24"/>
                <w:u w:val="none"/>
                <w:lang w:eastAsia="cs-CZ"/>
              </w:rPr>
              <w:pict w14:anchorId="628B1906">
                <v:rect id="_x0000_i1028" style="width:0;height:1.5pt" o:hralign="center" o:hrstd="t" o:hr="t" fillcolor="#a0a0a0" stroked="f"/>
              </w:pict>
            </w:r>
          </w:p>
          <w:p w14:paraId="35FD9B87"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5D444A54"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1FE472E0" w14:textId="01425005"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30.12.2022 bylo ve Sbírce zákonů publikováno Nařízení vlády č. 466/2022 Sb.,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 ve znění pozdějších předpisů.</w:t>
            </w:r>
          </w:p>
          <w:p w14:paraId="1A17C69B"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1D2AE9E0"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35DA78D0" w14:textId="63DE950E" w:rsidR="00916FC4" w:rsidRPr="005C048D"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6D0917D2" w14:textId="10E3B60C"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ACBAD6C" w14:textId="42C8D184"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2D1A8128" w14:textId="6CD9AAF4"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75804128" w14:textId="545098BC"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33005238" w14:textId="2E5EF3BB"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BB9080E" w14:textId="5476C0A0"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6AC89529" w14:textId="77777777" w:rsidR="00A90466" w:rsidRPr="005C048D" w:rsidRDefault="00A90466"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0663370A" w14:textId="53050249" w:rsidR="00916FC4" w:rsidRPr="005C048D" w:rsidRDefault="00916FC4"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Nařízení vlády č. 465/2022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  </w:t>
            </w:r>
            <w:r w:rsidR="009E03E7">
              <w:rPr>
                <w:rStyle w:val="Hypertextovodkaz"/>
                <w:rFonts w:ascii="Arial" w:eastAsia="Times New Roman" w:hAnsi="Arial" w:cs="Arial"/>
                <w:b/>
                <w:bCs/>
                <w:color w:val="auto"/>
                <w:kern w:val="36"/>
                <w:sz w:val="24"/>
                <w:szCs w:val="24"/>
                <w:u w:val="none"/>
                <w:lang w:eastAsia="cs-CZ"/>
              </w:rPr>
              <w:pict w14:anchorId="68685A75">
                <v:rect id="_x0000_i1029" style="width:0;height:1.5pt" o:hralign="center" o:hrstd="t" o:hr="t" fillcolor="#a0a0a0" stroked="f"/>
              </w:pict>
            </w:r>
          </w:p>
          <w:p w14:paraId="274329C4"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56A60158"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398E6F33" w14:textId="12F22408"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30.12.2022 bylo ve Sbírce zákonů publikováno Nařízení vlády č. 465/2022 Sb.,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284CD663"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6C96C28"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5D2ED32D" w14:textId="77777777" w:rsidR="00916FC4" w:rsidRPr="005C048D" w:rsidRDefault="00916FC4" w:rsidP="00C203E7">
            <w:pPr>
              <w:pStyle w:val="text-large"/>
              <w:shd w:val="clear" w:color="auto" w:fill="FFFFFF"/>
              <w:spacing w:before="0" w:beforeAutospacing="0" w:after="0" w:afterAutospacing="0" w:line="408" w:lineRule="atLeast"/>
              <w:rPr>
                <w:rFonts w:asciiTheme="majorHAnsi" w:hAnsiTheme="majorHAnsi" w:cstheme="majorHAnsi"/>
                <w:sz w:val="20"/>
                <w:szCs w:val="20"/>
              </w:rPr>
            </w:pPr>
          </w:p>
          <w:p w14:paraId="68297076" w14:textId="33C00939" w:rsidR="00916FC4" w:rsidRPr="005C048D" w:rsidRDefault="00270CA7" w:rsidP="00916FC4">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Zákon č. 458/2022 Sb., kterým se zrušuje zákon č. 112/2016 Sb., o evidenci tržeb, ve znění pozdějších předpisů, a mění a zrušují další související právní předpisy  </w:t>
            </w:r>
            <w:r w:rsidR="00916FC4" w:rsidRPr="005C048D">
              <w:rPr>
                <w:rStyle w:val="Hypertextovodkaz"/>
                <w:rFonts w:ascii="Arial" w:eastAsia="Times New Roman" w:hAnsi="Arial" w:cs="Arial"/>
                <w:b/>
                <w:bCs/>
                <w:color w:val="auto"/>
                <w:kern w:val="36"/>
                <w:sz w:val="24"/>
                <w:szCs w:val="24"/>
                <w:u w:val="none"/>
                <w:lang w:eastAsia="cs-CZ"/>
              </w:rPr>
              <w:t xml:space="preserve">  </w:t>
            </w:r>
            <w:r w:rsidR="009E03E7">
              <w:rPr>
                <w:rStyle w:val="Hypertextovodkaz"/>
                <w:rFonts w:ascii="Arial" w:eastAsia="Times New Roman" w:hAnsi="Arial" w:cs="Arial"/>
                <w:b/>
                <w:bCs/>
                <w:color w:val="auto"/>
                <w:kern w:val="36"/>
                <w:sz w:val="24"/>
                <w:szCs w:val="24"/>
                <w:u w:val="none"/>
                <w:lang w:eastAsia="cs-CZ"/>
              </w:rPr>
              <w:pict w14:anchorId="022BDF7D">
                <v:rect id="_x0000_i1030" style="width:0;height:1.5pt" o:hralign="center" o:hrstd="t" o:hr="t" fillcolor="#a0a0a0" stroked="f"/>
              </w:pict>
            </w:r>
          </w:p>
          <w:p w14:paraId="18CC4599"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6F96CA2F" w14:textId="77777777" w:rsidR="00916FC4" w:rsidRPr="005C048D" w:rsidRDefault="00916FC4" w:rsidP="00916FC4">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06D7517B" w14:textId="73A98201" w:rsidR="00916FC4"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Dne </w:t>
            </w:r>
            <w:r w:rsidR="00270CA7" w:rsidRPr="005C048D">
              <w:rPr>
                <w:rFonts w:asciiTheme="majorHAnsi" w:hAnsiTheme="majorHAnsi" w:cstheme="majorHAnsi"/>
                <w:sz w:val="20"/>
                <w:szCs w:val="20"/>
              </w:rPr>
              <w:t>28</w:t>
            </w:r>
            <w:r w:rsidRPr="005C048D">
              <w:rPr>
                <w:rFonts w:asciiTheme="majorHAnsi" w:hAnsiTheme="majorHAnsi" w:cstheme="majorHAnsi"/>
                <w:sz w:val="20"/>
                <w:szCs w:val="20"/>
              </w:rPr>
              <w:t xml:space="preserve">.12.2022 byl ve Sbírce zákonů publikován </w:t>
            </w:r>
            <w:r w:rsidR="00270CA7" w:rsidRPr="005C048D">
              <w:rPr>
                <w:rFonts w:asciiTheme="majorHAnsi" w:hAnsiTheme="majorHAnsi" w:cstheme="majorHAnsi"/>
                <w:sz w:val="20"/>
                <w:szCs w:val="20"/>
              </w:rPr>
              <w:t>Zákon č. 458/2022 Sb., kterým se zrušuje zákon č. 112/2016 Sb., o evidenci tržeb, ve znění pozdějších předpisů, a mění a zrušují další související právní předpisy. S účinností k 1. 1. 2023 je zrušena zákonná povinnost evidovat tržby.</w:t>
            </w:r>
          </w:p>
          <w:p w14:paraId="48ED4391" w14:textId="5145FE65" w:rsidR="00B11A44" w:rsidRDefault="00B11A4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053D580A" w14:textId="23B997CC" w:rsidR="00B11A44" w:rsidRPr="005C048D" w:rsidRDefault="00B11A44" w:rsidP="00B11A44">
            <w:pPr>
              <w:pStyle w:val="text-large"/>
              <w:shd w:val="clear" w:color="auto" w:fill="FFFFFF"/>
              <w:spacing w:line="408" w:lineRule="atLeast"/>
              <w:jc w:val="both"/>
              <w:rPr>
                <w:rFonts w:asciiTheme="majorHAnsi" w:hAnsiTheme="majorHAnsi" w:cstheme="majorHAnsi"/>
                <w:sz w:val="20"/>
                <w:szCs w:val="20"/>
              </w:rPr>
            </w:pPr>
            <w:r>
              <w:rPr>
                <w:rFonts w:asciiTheme="majorHAnsi" w:hAnsiTheme="majorHAnsi" w:cstheme="majorHAnsi"/>
                <w:sz w:val="20"/>
                <w:szCs w:val="20"/>
              </w:rPr>
              <w:t>Dopad zrušení zákona byl věcně řešen v Materiálu pro jednání představenstva „</w:t>
            </w:r>
            <w:r w:rsidRPr="00B11A44">
              <w:rPr>
                <w:rFonts w:asciiTheme="majorHAnsi" w:hAnsiTheme="majorHAnsi" w:cstheme="majorHAnsi"/>
                <w:sz w:val="20"/>
                <w:szCs w:val="20"/>
              </w:rPr>
              <w:t>Ukončení elektronické evidence tržeb ve společnosti ČEPRO, a.s.</w:t>
            </w:r>
            <w:r>
              <w:rPr>
                <w:rFonts w:asciiTheme="majorHAnsi" w:hAnsiTheme="majorHAnsi" w:cstheme="majorHAnsi"/>
                <w:sz w:val="20"/>
                <w:szCs w:val="20"/>
              </w:rPr>
              <w:t xml:space="preserve">“ č. j. </w:t>
            </w:r>
            <w:r w:rsidRPr="00B11A44">
              <w:rPr>
                <w:rFonts w:asciiTheme="majorHAnsi" w:hAnsiTheme="majorHAnsi" w:cstheme="majorHAnsi"/>
                <w:sz w:val="20"/>
                <w:szCs w:val="20"/>
              </w:rPr>
              <w:t>006897/GŘ/2022-OD</w:t>
            </w:r>
            <w:r>
              <w:rPr>
                <w:rFonts w:asciiTheme="majorHAnsi" w:hAnsiTheme="majorHAnsi" w:cstheme="majorHAnsi"/>
                <w:sz w:val="20"/>
                <w:szCs w:val="20"/>
              </w:rPr>
              <w:t>.</w:t>
            </w:r>
          </w:p>
          <w:p w14:paraId="0D5D9E73" w14:textId="77777777" w:rsidR="00916FC4" w:rsidRPr="005C048D" w:rsidRDefault="00916FC4" w:rsidP="00916FC4">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5B944F2F" w14:textId="77777777" w:rsidR="00916FC4" w:rsidRPr="005C048D" w:rsidRDefault="00916FC4" w:rsidP="00916FC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50BA973B" w14:textId="1052F0A4" w:rsidR="00DE0025" w:rsidRPr="005C048D" w:rsidRDefault="00DE0025"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2DAFEB75" w14:textId="3A721CE5" w:rsidR="00270CA7" w:rsidRPr="005C048D" w:rsidRDefault="00270CA7" w:rsidP="00270CA7">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Zákon č. 455/2022 Sb., kterým se mění zákon č. 155/1995 Sb., o důchodovém pojištění, ve znění pozdějších předpisů, a některé další zákony  </w:t>
            </w:r>
            <w:r w:rsidR="009E03E7">
              <w:rPr>
                <w:rStyle w:val="Hypertextovodkaz"/>
                <w:rFonts w:ascii="Arial" w:eastAsia="Times New Roman" w:hAnsi="Arial" w:cs="Arial"/>
                <w:b/>
                <w:bCs/>
                <w:color w:val="auto"/>
                <w:kern w:val="36"/>
                <w:sz w:val="24"/>
                <w:szCs w:val="24"/>
                <w:u w:val="none"/>
                <w:lang w:eastAsia="cs-CZ"/>
              </w:rPr>
              <w:pict w14:anchorId="3321AB28">
                <v:rect id="_x0000_i1031" style="width:0;height:1.5pt" o:hralign="center" o:hrstd="t" o:hr="t" fillcolor="#a0a0a0" stroked="f"/>
              </w:pict>
            </w:r>
          </w:p>
          <w:p w14:paraId="50E8BDBF" w14:textId="77777777" w:rsidR="00270CA7" w:rsidRPr="005C048D" w:rsidRDefault="00270CA7" w:rsidP="00270CA7">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0BC424DA" w14:textId="77777777" w:rsidR="00270CA7" w:rsidRPr="005C048D" w:rsidRDefault="00270CA7" w:rsidP="00270CA7">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7EC67836" w14:textId="235B6398" w:rsidR="00270CA7" w:rsidRPr="005C048D" w:rsidRDefault="00270CA7" w:rsidP="00270CA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lastRenderedPageBreak/>
              <w:t>Dne 28.12.2022 byl ve Sbírce zákonů publikován Zákon č. 455/2022 Sb., kterým se mění zákon č. 155/1995 Sb., o důchodovém pojištění, ve znění pozdějších předpisů, a některé další zákony.</w:t>
            </w:r>
          </w:p>
          <w:p w14:paraId="04087A9D" w14:textId="54549BF2" w:rsidR="00270CA7" w:rsidRPr="005C048D" w:rsidRDefault="00270CA7" w:rsidP="00270CA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4CEF749F" w14:textId="37F02718" w:rsidR="00270CA7" w:rsidRPr="005C048D" w:rsidRDefault="00270CA7" w:rsidP="00270CA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Novela zakotvuje nárok na dřívější odchod do důchodu pro podnikové hasiče, a to za podmínky, že odpracovali 4400 směn. Důchodový věk se stanoví tak, že se od standardního důchodového věku odečte 30 kalendářních měsíců za prvních 4400 směn a 1 kalendářní měsíc za každých dalších 74 směn.</w:t>
            </w:r>
          </w:p>
          <w:p w14:paraId="1EFEB897" w14:textId="77777777" w:rsidR="00270CA7" w:rsidRPr="005C048D" w:rsidRDefault="00270CA7" w:rsidP="00270CA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4190FB9A" w14:textId="4F5405DD" w:rsidR="00B11A44" w:rsidRPr="005C048D" w:rsidRDefault="00B11A44" w:rsidP="00B11A44">
            <w:pPr>
              <w:pStyle w:val="Bezmezer"/>
              <w:shd w:val="clear" w:color="auto" w:fill="D9D9D9" w:themeFill="background1" w:themeFillShade="D9"/>
              <w:spacing w:line="276" w:lineRule="auto"/>
              <w:jc w:val="both"/>
              <w:rPr>
                <w:rStyle w:val="Hypertextovodkaz"/>
                <w:rFonts w:ascii="Arial" w:eastAsia="Times New Roman" w:hAnsi="Arial" w:cs="Arial"/>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 xml:space="preserve">Úkol: </w:t>
            </w:r>
            <w:r w:rsidRPr="005C048D">
              <w:rPr>
                <w:rStyle w:val="Hypertextovodkaz"/>
                <w:rFonts w:ascii="Arial" w:eastAsia="Times New Roman" w:hAnsi="Arial" w:cs="Arial"/>
                <w:bCs/>
                <w:i/>
                <w:color w:val="auto"/>
                <w:kern w:val="36"/>
                <w:sz w:val="20"/>
                <w:szCs w:val="20"/>
                <w:u w:val="none"/>
                <w:lang w:eastAsia="cs-CZ"/>
              </w:rPr>
              <w:t>O</w:t>
            </w:r>
            <w:r>
              <w:rPr>
                <w:rStyle w:val="Hypertextovodkaz"/>
                <w:rFonts w:ascii="Arial" w:eastAsia="Times New Roman" w:hAnsi="Arial" w:cs="Arial"/>
                <w:bCs/>
                <w:i/>
                <w:color w:val="auto"/>
                <w:kern w:val="36"/>
                <w:sz w:val="20"/>
                <w:szCs w:val="20"/>
                <w:u w:val="none"/>
                <w:lang w:eastAsia="cs-CZ"/>
              </w:rPr>
              <w:t xml:space="preserve">ŘLZ a OHSE </w:t>
            </w:r>
            <w:r w:rsidRPr="005C048D">
              <w:rPr>
                <w:rStyle w:val="Hypertextovodkaz"/>
                <w:rFonts w:ascii="Arial" w:eastAsia="Times New Roman" w:hAnsi="Arial" w:cs="Arial"/>
                <w:bCs/>
                <w:i/>
                <w:color w:val="auto"/>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21120FA" w14:textId="77777777" w:rsidR="00B11A44" w:rsidRPr="005C048D" w:rsidRDefault="00B11A44" w:rsidP="00B11A44">
            <w:pPr>
              <w:pStyle w:val="Bezmezer"/>
              <w:shd w:val="clear" w:color="auto" w:fill="D9D9D9" w:themeFill="background1" w:themeFillShade="D9"/>
              <w:spacing w:line="276" w:lineRule="auto"/>
              <w:jc w:val="both"/>
              <w:rPr>
                <w:rStyle w:val="Hypertextovodkaz"/>
                <w:rFonts w:ascii="Arial" w:eastAsia="Times New Roman" w:hAnsi="Arial" w:cs="Arial"/>
                <w:bCs/>
                <w:i/>
                <w:color w:val="auto"/>
                <w:kern w:val="36"/>
                <w:sz w:val="20"/>
                <w:szCs w:val="20"/>
                <w:u w:val="none"/>
                <w:lang w:eastAsia="cs-CZ"/>
              </w:rPr>
            </w:pPr>
          </w:p>
          <w:p w14:paraId="162B1574" w14:textId="7964A573" w:rsidR="00B11A44" w:rsidRPr="005C048D" w:rsidRDefault="00B11A44" w:rsidP="00B11A44">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 xml:space="preserve">Odpovědný útvar: </w:t>
            </w:r>
            <w:r>
              <w:rPr>
                <w:rStyle w:val="Hypertextovodkaz"/>
                <w:rFonts w:ascii="Arial" w:eastAsia="Times New Roman" w:hAnsi="Arial" w:cs="Arial"/>
                <w:i/>
                <w:color w:val="auto"/>
                <w:kern w:val="36"/>
                <w:sz w:val="20"/>
                <w:szCs w:val="20"/>
                <w:u w:val="none"/>
                <w:lang w:eastAsia="cs-CZ"/>
              </w:rPr>
              <w:t>OŘLZ – Mgr. Šárka Šolcová, OHSE – Ing. Zdeněk Stejskal</w:t>
            </w:r>
            <w:r w:rsidRPr="005C048D">
              <w:rPr>
                <w:rStyle w:val="Hypertextovodkaz"/>
                <w:rFonts w:ascii="Arial" w:eastAsia="Times New Roman" w:hAnsi="Arial" w:cs="Arial"/>
                <w:bCs/>
                <w:i/>
                <w:color w:val="auto"/>
                <w:kern w:val="36"/>
                <w:sz w:val="20"/>
                <w:szCs w:val="20"/>
                <w:u w:val="none"/>
                <w:lang w:eastAsia="cs-CZ"/>
              </w:rPr>
              <w:t xml:space="preserve"> </w:t>
            </w:r>
            <w:r w:rsidRPr="005C048D">
              <w:rPr>
                <w:rStyle w:val="Hypertextovodkaz"/>
                <w:rFonts w:ascii="Arial" w:eastAsia="Times New Roman" w:hAnsi="Arial" w:cs="Arial"/>
                <w:bCs/>
                <w:i/>
                <w:color w:val="auto"/>
                <w:kern w:val="36"/>
                <w:sz w:val="20"/>
                <w:szCs w:val="20"/>
                <w:u w:val="none"/>
                <w:lang w:eastAsia="cs-CZ"/>
              </w:rPr>
              <w:tab/>
            </w:r>
            <w:r w:rsidRPr="005C048D">
              <w:rPr>
                <w:rStyle w:val="Hypertextovodkaz"/>
                <w:rFonts w:ascii="Arial" w:eastAsia="Times New Roman" w:hAnsi="Arial" w:cs="Arial"/>
                <w:b/>
                <w:bCs/>
                <w:i/>
                <w:color w:val="auto"/>
                <w:kern w:val="36"/>
                <w:sz w:val="20"/>
                <w:szCs w:val="20"/>
                <w:u w:val="none"/>
                <w:lang w:eastAsia="cs-CZ"/>
              </w:rPr>
              <w:t>Termín:</w:t>
            </w:r>
            <w:r w:rsidRPr="005C048D">
              <w:rPr>
                <w:rStyle w:val="Hypertextovodkaz"/>
                <w:rFonts w:ascii="Arial" w:eastAsia="Times New Roman" w:hAnsi="Arial" w:cs="Arial"/>
                <w:bCs/>
                <w:i/>
                <w:color w:val="auto"/>
                <w:kern w:val="36"/>
                <w:sz w:val="20"/>
                <w:szCs w:val="20"/>
                <w:u w:val="none"/>
                <w:lang w:eastAsia="cs-CZ"/>
              </w:rPr>
              <w:t xml:space="preserve">  </w:t>
            </w:r>
            <w:r w:rsidRPr="005C048D">
              <w:rPr>
                <w:rStyle w:val="Hypertextovodkaz"/>
                <w:rFonts w:ascii="Arial" w:eastAsia="Times New Roman" w:hAnsi="Arial" w:cs="Arial"/>
                <w:b/>
                <w:bCs/>
                <w:i/>
                <w:color w:val="auto"/>
                <w:kern w:val="36"/>
                <w:sz w:val="20"/>
                <w:szCs w:val="20"/>
                <w:u w:val="none"/>
                <w:lang w:eastAsia="cs-CZ"/>
              </w:rPr>
              <w:t>28.2.2023</w:t>
            </w:r>
          </w:p>
          <w:p w14:paraId="7A466822" w14:textId="77777777" w:rsidR="00F55857" w:rsidRPr="005C048D" w:rsidRDefault="00F55857" w:rsidP="00916FC4">
            <w:pPr>
              <w:pStyle w:val="Bezmezer"/>
              <w:tabs>
                <w:tab w:val="left" w:pos="4308"/>
              </w:tabs>
              <w:jc w:val="both"/>
              <w:rPr>
                <w:rStyle w:val="Hypertextovodkaz"/>
                <w:rFonts w:ascii="Arial" w:eastAsia="Times New Roman" w:hAnsi="Arial" w:cs="Arial"/>
                <w:color w:val="auto"/>
                <w:kern w:val="36"/>
                <w:lang w:eastAsia="cs-CZ"/>
              </w:rPr>
            </w:pPr>
          </w:p>
          <w:p w14:paraId="635FBC76" w14:textId="1269042D" w:rsidR="00F55857" w:rsidRPr="005C048D" w:rsidRDefault="00F55857" w:rsidP="00F55857">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Vyhláška č. 452/2022 Sb., kterou se mění vyhláška č. 79/2013 Sb., o provedení některých ustanovení zákona č. 373/2011 Sb., o specifických zdravotních službách, (vyhláška o pracovnělékařských službách a některých druzích posudkové péče), ve znění vyhlášky č. 436/2017 Sb.    </w:t>
            </w:r>
            <w:r w:rsidR="009E03E7">
              <w:rPr>
                <w:rStyle w:val="Hypertextovodkaz"/>
                <w:rFonts w:ascii="Arial" w:eastAsia="Times New Roman" w:hAnsi="Arial" w:cs="Arial"/>
                <w:b/>
                <w:bCs/>
                <w:color w:val="auto"/>
                <w:kern w:val="36"/>
                <w:sz w:val="24"/>
                <w:szCs w:val="24"/>
                <w:u w:val="none"/>
                <w:lang w:eastAsia="cs-CZ"/>
              </w:rPr>
              <w:pict w14:anchorId="716C50AC">
                <v:rect id="_x0000_i1032" style="width:0;height:1.5pt" o:hralign="center" o:hrstd="t" o:hr="t" fillcolor="#a0a0a0" stroked="f"/>
              </w:pict>
            </w:r>
          </w:p>
          <w:p w14:paraId="6ACDDCF2" w14:textId="77777777" w:rsidR="00F55857" w:rsidRPr="005C048D" w:rsidRDefault="00F55857" w:rsidP="00F55857">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76A22732" w14:textId="77777777" w:rsidR="00F55857" w:rsidRPr="005C048D" w:rsidRDefault="00F55857" w:rsidP="00F55857">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72594183" w14:textId="22479C14" w:rsidR="00F55857" w:rsidRPr="005C048D" w:rsidRDefault="00F55857" w:rsidP="00F5585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28.12.2022 byl</w:t>
            </w:r>
            <w:r w:rsidR="00234F1D" w:rsidRPr="005C048D">
              <w:rPr>
                <w:rFonts w:asciiTheme="majorHAnsi" w:hAnsiTheme="majorHAnsi" w:cstheme="majorHAnsi"/>
                <w:sz w:val="20"/>
                <w:szCs w:val="20"/>
              </w:rPr>
              <w:t>a</w:t>
            </w:r>
            <w:r w:rsidRPr="005C048D">
              <w:rPr>
                <w:rFonts w:asciiTheme="majorHAnsi" w:hAnsiTheme="majorHAnsi" w:cstheme="majorHAnsi"/>
                <w:sz w:val="20"/>
                <w:szCs w:val="20"/>
              </w:rPr>
              <w:t xml:space="preserve"> ve Sbírce zákonů publikován</w:t>
            </w:r>
            <w:r w:rsidR="00234F1D" w:rsidRPr="005C048D">
              <w:rPr>
                <w:rFonts w:asciiTheme="majorHAnsi" w:hAnsiTheme="majorHAnsi" w:cstheme="majorHAnsi"/>
                <w:sz w:val="20"/>
                <w:szCs w:val="20"/>
              </w:rPr>
              <w:t>a</w:t>
            </w:r>
            <w:r w:rsidRPr="005C048D">
              <w:rPr>
                <w:rFonts w:asciiTheme="majorHAnsi" w:hAnsiTheme="majorHAnsi" w:cstheme="majorHAnsi"/>
                <w:sz w:val="20"/>
                <w:szCs w:val="20"/>
              </w:rPr>
              <w:t xml:space="preserve"> </w:t>
            </w:r>
            <w:r w:rsidR="00234F1D" w:rsidRPr="005C048D">
              <w:rPr>
                <w:rFonts w:asciiTheme="majorHAnsi" w:hAnsiTheme="majorHAnsi" w:cstheme="majorHAnsi"/>
                <w:sz w:val="20"/>
                <w:szCs w:val="20"/>
              </w:rPr>
              <w:t xml:space="preserve">Vyhláška č. 452/2022 Sb., kterou se mění vyhláška č. 79/2013 Sb., o provedení některých ustanovení zákona č. 373/2011 Sb., o specifických zdravotních službách, (vyhláška o pracovnělékařských službách a některých druzích posudkové péče), ve znění vyhlášky č. 436/2017 Sb.    </w:t>
            </w:r>
          </w:p>
          <w:p w14:paraId="3B845FDD" w14:textId="6C05ED7F" w:rsidR="00234F1D" w:rsidRPr="005C048D" w:rsidRDefault="00234F1D" w:rsidP="00234F1D">
            <w:pPr>
              <w:pStyle w:val="text-large"/>
              <w:shd w:val="clear" w:color="auto" w:fill="FFFFFF"/>
              <w:spacing w:line="408" w:lineRule="atLeast"/>
              <w:jc w:val="both"/>
              <w:rPr>
                <w:rFonts w:asciiTheme="majorHAnsi" w:hAnsiTheme="majorHAnsi" w:cstheme="majorHAnsi"/>
                <w:sz w:val="20"/>
                <w:szCs w:val="20"/>
              </w:rPr>
            </w:pPr>
            <w:r w:rsidRPr="005C048D">
              <w:rPr>
                <w:rFonts w:asciiTheme="majorHAnsi" w:hAnsiTheme="majorHAnsi" w:cstheme="majorHAnsi"/>
                <w:sz w:val="20"/>
                <w:szCs w:val="20"/>
              </w:rPr>
              <w:t>Novela vyhlášky odstraňuje aplikační nedostatky u vstupních, periodických a mimořádných pracovnělékařských prohlídek s tím, že jsou nově nastavena pravidla při zajišťování vstupních a periodických prohlídek zaměstnavatelem.</w:t>
            </w:r>
          </w:p>
          <w:p w14:paraId="785BF651" w14:textId="0C5AD4B9" w:rsidR="00F55857" w:rsidRPr="005C048D" w:rsidRDefault="00187880" w:rsidP="00234F1D">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Novela byla předmětem monitoringu 11/2022 a věcně posouzena ze strany OHSE, které přijme implementační opatření. </w:t>
            </w:r>
          </w:p>
          <w:p w14:paraId="139F64B3" w14:textId="77777777" w:rsidR="00187880" w:rsidRPr="005C048D" w:rsidRDefault="00187880" w:rsidP="00234F1D">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7B057EDA" w14:textId="77777777" w:rsidR="00F55857" w:rsidRPr="005C048D" w:rsidRDefault="00F55857" w:rsidP="00F5585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1CE07419" w14:textId="1C641262" w:rsidR="00F55857" w:rsidRPr="005C048D" w:rsidRDefault="00F55857" w:rsidP="00F55857">
            <w:pPr>
              <w:pStyle w:val="Bezmezer"/>
              <w:tabs>
                <w:tab w:val="left" w:pos="4308"/>
              </w:tabs>
              <w:jc w:val="both"/>
              <w:rPr>
                <w:rStyle w:val="Hypertextovodkaz"/>
                <w:rFonts w:ascii="Arial" w:eastAsia="Times New Roman" w:hAnsi="Arial" w:cs="Arial"/>
                <w:color w:val="auto"/>
                <w:kern w:val="36"/>
                <w:lang w:eastAsia="cs-CZ"/>
              </w:rPr>
            </w:pPr>
          </w:p>
          <w:p w14:paraId="4621FA57" w14:textId="77777777" w:rsidR="001E4C6C" w:rsidRPr="005C048D" w:rsidRDefault="001E4C6C" w:rsidP="00F55857">
            <w:pPr>
              <w:pStyle w:val="Bezmezer"/>
              <w:tabs>
                <w:tab w:val="left" w:pos="4308"/>
              </w:tabs>
              <w:jc w:val="both"/>
              <w:rPr>
                <w:rStyle w:val="Hypertextovodkaz"/>
                <w:rFonts w:ascii="Arial" w:eastAsia="Times New Roman" w:hAnsi="Arial" w:cs="Arial"/>
                <w:color w:val="auto"/>
                <w:kern w:val="36"/>
                <w:lang w:eastAsia="cs-CZ"/>
              </w:rPr>
            </w:pPr>
          </w:p>
          <w:p w14:paraId="5F136888" w14:textId="3B3B835D" w:rsidR="001E4C6C" w:rsidRPr="005C048D" w:rsidRDefault="001E4C6C" w:rsidP="001E4C6C">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Nařízení vlády č. 451/2022 Sb., kterým se mění nařízení vlády č. 276/2015 Sb., o odškodňování bolesti a ztížení společenského uplatnění způsobené pracovním úrazem nebo nemocí z povolání, ve znění nařízení vlády č. 224/2016 Sb., a nařízení vlády č. 290/1995 Sb., kterým se stanoví seznam nemocí z povolání, ve znění pozdějších </w:t>
            </w:r>
            <w:r w:rsidRPr="005C048D">
              <w:rPr>
                <w:rStyle w:val="Hypertextovodkaz"/>
                <w:rFonts w:ascii="Arial" w:eastAsia="Times New Roman" w:hAnsi="Arial" w:cs="Arial"/>
                <w:b/>
                <w:bCs/>
                <w:color w:val="auto"/>
                <w:kern w:val="36"/>
                <w:sz w:val="24"/>
                <w:szCs w:val="24"/>
                <w:u w:val="none"/>
                <w:lang w:eastAsia="cs-CZ"/>
              </w:rPr>
              <w:lastRenderedPageBreak/>
              <w:t xml:space="preserve">předpisů  </w:t>
            </w:r>
            <w:r w:rsidR="009E03E7">
              <w:rPr>
                <w:rStyle w:val="Hypertextovodkaz"/>
                <w:rFonts w:ascii="Arial" w:eastAsia="Times New Roman" w:hAnsi="Arial" w:cs="Arial"/>
                <w:b/>
                <w:bCs/>
                <w:color w:val="auto"/>
                <w:kern w:val="36"/>
                <w:sz w:val="24"/>
                <w:szCs w:val="24"/>
                <w:u w:val="none"/>
                <w:lang w:eastAsia="cs-CZ"/>
              </w:rPr>
              <w:pict w14:anchorId="54A1D273">
                <v:rect id="_x0000_i1033" style="width:0;height:1.5pt" o:hralign="center" o:hrstd="t" o:hr="t" fillcolor="#a0a0a0" stroked="f"/>
              </w:pict>
            </w:r>
          </w:p>
          <w:p w14:paraId="069E12AF" w14:textId="77777777" w:rsidR="001E4C6C" w:rsidRPr="005C048D" w:rsidRDefault="001E4C6C" w:rsidP="001E4C6C">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793F7EEA" w14:textId="77777777" w:rsidR="001E4C6C" w:rsidRPr="005C048D" w:rsidRDefault="001E4C6C" w:rsidP="001E4C6C">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13F4D1D1" w14:textId="0A410B24" w:rsidR="001E4C6C" w:rsidRPr="005C048D" w:rsidRDefault="001E4C6C" w:rsidP="001E4C6C">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28.12.2022 bylo ve Sbírce zákonů publikováno Nařízení vlády č. 451/2022 Sb., kterým se mění nařízení vlády č. 276/2015 Sb., o odškodňování bolesti a ztížení společenského uplatnění způsobené pracovním úrazem nebo nemocí z povolání, ve znění nařízení vlády č. 224/2016 Sb., a nařízení vlády č. 290/1995 Sb., kterým se stanoví seznam nemocí z povolání, ve znění pozdějších předpisů.</w:t>
            </w:r>
          </w:p>
          <w:p w14:paraId="6C697AF2" w14:textId="77777777" w:rsidR="001E4C6C" w:rsidRPr="005C048D" w:rsidRDefault="001E4C6C" w:rsidP="001E4C6C">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59E796C" w14:textId="77777777" w:rsidR="001E4C6C" w:rsidRPr="005C048D" w:rsidRDefault="001E4C6C" w:rsidP="001E4C6C">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520E709B" w14:textId="0474CFDA" w:rsidR="00270CA7" w:rsidRPr="005C048D" w:rsidRDefault="00270CA7"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4998FED3" w14:textId="5099075A" w:rsidR="00B96FB3" w:rsidRPr="005C048D" w:rsidRDefault="00B96FB3" w:rsidP="00B96FB3">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Nařízení vlády č. 442/2022 Sb., kterým se mění nařízení vlády č. 298/2022 Sb., o stanovení cen elektřiny a plynu v mimořádné tržní situaci, ve znění nařízení vlády č. 343/2022 Sb.  </w:t>
            </w:r>
            <w:r w:rsidR="009E03E7">
              <w:rPr>
                <w:rStyle w:val="Hypertextovodkaz"/>
                <w:rFonts w:ascii="Arial" w:eastAsia="Times New Roman" w:hAnsi="Arial" w:cs="Arial"/>
                <w:b/>
                <w:bCs/>
                <w:color w:val="auto"/>
                <w:kern w:val="36"/>
                <w:sz w:val="24"/>
                <w:szCs w:val="24"/>
                <w:u w:val="none"/>
                <w:lang w:eastAsia="cs-CZ"/>
              </w:rPr>
              <w:pict w14:anchorId="4A30B4E8">
                <v:rect id="_x0000_i1034" style="width:0;height:1.5pt" o:hralign="center" o:hrstd="t" o:hr="t" fillcolor="#a0a0a0" stroked="f"/>
              </w:pict>
            </w:r>
          </w:p>
          <w:p w14:paraId="0D74B6A1" w14:textId="77777777" w:rsidR="00B96FB3" w:rsidRPr="005C048D" w:rsidRDefault="00B96FB3" w:rsidP="00B96FB3">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518EE706" w14:textId="77777777" w:rsidR="00B96FB3" w:rsidRPr="005C048D" w:rsidRDefault="00B96FB3" w:rsidP="00B96FB3">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5DD47EC5" w14:textId="2F48C90F" w:rsidR="00B96FB3" w:rsidRPr="005C048D" w:rsidRDefault="00B96FB3" w:rsidP="00B96FB3">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Dne 28.12.2022 bylo ve Sbírce zákonů publikováno </w:t>
            </w:r>
            <w:r w:rsidR="007E4EC7" w:rsidRPr="005C048D">
              <w:rPr>
                <w:rFonts w:asciiTheme="majorHAnsi" w:hAnsiTheme="majorHAnsi" w:cstheme="majorHAnsi"/>
                <w:sz w:val="20"/>
                <w:szCs w:val="20"/>
              </w:rPr>
              <w:t xml:space="preserve">Nařízení vlády č. 442/2022 Sb., kterým se mění nařízení vlády č. 298/2022 Sb., o stanovení cen elektřiny a plynu v mimořádné tržní situaci, ve znění nařízení vlády č. 343/2022 Sb.  </w:t>
            </w:r>
          </w:p>
          <w:p w14:paraId="7AB24C5F" w14:textId="79184048" w:rsidR="007E4EC7" w:rsidRPr="005C048D" w:rsidRDefault="007E4EC7" w:rsidP="007E4EC7">
            <w:pPr>
              <w:pStyle w:val="text-large"/>
              <w:shd w:val="clear" w:color="auto" w:fill="FFFFFF"/>
              <w:spacing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Novela nařízení rozšiřuje kategorie zákazníků se stanovenou cenou elektřiny a plynu o zákazníky, na které se stanovení cen elektřiny nebo plynu podle nařízení vlády č. 298/2022 Sb., ve znění nařízení vlády č. 343/2022 Sb., dosud nevztahovalo a kteří budou moci využít dodávky elektřiny nebo plynu za stanovenou cenu v režimu podpory upraveném výše uvedeným Dočasným krizovým rámcem. </w:t>
            </w:r>
          </w:p>
          <w:p w14:paraId="7B368D59" w14:textId="77777777" w:rsidR="006F7E18" w:rsidRPr="005C048D" w:rsidRDefault="006F7E18" w:rsidP="006F7E18">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Nařízení tak nastavuje a zajišťuje pomoc s vysokými cenami elektřiny a plynu nejen ve vztahu k domácnostem, malým a středním podnikům, vládním institucím, státním podnikům, sportovním organizacím, školám, poskytovatelům zdravotních a sociálních služeb, provozovatelům vodovodu nebo kanalizace, poskytovatelům veřejných kulturních služeb či provozovatelům veřejné dopravy, ale nově také podnikatelským subjektům, které nesplňují kritéria malého nebo středního podniku, tedy velkým podnikům.</w:t>
            </w:r>
          </w:p>
          <w:p w14:paraId="76D98C3C" w14:textId="37D7C9BF" w:rsidR="006F7E18" w:rsidRPr="005C048D" w:rsidRDefault="006F7E18" w:rsidP="006F7E18">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6C6374A2" w14:textId="05E4276A"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b/>
                <w:bCs/>
                <w:sz w:val="20"/>
                <w:szCs w:val="20"/>
              </w:rPr>
            </w:pPr>
            <w:r w:rsidRPr="005C048D">
              <w:rPr>
                <w:rFonts w:asciiTheme="majorHAnsi" w:hAnsiTheme="majorHAnsi" w:cstheme="majorHAnsi"/>
                <w:b/>
                <w:bCs/>
                <w:sz w:val="20"/>
                <w:szCs w:val="20"/>
              </w:rPr>
              <w:t>Věcné posouzení ze strany OPS:</w:t>
            </w:r>
          </w:p>
          <w:p w14:paraId="1CDDE872" w14:textId="77777777"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Ve vztahu ke společnosti ČEPRO vyplynuly následující závěry:</w:t>
            </w:r>
          </w:p>
          <w:p w14:paraId="3ABB9245" w14:textId="77777777"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U elektrické energie splňuje ČEPRO kategorii zákazníků § 4 odst. 1 písm. a) a § 4 odst. 2 písm. b).</w:t>
            </w:r>
            <w:r w:rsidRPr="005C048D">
              <w:rPr>
                <w:rFonts w:asciiTheme="majorHAnsi" w:hAnsiTheme="majorHAnsi" w:cstheme="majorHAnsi"/>
                <w:sz w:val="20"/>
                <w:szCs w:val="20"/>
              </w:rPr>
              <w:br/>
              <w:t>Je tak nutné  vyplnit v souladu s ustanovením § 6 odst. 4 nařízení přílohu č. 7.</w:t>
            </w:r>
          </w:p>
          <w:p w14:paraId="37A6921E" w14:textId="6B4716E1"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lastRenderedPageBreak/>
              <w:t>- U plynu ČEPRO, a.s. naplňuje kategorii zákazníka § 4 odst. 3 písm. a)  a § 4 odst. 4 písm. b). nařízení.</w:t>
            </w:r>
          </w:p>
          <w:p w14:paraId="29C0AAAF" w14:textId="77777777"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S ohledem na skutečnost, že  ČEPRO, a.s. využívá  plyn i k výrobě tepelné energie na vytápění a přípravu teplé vody, bylo nutné se zaobírat otázkou, zda nenaplňuje kvalitu zákazníka podle § 4 odst. 4 písm. c) nařízení.  Problematické se především jevila skutečnost, že v rámci definice daného zákazníka bylo použito jako podmínka, že v odběrném místě  je instalován zdroj tepelné energie pro výrobu tepelné energie pro jeden objekt jednoho zákazníka.</w:t>
            </w:r>
          </w:p>
          <w:p w14:paraId="1AA61A87" w14:textId="0947FCFA"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Nařízení primárně používá označení zákazník pro osoby, kterým jsou dodávány samotný plyn a elektrická energie. Nařízení neobsahuje ustanovení obsahující definici jednotlivých pojmů. Nebylo tak zřejmé, zda zákazník (odběratel plynu/elektřiny) není totožný se zákazníkem uvedeným v ustanovení § 4 odst.4 písm. c) a zda tedy dané ustanovení nedopadá pro  </w:t>
            </w:r>
          </w:p>
          <w:p w14:paraId="7154701A" w14:textId="77777777" w:rsidR="006F7E18" w:rsidRPr="005C048D" w:rsidRDefault="006F7E18" w:rsidP="006F7E18">
            <w:pPr>
              <w:pStyle w:val="text-large"/>
              <w:shd w:val="clear" w:color="auto" w:fill="D9D9D9" w:themeFill="background1" w:themeFillShade="D9"/>
              <w:spacing w:line="408" w:lineRule="atLeast"/>
              <w:jc w:val="both"/>
              <w:rPr>
                <w:rFonts w:asciiTheme="majorHAnsi" w:hAnsiTheme="majorHAnsi" w:cstheme="majorHAnsi"/>
                <w:sz w:val="20"/>
                <w:szCs w:val="20"/>
              </w:rPr>
            </w:pPr>
            <w:r w:rsidRPr="005C048D">
              <w:rPr>
                <w:rFonts w:asciiTheme="majorHAnsi" w:hAnsiTheme="majorHAnsi" w:cstheme="majorHAnsi"/>
                <w:sz w:val="20"/>
                <w:szCs w:val="20"/>
              </w:rPr>
              <w:t>S ohledem na skutečnost, že nařízení bylo přijato k provedení zákona č. 458/2000 Sb., o podmínkách podnikání a o výkonu státní správy v energetických odvětvích a o změně některých zákonů (energetický zákon), v platném znění (dále také jen EZ) je pravděpodobné, že normotvůrce hodlal využívat totožnou terminologii jako v EZ.   EZ zákon obsahuje tři definice zákazníka, a to v návaznosti na odvětví, ve kterém se daná definic uplatňuje (v elektroenergetice - § 2 odst. 2 písm. a) bod 17 EZ; v plynárenství § 2 odst. 2 písm. b) bod 25 EZ a v teplárenství § 2 odst. 2 písm. c) bod 4 EZ) . Dále  EZ stanoví, že objektem je stavba nebo stavby propojené společným odběrným tepelným zařízením (§ 2 odst. 2 písm. c) bod 4 EZ.</w:t>
            </w:r>
          </w:p>
          <w:p w14:paraId="1B82706C" w14:textId="6FCA1D6D" w:rsidR="006F7E18" w:rsidRPr="005C048D" w:rsidRDefault="006F7E18" w:rsidP="006F7E18">
            <w:pPr>
              <w:pStyle w:val="text-large"/>
              <w:shd w:val="clear" w:color="auto" w:fill="D9D9D9" w:themeFill="background1" w:themeFillShade="D9"/>
              <w:spacing w:line="408" w:lineRule="atLeast"/>
              <w:jc w:val="both"/>
              <w:rPr>
                <w:rFonts w:asciiTheme="majorHAnsi" w:hAnsiTheme="majorHAnsi" w:cstheme="majorHAnsi"/>
                <w:sz w:val="20"/>
                <w:szCs w:val="20"/>
              </w:rPr>
            </w:pPr>
            <w:r w:rsidRPr="005C048D">
              <w:rPr>
                <w:rFonts w:asciiTheme="majorHAnsi" w:hAnsiTheme="majorHAnsi" w:cstheme="majorHAnsi"/>
                <w:sz w:val="20"/>
                <w:szCs w:val="20"/>
              </w:rPr>
              <w:t>Současně ustanovení § 3 odst. 4 písm. b) EZ stanoví, že licence se nevyžaduje a výrobu tepelné energie určené pro jeden objekt jednoho zákazník.</w:t>
            </w:r>
          </w:p>
          <w:p w14:paraId="2E03E2C0" w14:textId="77777777" w:rsidR="006F7E18" w:rsidRPr="005C048D" w:rsidRDefault="006F7E18" w:rsidP="006F7E18">
            <w:pPr>
              <w:pStyle w:val="text-large"/>
              <w:shd w:val="clear" w:color="auto" w:fill="D9D9D9" w:themeFill="background1" w:themeFillShade="D9"/>
              <w:spacing w:line="408" w:lineRule="atLeast"/>
              <w:jc w:val="both"/>
              <w:rPr>
                <w:rFonts w:asciiTheme="majorHAnsi" w:hAnsiTheme="majorHAnsi" w:cstheme="majorHAnsi"/>
                <w:sz w:val="20"/>
                <w:szCs w:val="20"/>
              </w:rPr>
            </w:pPr>
            <w:r w:rsidRPr="005C048D">
              <w:rPr>
                <w:rFonts w:asciiTheme="majorHAnsi" w:hAnsiTheme="majorHAnsi" w:cstheme="majorHAnsi"/>
                <w:sz w:val="20"/>
                <w:szCs w:val="20"/>
              </w:rPr>
              <w:t>S ohledem na výše uvedené je tedy (v optice terminologie EZ) nutné vnímat ustanovení § 4 odst. 4 písm. c) nařízení takto: „poměrnou část dodávky plynu spotřebovaného na výrobu tepelné energie na vytápění a přípravu teplé užitkové vody v odběrném místě zákazníka (</w:t>
            </w:r>
            <w:r w:rsidRPr="005C048D">
              <w:rPr>
                <w:rFonts w:asciiTheme="majorHAnsi" w:hAnsiTheme="majorHAnsi" w:cstheme="majorHAnsi"/>
                <w:b/>
                <w:bCs/>
                <w:sz w:val="20"/>
                <w:szCs w:val="20"/>
              </w:rPr>
              <w:t>v plynárenství</w:t>
            </w:r>
            <w:r w:rsidRPr="005C048D">
              <w:rPr>
                <w:rFonts w:asciiTheme="majorHAnsi" w:hAnsiTheme="majorHAnsi" w:cstheme="majorHAnsi"/>
                <w:sz w:val="20"/>
                <w:szCs w:val="20"/>
              </w:rPr>
              <w:t>) , a ve kterém je instalována domovní kotelna nebo zdroj tepelné energie pro výrobu tepelné energie pro jeden objekt jednoho zákazníka (</w:t>
            </w:r>
            <w:r w:rsidRPr="005C048D">
              <w:rPr>
                <w:rFonts w:asciiTheme="majorHAnsi" w:hAnsiTheme="majorHAnsi" w:cstheme="majorHAnsi"/>
                <w:b/>
                <w:bCs/>
                <w:sz w:val="20"/>
                <w:szCs w:val="20"/>
              </w:rPr>
              <w:t>v teplárenství</w:t>
            </w:r>
            <w:r w:rsidRPr="005C048D">
              <w:rPr>
                <w:rFonts w:asciiTheme="majorHAnsi" w:hAnsiTheme="majorHAnsi" w:cstheme="majorHAnsi"/>
                <w:sz w:val="20"/>
                <w:szCs w:val="20"/>
              </w:rPr>
              <w:t xml:space="preserve">), včetně poměrné části technologické vlastní spotřeby a ztrát, </w:t>
            </w:r>
          </w:p>
          <w:p w14:paraId="661EBA1D" w14:textId="77777777"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Pokud tedy ČEPRO, a.s. bude v daném odběrném místě spotřebovávat plyn k výrobě tepelné energie na vytápění a přípravu teplé vody, nikoliv však pro objekt jiného (teplárenského) zákazníka, bude nadále naplňovat kvalitu (kategorii) zákazníka podle § 4 odst. 4 písm. b). nařízení (eventuálně i zákazníka § 4 odst. 3 písm. a) podle příslušného odběrového místa - maloodběratel) a v souladu s ustanovením § 7 odst. 4 nařízení vyplnění Přílohu č . 8, ve které uvede, že plyn není použit na výrobu tepelné energie podle § 4 odst. 4 písm. c) nebo d).</w:t>
            </w:r>
          </w:p>
          <w:p w14:paraId="218EA4AB" w14:textId="1ECBAD7F" w:rsidR="006F7E18" w:rsidRPr="005C048D" w:rsidRDefault="006F7E18" w:rsidP="006F7E18">
            <w:pPr>
              <w:pStyle w:val="text-large"/>
              <w:shd w:val="clear" w:color="auto" w:fill="D9D9D9" w:themeFill="background1" w:themeFillShade="D9"/>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Shora uvedené závěry a doporučení sděleny věcně příslušného útvaru (Ing. Petr Lux) </w:t>
            </w:r>
          </w:p>
          <w:p w14:paraId="10567EA4" w14:textId="77777777" w:rsidR="00B96FB3" w:rsidRPr="005C048D" w:rsidRDefault="00B96FB3"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6960FE24" w14:textId="6A0FAF99" w:rsidR="001E4C6C" w:rsidRPr="005C048D" w:rsidRDefault="001E4C6C"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1B3ADABD" w14:textId="5A4CF141" w:rsidR="005C3DFE" w:rsidRPr="005C048D" w:rsidRDefault="005C3DFE" w:rsidP="005C3DFE">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lastRenderedPageBreak/>
              <w:t xml:space="preserve">Zákon č. 432/2022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  </w:t>
            </w:r>
            <w:r w:rsidR="009E03E7">
              <w:rPr>
                <w:rStyle w:val="Hypertextovodkaz"/>
                <w:rFonts w:ascii="Arial" w:eastAsia="Times New Roman" w:hAnsi="Arial" w:cs="Arial"/>
                <w:b/>
                <w:bCs/>
                <w:color w:val="auto"/>
                <w:kern w:val="36"/>
                <w:sz w:val="24"/>
                <w:szCs w:val="24"/>
                <w:u w:val="none"/>
                <w:lang w:eastAsia="cs-CZ"/>
              </w:rPr>
              <w:pict w14:anchorId="3F68315F">
                <v:rect id="_x0000_i1035" style="width:0;height:1.5pt" o:hralign="center" o:hrstd="t" o:hr="t" fillcolor="#a0a0a0" stroked="f"/>
              </w:pict>
            </w:r>
          </w:p>
          <w:p w14:paraId="3BE6343D" w14:textId="1077D3D1" w:rsidR="005C3DFE" w:rsidRPr="005C048D" w:rsidRDefault="005C3DFE" w:rsidP="005C3DFE">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Účinnost od 1.</w:t>
            </w:r>
            <w:r w:rsidR="00F41F1C" w:rsidRPr="005C048D">
              <w:rPr>
                <w:rFonts w:asciiTheme="majorHAnsi" w:hAnsiTheme="majorHAnsi" w:cstheme="majorHAnsi"/>
                <w:sz w:val="20"/>
                <w:szCs w:val="20"/>
              </w:rPr>
              <w:t>3</w:t>
            </w:r>
            <w:r w:rsidRPr="005C048D">
              <w:rPr>
                <w:rFonts w:asciiTheme="majorHAnsi" w:hAnsiTheme="majorHAnsi" w:cstheme="majorHAnsi"/>
                <w:sz w:val="20"/>
                <w:szCs w:val="20"/>
              </w:rPr>
              <w:t xml:space="preserve">.2023 </w:t>
            </w:r>
          </w:p>
          <w:p w14:paraId="096EEF1E" w14:textId="77777777" w:rsidR="005C3DFE" w:rsidRPr="005C048D" w:rsidRDefault="005C3DFE" w:rsidP="005C3DFE">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7FD7F509" w14:textId="28F2362D" w:rsidR="005C3DFE" w:rsidRPr="005C048D" w:rsidRDefault="005C3DFE" w:rsidP="005C3DFE">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23.12.2022 byl</w:t>
            </w:r>
            <w:r w:rsidR="00E373F2" w:rsidRPr="005C048D">
              <w:rPr>
                <w:rFonts w:asciiTheme="majorHAnsi" w:hAnsiTheme="majorHAnsi" w:cstheme="majorHAnsi"/>
                <w:sz w:val="20"/>
                <w:szCs w:val="20"/>
              </w:rPr>
              <w:t xml:space="preserve"> </w:t>
            </w:r>
            <w:r w:rsidRPr="005C048D">
              <w:rPr>
                <w:rFonts w:asciiTheme="majorHAnsi" w:hAnsiTheme="majorHAnsi" w:cstheme="majorHAnsi"/>
                <w:sz w:val="20"/>
                <w:szCs w:val="20"/>
              </w:rPr>
              <w:t xml:space="preserve">ve Sbírce zákonů publikován </w:t>
            </w:r>
            <w:r w:rsidR="00E373F2" w:rsidRPr="005C048D">
              <w:rPr>
                <w:rFonts w:asciiTheme="majorHAnsi" w:hAnsiTheme="majorHAnsi" w:cstheme="majorHAnsi"/>
                <w:sz w:val="20"/>
                <w:szCs w:val="20"/>
              </w:rPr>
              <w:t>Zákon č. 432/2022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w:t>
            </w:r>
          </w:p>
          <w:p w14:paraId="6F152EB1" w14:textId="1AAD2E0B" w:rsidR="00E373F2" w:rsidRPr="005C048D" w:rsidRDefault="00E373F2" w:rsidP="005C3DFE">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D127916" w14:textId="6141F534" w:rsidR="005C3DFE" w:rsidRPr="005C048D" w:rsidRDefault="00E373F2" w:rsidP="005C3DFE">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Novela byla předmětem monitoringu za 4/2022 a PÚ oddělení dopravy provedlo vyhodnocení věcných dopadů</w:t>
            </w:r>
            <w:r w:rsidR="00E47C41" w:rsidRPr="005C048D">
              <w:rPr>
                <w:rFonts w:asciiTheme="majorHAnsi" w:hAnsiTheme="majorHAnsi" w:cstheme="majorHAnsi"/>
                <w:sz w:val="20"/>
                <w:szCs w:val="20"/>
              </w:rPr>
              <w:t xml:space="preserve"> (bez implementačních opatření)</w:t>
            </w:r>
            <w:r w:rsidRPr="005C048D">
              <w:rPr>
                <w:rFonts w:asciiTheme="majorHAnsi" w:hAnsiTheme="majorHAnsi" w:cstheme="majorHAnsi"/>
                <w:sz w:val="20"/>
                <w:szCs w:val="20"/>
              </w:rPr>
              <w:t>.</w:t>
            </w:r>
          </w:p>
          <w:p w14:paraId="38BC0A46" w14:textId="77777777" w:rsidR="005C3DFE" w:rsidRPr="005C048D" w:rsidRDefault="005C3DFE" w:rsidP="005C3DFE">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0E2EBA2" w14:textId="77777777" w:rsidR="005C3DFE" w:rsidRPr="005C048D" w:rsidRDefault="005C3DFE" w:rsidP="005C3DFE">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76D064E8" w14:textId="3524ECB9" w:rsidR="005C3DFE" w:rsidRPr="005C048D" w:rsidRDefault="005C3DFE"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4E26C9B2" w14:textId="2D782A2A" w:rsidR="006C166A" w:rsidRPr="005C048D" w:rsidRDefault="006C166A" w:rsidP="006C166A">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Zákon č. 431/2022 Sb., kterým se mění zákon č. 49/1997 Sb., o civilním letectví a o změně a doplnění zákona č. 455/1991 Sb., o živnostenském podnikání (živnostenský zákon), ve znění pozdějších předpisů, ve znění pozdějších předpisů, a další související zákony    </w:t>
            </w:r>
            <w:r w:rsidR="009E03E7">
              <w:rPr>
                <w:rStyle w:val="Hypertextovodkaz"/>
                <w:rFonts w:ascii="Arial" w:eastAsia="Times New Roman" w:hAnsi="Arial" w:cs="Arial"/>
                <w:b/>
                <w:bCs/>
                <w:color w:val="auto"/>
                <w:kern w:val="36"/>
                <w:sz w:val="24"/>
                <w:szCs w:val="24"/>
                <w:u w:val="none"/>
                <w:lang w:eastAsia="cs-CZ"/>
              </w:rPr>
              <w:pict w14:anchorId="40B3D608">
                <v:rect id="_x0000_i1036" style="width:0;height:1.5pt" o:hralign="center" o:hrstd="t" o:hr="t" fillcolor="#a0a0a0" stroked="f"/>
              </w:pict>
            </w:r>
          </w:p>
          <w:p w14:paraId="411494DF" w14:textId="77777777" w:rsidR="006C166A" w:rsidRPr="005C048D" w:rsidRDefault="006C166A" w:rsidP="006C166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4D9FF55E" w14:textId="77777777" w:rsidR="006C166A" w:rsidRPr="005C048D" w:rsidRDefault="006C166A" w:rsidP="006C166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4C26E677" w14:textId="5D4F20E4" w:rsidR="006C166A" w:rsidRPr="005C048D" w:rsidRDefault="006C166A" w:rsidP="006C166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Dne 23.12.2022 byl ve Sbírce zákonů publikován Zákon č. 431/2022 Sb., kterým se mění zákon č. 49/1997 Sb., o civilním letectví a o změně a doplnění zákona č. 455/1991 Sb., o živnostenském podnikání (živnostenský zákon), ve znění pozdějších předpisů, ve znění pozdějších předpisů, a další související zákony  </w:t>
            </w:r>
          </w:p>
          <w:p w14:paraId="087B2D48" w14:textId="77777777" w:rsidR="006C166A" w:rsidRPr="005C048D" w:rsidRDefault="006C166A" w:rsidP="006C166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0B644324" w14:textId="10D59CC4" w:rsidR="006C166A" w:rsidRPr="005C048D" w:rsidRDefault="006C166A" w:rsidP="006C166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Novela byla předmětem monitoringu za 4/2022 a ze strany OPS bylo doporučeno provést věcné posouzení ze strany OBIA.</w:t>
            </w:r>
          </w:p>
          <w:p w14:paraId="207082BD" w14:textId="77777777" w:rsidR="006C166A" w:rsidRPr="005C048D" w:rsidRDefault="006C166A" w:rsidP="006C166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3F941B1F" w14:textId="2ADEE59A" w:rsidR="006C166A" w:rsidRPr="005C048D" w:rsidRDefault="006C166A" w:rsidP="006C166A">
            <w:pPr>
              <w:pStyle w:val="Bezmezer"/>
              <w:shd w:val="clear" w:color="auto" w:fill="D9D9D9" w:themeFill="background1" w:themeFillShade="D9"/>
              <w:spacing w:line="276" w:lineRule="auto"/>
              <w:jc w:val="both"/>
              <w:rPr>
                <w:rStyle w:val="Hypertextovodkaz"/>
                <w:rFonts w:ascii="Arial" w:eastAsia="Times New Roman" w:hAnsi="Arial" w:cs="Arial"/>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 xml:space="preserve">Úkol: </w:t>
            </w:r>
            <w:r w:rsidRPr="005C048D">
              <w:rPr>
                <w:rStyle w:val="Hypertextovodkaz"/>
                <w:rFonts w:ascii="Arial" w:eastAsia="Times New Roman" w:hAnsi="Arial" w:cs="Arial"/>
                <w:bCs/>
                <w:i/>
                <w:color w:val="auto"/>
                <w:kern w:val="36"/>
                <w:sz w:val="20"/>
                <w:szCs w:val="20"/>
                <w:u w:val="none"/>
                <w:lang w:eastAsia="cs-CZ"/>
              </w:rPr>
              <w:t>OBIA provede věcnou analýzu dopadů a zpracuje případný návrh implementačních opatření do procesů společnosti. Informaci o zhodnocení dopadů a o stavu implementace zašle na emailovou adresu legislativa@ceproas.cz.</w:t>
            </w:r>
          </w:p>
          <w:p w14:paraId="2FE138AC" w14:textId="77777777" w:rsidR="006C166A" w:rsidRPr="005C048D" w:rsidRDefault="006C166A" w:rsidP="006C166A">
            <w:pPr>
              <w:pStyle w:val="Bezmezer"/>
              <w:shd w:val="clear" w:color="auto" w:fill="D9D9D9" w:themeFill="background1" w:themeFillShade="D9"/>
              <w:spacing w:line="276" w:lineRule="auto"/>
              <w:jc w:val="both"/>
              <w:rPr>
                <w:rStyle w:val="Hypertextovodkaz"/>
                <w:rFonts w:ascii="Arial" w:eastAsia="Times New Roman" w:hAnsi="Arial" w:cs="Arial"/>
                <w:bCs/>
                <w:i/>
                <w:color w:val="auto"/>
                <w:kern w:val="36"/>
                <w:sz w:val="20"/>
                <w:szCs w:val="20"/>
                <w:u w:val="none"/>
                <w:lang w:eastAsia="cs-CZ"/>
              </w:rPr>
            </w:pPr>
          </w:p>
          <w:p w14:paraId="6E47F21A" w14:textId="72AF2AC4" w:rsidR="006C166A" w:rsidRPr="005C048D" w:rsidRDefault="006C166A" w:rsidP="006C166A">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lastRenderedPageBreak/>
              <w:t xml:space="preserve">Odpovědný útvar: </w:t>
            </w:r>
            <w:r w:rsidR="00A02DB7" w:rsidRPr="005C048D">
              <w:rPr>
                <w:rStyle w:val="Hypertextovodkaz"/>
                <w:rFonts w:ascii="Arial" w:eastAsia="Times New Roman" w:hAnsi="Arial" w:cs="Arial"/>
                <w:i/>
                <w:color w:val="auto"/>
                <w:kern w:val="36"/>
                <w:sz w:val="20"/>
                <w:szCs w:val="20"/>
                <w:u w:val="none"/>
                <w:lang w:eastAsia="cs-CZ"/>
              </w:rPr>
              <w:t>OBIA – Ing. Jiří Novák</w:t>
            </w:r>
            <w:r w:rsidRPr="005C048D">
              <w:rPr>
                <w:rStyle w:val="Hypertextovodkaz"/>
                <w:rFonts w:ascii="Arial" w:eastAsia="Times New Roman" w:hAnsi="Arial" w:cs="Arial"/>
                <w:bCs/>
                <w:i/>
                <w:color w:val="auto"/>
                <w:kern w:val="36"/>
                <w:sz w:val="20"/>
                <w:szCs w:val="20"/>
                <w:u w:val="none"/>
                <w:lang w:eastAsia="cs-CZ"/>
              </w:rPr>
              <w:t xml:space="preserve"> </w:t>
            </w:r>
            <w:r w:rsidRPr="005C048D">
              <w:rPr>
                <w:rStyle w:val="Hypertextovodkaz"/>
                <w:rFonts w:ascii="Arial" w:eastAsia="Times New Roman" w:hAnsi="Arial" w:cs="Arial"/>
                <w:bCs/>
                <w:i/>
                <w:color w:val="auto"/>
                <w:kern w:val="36"/>
                <w:sz w:val="20"/>
                <w:szCs w:val="20"/>
                <w:u w:val="none"/>
                <w:lang w:eastAsia="cs-CZ"/>
              </w:rPr>
              <w:tab/>
            </w:r>
            <w:r w:rsidRPr="005C048D">
              <w:rPr>
                <w:rStyle w:val="Hypertextovodkaz"/>
                <w:rFonts w:ascii="Arial" w:eastAsia="Times New Roman" w:hAnsi="Arial" w:cs="Arial"/>
                <w:b/>
                <w:bCs/>
                <w:i/>
                <w:color w:val="auto"/>
                <w:kern w:val="36"/>
                <w:sz w:val="20"/>
                <w:szCs w:val="20"/>
                <w:u w:val="none"/>
                <w:lang w:eastAsia="cs-CZ"/>
              </w:rPr>
              <w:t>Termín:</w:t>
            </w:r>
            <w:r w:rsidRPr="005C048D">
              <w:rPr>
                <w:rStyle w:val="Hypertextovodkaz"/>
                <w:rFonts w:ascii="Arial" w:eastAsia="Times New Roman" w:hAnsi="Arial" w:cs="Arial"/>
                <w:bCs/>
                <w:i/>
                <w:color w:val="auto"/>
                <w:kern w:val="36"/>
                <w:sz w:val="20"/>
                <w:szCs w:val="20"/>
                <w:u w:val="none"/>
                <w:lang w:eastAsia="cs-CZ"/>
              </w:rPr>
              <w:t xml:space="preserve">  </w:t>
            </w:r>
            <w:r w:rsidR="00A02DB7" w:rsidRPr="005C048D">
              <w:rPr>
                <w:rStyle w:val="Hypertextovodkaz"/>
                <w:rFonts w:ascii="Arial" w:eastAsia="Times New Roman" w:hAnsi="Arial" w:cs="Arial"/>
                <w:b/>
                <w:bCs/>
                <w:i/>
                <w:color w:val="auto"/>
                <w:kern w:val="36"/>
                <w:sz w:val="20"/>
                <w:szCs w:val="20"/>
                <w:u w:val="none"/>
                <w:lang w:eastAsia="cs-CZ"/>
              </w:rPr>
              <w:t>28.2.2023</w:t>
            </w:r>
          </w:p>
          <w:p w14:paraId="649A40E2" w14:textId="3B62D10A" w:rsidR="006C166A" w:rsidRPr="005C048D" w:rsidRDefault="006C166A" w:rsidP="00916FC4">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6E0D908A" w14:textId="08800E19" w:rsidR="003A3D7A" w:rsidRPr="005C048D" w:rsidRDefault="003A3D7A" w:rsidP="003A3D7A">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Zákon č. 416/2022 Sb., kterým se mění některé zákony v souvislosti s využíváním digitálních nástrojů a postupů v právu obchodních společností a fungováním veřejných rejstříků  </w:t>
            </w:r>
            <w:r w:rsidR="009E03E7">
              <w:rPr>
                <w:rStyle w:val="Hypertextovodkaz"/>
                <w:rFonts w:ascii="Arial" w:eastAsia="Times New Roman" w:hAnsi="Arial" w:cs="Arial"/>
                <w:b/>
                <w:bCs/>
                <w:color w:val="auto"/>
                <w:kern w:val="36"/>
                <w:sz w:val="24"/>
                <w:szCs w:val="24"/>
                <w:u w:val="none"/>
                <w:lang w:eastAsia="cs-CZ"/>
              </w:rPr>
              <w:pict w14:anchorId="1197225A">
                <v:rect id="_x0000_i1037" style="width:0;height:1.5pt" o:hralign="center" o:hrstd="t" o:hr="t" fillcolor="#a0a0a0" stroked="f"/>
              </w:pict>
            </w:r>
          </w:p>
          <w:p w14:paraId="196EE0AB" w14:textId="3DE21987" w:rsidR="003A3D7A" w:rsidRPr="005C048D" w:rsidRDefault="003A3D7A" w:rsidP="003A3D7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15.1.2023 </w:t>
            </w:r>
          </w:p>
          <w:p w14:paraId="4DADAE34" w14:textId="77777777" w:rsidR="003A3D7A" w:rsidRPr="005C048D" w:rsidRDefault="003A3D7A" w:rsidP="003A3D7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1B00CF91" w14:textId="010FF20D" w:rsidR="003A3D7A" w:rsidRPr="005C048D" w:rsidRDefault="003A3D7A" w:rsidP="001B5353">
            <w:pPr>
              <w:pStyle w:val="text-large"/>
              <w:shd w:val="clear" w:color="auto" w:fill="FFFFFF"/>
              <w:spacing w:before="0" w:beforeAutospacing="0" w:after="0" w:afterAutospacing="0" w:line="360" w:lineRule="auto"/>
              <w:jc w:val="both"/>
              <w:rPr>
                <w:rFonts w:asciiTheme="majorHAnsi" w:hAnsiTheme="majorHAnsi" w:cstheme="majorHAnsi"/>
                <w:sz w:val="20"/>
                <w:szCs w:val="20"/>
              </w:rPr>
            </w:pPr>
            <w:r w:rsidRPr="005C048D">
              <w:rPr>
                <w:rFonts w:asciiTheme="majorHAnsi" w:hAnsiTheme="majorHAnsi" w:cstheme="majorHAnsi"/>
                <w:sz w:val="20"/>
                <w:szCs w:val="20"/>
              </w:rPr>
              <w:t xml:space="preserve">Dne 16.12.2022 byl ve Sbírce zákonů publikován </w:t>
            </w:r>
            <w:r w:rsidR="00DA1D04" w:rsidRPr="005C048D">
              <w:rPr>
                <w:rFonts w:asciiTheme="majorHAnsi" w:hAnsiTheme="majorHAnsi" w:cstheme="majorHAnsi"/>
                <w:sz w:val="20"/>
                <w:szCs w:val="20"/>
              </w:rPr>
              <w:t xml:space="preserve">Zákon č. 416/2022 Sb., kterým se mění některé zákony v souvislosti s využíváním digitálních nástrojů a postupů v právu obchodních společností a fungováním veřejných rejstříků. </w:t>
            </w:r>
          </w:p>
          <w:p w14:paraId="1E160676" w14:textId="4E02A5B2" w:rsidR="001B5353" w:rsidRPr="005C048D" w:rsidRDefault="001B5353" w:rsidP="001B5353">
            <w:pPr>
              <w:pStyle w:val="text-large"/>
              <w:shd w:val="clear" w:color="auto" w:fill="FFFFFF"/>
              <w:spacing w:before="0" w:beforeAutospacing="0" w:after="0" w:afterAutospacing="0" w:line="360" w:lineRule="auto"/>
              <w:jc w:val="both"/>
              <w:rPr>
                <w:rFonts w:ascii="Arial" w:hAnsi="Arial" w:cs="Arial"/>
                <w:sz w:val="20"/>
                <w:szCs w:val="20"/>
              </w:rPr>
            </w:pPr>
          </w:p>
          <w:p w14:paraId="308F52B5"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Dochází k rozpojení procesu založení a vzniku obchodní korporace a procesu živnostenského oprávnění, zápis předmětu podnikání do OR</w:t>
            </w:r>
          </w:p>
          <w:p w14:paraId="0564B2D0"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Při zápisu do OR již není třeba dokládat veřejnoprávní oprávnění k podnikání </w:t>
            </w:r>
          </w:p>
          <w:p w14:paraId="032C8CDD"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Zapisovat se bude předmět podnikání tak, jak je uveden v zakladatelském právním jednání </w:t>
            </w:r>
          </w:p>
          <w:p w14:paraId="5F24AFB5"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Zápis OR nevypovídá nic o tom, zda má korporace k podnikání veřejnoprávní oprávnění</w:t>
            </w:r>
          </w:p>
          <w:p w14:paraId="1D75A027"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K ohlášení živnosti a žádostí o koncesi není třeba přikládat doklad prokazující právní důvod užívání prostor. </w:t>
            </w:r>
          </w:p>
          <w:p w14:paraId="448DCA24"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Možnost zakládaní SRO bez osobní přítomnosti zakladatelů.   </w:t>
            </w:r>
          </w:p>
          <w:p w14:paraId="0E9095FB"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Změny týkající se procesu online založení společnosti navazují na změny provedené zákonem č. 300/2021 Sb., kterým se mění zákon č. 358/1992 Sb., o notářích a jejich činnosti (notářský řád), a zákon č. 634/2004 Sb., o správních poplatcích, jenž nabyl účinnosti 1. 9. 2021, který již umožnil, aby proces založení a vzniku společnosti proběhl bez fyzické přítomnosti zakladatele u notáře. Prokázání totožnosti zakladatele a zjišťování obsahu projevu vůle o tom, co má být pojato do notářského zápisu, tak může již dnes probíhat s využitím prostředků elektronické identifikace a s audiovizuálním spojením v reálném čase. Se zápisem společnosti do veřejného rejstříku lze současně prostřednictvím notáře ohlásit živnostenskému úřadu živnost, případně požádat o vydání koncese.</w:t>
            </w:r>
          </w:p>
          <w:p w14:paraId="294B2C0C"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Vzor  zakladatelského právního jednání, jímž se zakládá SRO (MS ČR)    </w:t>
            </w:r>
          </w:p>
          <w:p w14:paraId="60E33A96" w14:textId="059B139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Zápisy zahraničních spolků a zahraničních pobočných spolků do spolkového rejstříku </w:t>
            </w:r>
          </w:p>
          <w:p w14:paraId="084B67AF"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Zpřesnění zapisovaných údajů</w:t>
            </w:r>
          </w:p>
          <w:p w14:paraId="4FD55A39"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Zápisy odštěpného závodu u zápisu obchodní korporace </w:t>
            </w:r>
          </w:p>
          <w:p w14:paraId="46F318A5"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Zápisy všech odštěpných závodu  ČR a zahraničí</w:t>
            </w:r>
          </w:p>
          <w:p w14:paraId="770546E8"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Zápis údaje o okamžiku, od něhož byl zápis ve veřejném rejstříku zpřístupněn (1.7.2024)</w:t>
            </w:r>
          </w:p>
          <w:p w14:paraId="207E31BD"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Odmítnutí provedení zápisu do veřejného rejstříku notářem (1.7.2024)</w:t>
            </w:r>
          </w:p>
          <w:p w14:paraId="2446D217"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zahájeno jiné řízení o zápisu téhož údaje </w:t>
            </w:r>
          </w:p>
          <w:p w14:paraId="4BF67932"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 Zápisy zahraničních fundací, ústavů a jejich organizačních složek </w:t>
            </w:r>
          </w:p>
          <w:p w14:paraId="49945FE2"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Získávání informací o dlužnících (31.12.2022) </w:t>
            </w:r>
          </w:p>
          <w:p w14:paraId="5C2F5072"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Prostřednictvím bezvýznamového klientského identifikátoru (BKI) přiděleného soudem (nelze využít rodné číslo pro získání informací o dlužnících z IR) </w:t>
            </w:r>
          </w:p>
          <w:p w14:paraId="652D77B7" w14:textId="67C24BD1"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lastRenderedPageBreak/>
              <w:t xml:space="preserve">MS ČR zajistí dálkové získávání  </w:t>
            </w:r>
          </w:p>
          <w:p w14:paraId="1C569481"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Náprava nesprávného určení, do nichž se mají vracet nevyplacené zdroje kapitálovou společností</w:t>
            </w:r>
          </w:p>
          <w:p w14:paraId="408BD75B"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Nevyplacené podíly na zisku/jiných zdrojích se zaúčtují ve prospěch účtu, proti kterému byl původně zaúčtován a není-li to možné, ve prospěch účtu nerozděleného zisku z minulých let (dříve jen na nerozdělený zisk). </w:t>
            </w:r>
          </w:p>
          <w:p w14:paraId="4FD18444" w14:textId="77777777" w:rsidR="001B5353" w:rsidRPr="005C048D" w:rsidRDefault="001B5353" w:rsidP="001B5353">
            <w:pPr>
              <w:pStyle w:val="Odstavecseseznamem"/>
              <w:numPr>
                <w:ilvl w:val="0"/>
                <w:numId w:val="48"/>
              </w:numPr>
              <w:spacing w:line="360" w:lineRule="auto"/>
              <w:jc w:val="both"/>
              <w:rPr>
                <w:rFonts w:ascii="Arial" w:hAnsi="Arial" w:cs="Arial"/>
                <w:sz w:val="20"/>
                <w:szCs w:val="20"/>
              </w:rPr>
            </w:pPr>
            <w:r w:rsidRPr="005C048D">
              <w:rPr>
                <w:rFonts w:ascii="Arial" w:hAnsi="Arial" w:cs="Arial"/>
                <w:sz w:val="20"/>
                <w:szCs w:val="20"/>
              </w:rPr>
              <w:t xml:space="preserve">Překážky výkonu funkce člena voleného orgánu obchodní korporace  (od 1.7.2023) </w:t>
            </w:r>
          </w:p>
          <w:p w14:paraId="33CC061C"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K podstatným změnám schválené právní úpravy náleží mj. opuštění vymezení bezúhonnosti podle živnostenského zákona (§ 6 odst. 2 ŽZ) a definice podmínky výkonu funkce členů voleného orgánu obchodní korporace samostatně v § 46 ZOK výčtem skutečností zakládajících nezpůsobilost k výkonu funkce. Důvody nezpůsobilosti k výkonu funkce jsou stanoveny v zásadě tyto: </w:t>
            </w:r>
          </w:p>
          <w:p w14:paraId="35133F1B"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rozhodnutí českého nebo zahraničního orgánu (státu EHP; mezinárodní organizace) veřejné moci zakazující výkon funkce člena voleného orgánu (vyloučení z výkonu funkce § 63 až 65 ZOK; rozhodnutí soudu/správního orgánu ukládající trest zákazu činnosti člena voleného orgánu) nebo  zákaz vykonávat určitou podnikatelskou činnost </w:t>
            </w:r>
          </w:p>
          <w:p w14:paraId="3E68CDF8"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zákaz uložený orgánem mimo EHP (nutná obdobnost důvodu s důvody v ČR)</w:t>
            </w:r>
          </w:p>
          <w:p w14:paraId="55B270CB"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probíhající konkurs (tzv. zásadou druhé šance  - jiné způsoby řešení úpadku  nepředstavují překážku) a </w:t>
            </w:r>
          </w:p>
          <w:p w14:paraId="399E0373"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 odsouzení za vybrané trestné činy související s obsahem náplně činnosti člena voleného orgánu, tj. některé trestné činy majetkové a hospodářské povahy. </w:t>
            </w:r>
          </w:p>
          <w:p w14:paraId="7DF7153C"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Podle schválené úpravy založí probíhající insolvenční řízení překážku výkonu funkce pouze v případě, že je úpadek řešen likvidačním způsobem, tj. konkursem. V případě řešení úpadku oddlužením, respektive i reorganizací, překážka v souladu s. Členovi orgánu tak může být umožněno i po tuto dobu ve funkci působit. V případě řádného konce insolvenčního řízení úspěšným konkursem je osoba způsobilá k výkonu funkce ihned po jeho zrušení. Nová úprava skutečností zakládajících nezpůsobilost k výkonu funkce neobsahuje podmínku spáchání trestného činu v souvislosti s touto funkcí. Konkrétní okruhy trestných činů (vybrané trestné činy proti majetku a hospodářské trestné činy) zakládající překážku členství v orgánu však lze považovat za obecně rizikové při posuzování kvalifikace ke správě majetku. Proporcionalita omezení je dále posílena časovým omezením překážky skrze vazbu na podmínky zahlazení odsouzení podle § 105 </w:t>
            </w:r>
            <w:proofErr w:type="spellStart"/>
            <w:r w:rsidRPr="005C048D">
              <w:rPr>
                <w:rFonts w:ascii="Arial" w:hAnsi="Arial" w:cs="Arial"/>
                <w:sz w:val="20"/>
                <w:szCs w:val="20"/>
              </w:rPr>
              <w:t>TrZ</w:t>
            </w:r>
            <w:proofErr w:type="spellEnd"/>
            <w:r w:rsidRPr="005C048D">
              <w:rPr>
                <w:rFonts w:ascii="Arial" w:hAnsi="Arial" w:cs="Arial"/>
                <w:sz w:val="20"/>
                <w:szCs w:val="20"/>
              </w:rPr>
              <w:t xml:space="preserve">. Rovněž tak odsouzení za vymezené trestné činy neznamená trvalé omezení přístupu k funkci člena voleného orgánu, ale pouze přechodné období, jehož délka je odstupňována podle závažnosti trestného činu. S uvedenou úpravou souvisí i vytvoření nové evidence vyloučených osob (nový § 70 a násl. ZOK). Do této evidence by měly být nově zapisovány všechny osoby, u nichž je dána překážka výkonu funkce (dle nového § 46 ZOK), kterou zakládá rozhodnutí soudu nebo správního orgánu, přičemž se může jednat i o rozhodnutí v trestních řízeních. Evidence je konstruována jako neveřejná s omezeným okruhem subjektů veřejné moci, které do ní mají přístup (pouze soudy a notáři, již budou existenci překážky výkonu funkce ověřovat před </w:t>
            </w:r>
            <w:r w:rsidRPr="005C048D">
              <w:rPr>
                <w:rFonts w:ascii="Arial" w:hAnsi="Arial" w:cs="Arial"/>
                <w:sz w:val="20"/>
                <w:szCs w:val="20"/>
              </w:rPr>
              <w:lastRenderedPageBreak/>
              <w:t>zápisem osoby jako člena voleného orgánu do veřejného rejstříku). Údaje v evidenci budou uchovávány po dobu 10 let ode dne zániku překážky výkonu funkce.</w:t>
            </w:r>
          </w:p>
          <w:p w14:paraId="0AF6A36C"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Absence překážek se prokazuje ČP. Nepravdivé ČP má za následek, že:</w:t>
            </w:r>
          </w:p>
          <w:p w14:paraId="32E82D31"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Se daná osoba nestane členem</w:t>
            </w:r>
          </w:p>
          <w:p w14:paraId="101A8B2B"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Trestní odpovědnost – TČ 254/2 </w:t>
            </w:r>
            <w:proofErr w:type="spellStart"/>
            <w:r w:rsidRPr="005C048D">
              <w:rPr>
                <w:rFonts w:ascii="Arial" w:hAnsi="Arial" w:cs="Arial"/>
                <w:sz w:val="20"/>
                <w:szCs w:val="20"/>
              </w:rPr>
              <w:t>TrZ</w:t>
            </w:r>
            <w:proofErr w:type="spellEnd"/>
          </w:p>
          <w:p w14:paraId="6559A658"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Informační povinnost před ustanovením do funkce a v průběhu jejího výkonu </w:t>
            </w:r>
          </w:p>
          <w:p w14:paraId="3B4F60E0"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O tom, že není způsobilý k výkonu funkce (i nyní)</w:t>
            </w:r>
          </w:p>
          <w:p w14:paraId="6F444238"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Existují skutečnosti, které by důvodně mohly vést ke vzniku překážky výkonu funkce (potencialita)  </w:t>
            </w:r>
          </w:p>
          <w:p w14:paraId="28AD5E2C" w14:textId="77777777" w:rsidR="001B5353" w:rsidRPr="005C048D" w:rsidRDefault="001B5353" w:rsidP="001B5353">
            <w:pPr>
              <w:pStyle w:val="Odstavecseseznamem"/>
              <w:numPr>
                <w:ilvl w:val="1"/>
                <w:numId w:val="48"/>
              </w:numPr>
              <w:spacing w:line="360" w:lineRule="auto"/>
              <w:jc w:val="both"/>
              <w:rPr>
                <w:rFonts w:ascii="Arial" w:hAnsi="Arial" w:cs="Arial"/>
                <w:sz w:val="20"/>
                <w:szCs w:val="20"/>
              </w:rPr>
            </w:pPr>
            <w:r w:rsidRPr="005C048D">
              <w:rPr>
                <w:rFonts w:ascii="Arial" w:hAnsi="Arial" w:cs="Arial"/>
                <w:sz w:val="20"/>
                <w:szCs w:val="20"/>
              </w:rPr>
              <w:t xml:space="preserve">Zřízení evidence vyloučených osob </w:t>
            </w:r>
          </w:p>
          <w:p w14:paraId="1E029355"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 xml:space="preserve">Evidence osob, které mají překážku na základě rozhodnutí orgánů veřejné moci ČR. </w:t>
            </w:r>
          </w:p>
          <w:p w14:paraId="63DAD315" w14:textId="77777777" w:rsidR="001B5353" w:rsidRPr="005C048D" w:rsidRDefault="001B5353" w:rsidP="001B5353">
            <w:pPr>
              <w:pStyle w:val="Odstavecseseznamem"/>
              <w:numPr>
                <w:ilvl w:val="2"/>
                <w:numId w:val="48"/>
              </w:numPr>
              <w:spacing w:line="360" w:lineRule="auto"/>
              <w:jc w:val="both"/>
              <w:rPr>
                <w:rFonts w:ascii="Arial" w:hAnsi="Arial" w:cs="Arial"/>
                <w:sz w:val="20"/>
                <w:szCs w:val="20"/>
              </w:rPr>
            </w:pPr>
            <w:r w:rsidRPr="005C048D">
              <w:rPr>
                <w:rFonts w:ascii="Arial" w:hAnsi="Arial" w:cs="Arial"/>
                <w:sz w:val="20"/>
                <w:szCs w:val="20"/>
              </w:rPr>
              <w:t>Informační systém MS ČR.</w:t>
            </w:r>
          </w:p>
          <w:p w14:paraId="5CE0B71A" w14:textId="77777777" w:rsidR="001B5353" w:rsidRPr="005C048D" w:rsidRDefault="001B5353" w:rsidP="001B5353">
            <w:pPr>
              <w:spacing w:line="360" w:lineRule="auto"/>
              <w:jc w:val="both"/>
              <w:rPr>
                <w:rFonts w:ascii="Arial" w:hAnsi="Arial" w:cs="Arial"/>
                <w:b w:val="0"/>
                <w:color w:val="auto"/>
                <w:sz w:val="20"/>
                <w:szCs w:val="20"/>
              </w:rPr>
            </w:pPr>
            <w:r w:rsidRPr="005C048D">
              <w:rPr>
                <w:rFonts w:ascii="Arial" w:hAnsi="Arial" w:cs="Arial"/>
                <w:b w:val="0"/>
                <w:color w:val="auto"/>
                <w:sz w:val="20"/>
                <w:szCs w:val="20"/>
              </w:rPr>
              <w:t>Zákon nabývá účinnosti 15. 1. 2023 s výjimkou ustanovení části třetí čl. IV bodů 2 až 4 a části čtvrté čl. VI bodů 3, 8, 30, 35 a 36, která nabývají účinnosti dnem 1. 7. 2023; a části druhé čl. III bodu 1 a části čtvrté čl. VI bodů 1, 9, 10, 12, 16 až 23, 31, 32 a 37, která nabývají účinnosti dnem 1. 7. 2024; ustanovení části páté zákona nabylo účinnosti dnem 31. 12. 2022.</w:t>
            </w:r>
          </w:p>
          <w:p w14:paraId="33DD3E8E" w14:textId="796A7C8C" w:rsidR="001B5353" w:rsidRPr="005C048D" w:rsidRDefault="001B5353" w:rsidP="001B5353">
            <w:pPr>
              <w:spacing w:line="360" w:lineRule="auto"/>
              <w:rPr>
                <w:rFonts w:ascii="Arial" w:hAnsi="Arial" w:cs="Arial"/>
                <w:b w:val="0"/>
                <w:color w:val="auto"/>
                <w:sz w:val="20"/>
                <w:szCs w:val="20"/>
              </w:rPr>
            </w:pPr>
          </w:p>
          <w:p w14:paraId="78CAD761" w14:textId="77777777" w:rsidR="001B5353" w:rsidRPr="005C048D" w:rsidRDefault="001B5353" w:rsidP="001B5353">
            <w:pPr>
              <w:pStyle w:val="text-large"/>
              <w:shd w:val="clear" w:color="auto" w:fill="D9D9D9" w:themeFill="background1" w:themeFillShade="D9"/>
              <w:spacing w:before="0" w:beforeAutospacing="0" w:after="0" w:afterAutospacing="0" w:line="360" w:lineRule="auto"/>
              <w:jc w:val="both"/>
              <w:rPr>
                <w:rFonts w:asciiTheme="majorHAnsi" w:hAnsiTheme="majorHAnsi" w:cstheme="majorHAnsi"/>
                <w:b/>
                <w:bCs/>
                <w:sz w:val="20"/>
                <w:szCs w:val="20"/>
              </w:rPr>
            </w:pPr>
            <w:r w:rsidRPr="005C048D">
              <w:rPr>
                <w:rFonts w:asciiTheme="majorHAnsi" w:hAnsiTheme="majorHAnsi" w:cstheme="majorHAnsi"/>
                <w:b/>
                <w:bCs/>
                <w:sz w:val="20"/>
                <w:szCs w:val="20"/>
              </w:rPr>
              <w:t>Zhodnocení věcných dopadů ze strany OPS:</w:t>
            </w:r>
          </w:p>
          <w:p w14:paraId="05390D96"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p>
          <w:p w14:paraId="49B5ACD2"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r w:rsidRPr="005C048D">
              <w:rPr>
                <w:rFonts w:ascii="Arial" w:hAnsi="Arial" w:cs="Arial"/>
                <w:b w:val="0"/>
                <w:color w:val="auto"/>
                <w:sz w:val="20"/>
                <w:szCs w:val="20"/>
              </w:rPr>
              <w:t xml:space="preserve">Novela dopadá do procesu výkonu funkce členů orgánů  společnosti ČEPRO, procesu upraveného  Směrnicí 05/FŘ/30/00/2014 Řízení kreditního rizika ve společnosti ČEPRO,  Směrnicí 22/OŘ/10/01/2014 Uzavírání smluv ke kartám a poukázkám EuroOil a procesu akvizice zákazníků a kontroly absence insolvenčního řízení vedeného na jejich osobu </w:t>
            </w:r>
          </w:p>
          <w:p w14:paraId="16D9DC35"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p>
          <w:p w14:paraId="59B3C8F5" w14:textId="1057E431"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r w:rsidRPr="005C048D">
              <w:rPr>
                <w:rFonts w:ascii="Arial" w:hAnsi="Arial" w:cs="Arial"/>
                <w:b w:val="0"/>
                <w:color w:val="auto"/>
                <w:sz w:val="20"/>
                <w:szCs w:val="20"/>
              </w:rPr>
              <w:t>Na základě zákona se doporučuje:</w:t>
            </w:r>
          </w:p>
          <w:p w14:paraId="61314295"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r w:rsidRPr="005C048D">
              <w:rPr>
                <w:rFonts w:ascii="Arial" w:hAnsi="Arial" w:cs="Arial"/>
                <w:b w:val="0"/>
                <w:color w:val="auto"/>
                <w:sz w:val="20"/>
                <w:szCs w:val="20"/>
              </w:rPr>
              <w:t xml:space="preserve">1) provést </w:t>
            </w:r>
            <w:r w:rsidRPr="005C048D">
              <w:rPr>
                <w:rFonts w:ascii="Arial" w:hAnsi="Arial" w:cs="Arial"/>
                <w:b w:val="0"/>
                <w:i/>
                <w:color w:val="auto"/>
                <w:sz w:val="20"/>
                <w:szCs w:val="20"/>
              </w:rPr>
              <w:t xml:space="preserve">kontrolu  Stanov společnosti  </w:t>
            </w:r>
            <w:r w:rsidRPr="005C048D">
              <w:rPr>
                <w:rFonts w:ascii="Arial" w:hAnsi="Arial" w:cs="Arial"/>
                <w:b w:val="0"/>
                <w:color w:val="auto"/>
                <w:sz w:val="20"/>
                <w:szCs w:val="20"/>
              </w:rPr>
              <w:t>– OPS</w:t>
            </w:r>
          </w:p>
          <w:p w14:paraId="39D43754"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r w:rsidRPr="005C048D">
              <w:rPr>
                <w:rFonts w:ascii="Arial" w:hAnsi="Arial" w:cs="Arial"/>
                <w:b w:val="0"/>
                <w:color w:val="auto"/>
                <w:sz w:val="20"/>
                <w:szCs w:val="20"/>
              </w:rPr>
              <w:t xml:space="preserve">2) </w:t>
            </w:r>
            <w:r w:rsidRPr="005C048D">
              <w:rPr>
                <w:rFonts w:ascii="Arial" w:hAnsi="Arial" w:cs="Arial"/>
                <w:b w:val="0"/>
                <w:i/>
                <w:color w:val="auto"/>
                <w:sz w:val="20"/>
                <w:szCs w:val="20"/>
              </w:rPr>
              <w:t xml:space="preserve">seznámit  členy volených orgánů korporace s jejich informační povinností od 1.7.2023 - </w:t>
            </w:r>
            <w:r w:rsidRPr="005C048D">
              <w:rPr>
                <w:rFonts w:ascii="Arial" w:hAnsi="Arial" w:cs="Arial"/>
                <w:b w:val="0"/>
                <w:color w:val="auto"/>
                <w:sz w:val="20"/>
                <w:szCs w:val="20"/>
              </w:rPr>
              <w:t xml:space="preserve">OPS  </w:t>
            </w:r>
          </w:p>
          <w:p w14:paraId="1D5B6C42" w14:textId="77777777" w:rsidR="001B5353" w:rsidRPr="005C048D" w:rsidRDefault="001B5353" w:rsidP="001B5353">
            <w:pPr>
              <w:shd w:val="clear" w:color="auto" w:fill="D9D9D9" w:themeFill="background1" w:themeFillShade="D9"/>
              <w:spacing w:line="360" w:lineRule="auto"/>
              <w:rPr>
                <w:rFonts w:ascii="Arial" w:hAnsi="Arial" w:cs="Arial"/>
                <w:b w:val="0"/>
                <w:color w:val="auto"/>
                <w:sz w:val="20"/>
                <w:szCs w:val="20"/>
              </w:rPr>
            </w:pPr>
            <w:r w:rsidRPr="005C048D">
              <w:rPr>
                <w:rFonts w:ascii="Arial" w:hAnsi="Arial" w:cs="Arial"/>
                <w:b w:val="0"/>
                <w:color w:val="auto"/>
                <w:sz w:val="20"/>
                <w:szCs w:val="20"/>
              </w:rPr>
              <w:t xml:space="preserve">3) připravit do 31.12.2024 postupy posuzování kreditního rizika, akvizice a monitoringu zákazníků na nemožnost využívat rodná čísla. – FÚ, OÚ za součinnosti OPS. </w:t>
            </w:r>
          </w:p>
          <w:p w14:paraId="58FA3384" w14:textId="77777777" w:rsidR="003A3D7A" w:rsidRPr="005C048D" w:rsidRDefault="003A3D7A" w:rsidP="001B5353">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34F80CCA" w14:textId="456BF61A" w:rsidR="003A3D7A" w:rsidRPr="005C048D" w:rsidRDefault="003A3D7A" w:rsidP="001B5353">
            <w:pPr>
              <w:pStyle w:val="Bezmezer"/>
              <w:spacing w:line="276" w:lineRule="auto"/>
              <w:rPr>
                <w:rStyle w:val="Hypertextovodkaz"/>
                <w:rFonts w:ascii="Arial" w:eastAsia="Times New Roman" w:hAnsi="Arial" w:cs="Arial"/>
                <w:b/>
                <w:bCs/>
                <w:i/>
                <w:color w:val="auto"/>
                <w:kern w:val="36"/>
                <w:sz w:val="20"/>
                <w:szCs w:val="20"/>
                <w:u w:val="none"/>
                <w:lang w:eastAsia="cs-CZ"/>
              </w:rPr>
            </w:pPr>
          </w:p>
          <w:p w14:paraId="262473BF" w14:textId="1B221559" w:rsidR="00FD3A18" w:rsidRPr="005C048D" w:rsidRDefault="00FD3A18" w:rsidP="001B5353">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Nařízení vlády č. 413/2022 Sb., o úpravě náhrady za ztrátu na výdělku po skončení pracovní neschopnosti vzniklé pracovním úrazem nebo nemocí z povolání a o úpravě náhrady nákladů na výživu pozůstalých podle pracovněprávních předpisů </w:t>
            </w:r>
            <w:r w:rsidR="009E03E7">
              <w:rPr>
                <w:rStyle w:val="Hypertextovodkaz"/>
                <w:rFonts w:ascii="Arial" w:eastAsia="Times New Roman" w:hAnsi="Arial" w:cs="Arial"/>
                <w:b/>
                <w:bCs/>
                <w:color w:val="auto"/>
                <w:kern w:val="36"/>
                <w:sz w:val="24"/>
                <w:szCs w:val="24"/>
                <w:u w:val="none"/>
                <w:lang w:eastAsia="cs-CZ"/>
              </w:rPr>
              <w:pict w14:anchorId="7098849D">
                <v:rect id="_x0000_i1038" style="width:0;height:1.5pt" o:hralign="center" o:hrstd="t" o:hr="t" fillcolor="#a0a0a0" stroked="f"/>
              </w:pict>
            </w:r>
          </w:p>
          <w:p w14:paraId="5F7931D7" w14:textId="0599C796" w:rsidR="00FD3A18" w:rsidRPr="005C048D" w:rsidRDefault="00FD3A18" w:rsidP="00FD3A18">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1.1.2023 </w:t>
            </w:r>
          </w:p>
          <w:p w14:paraId="4779DB93" w14:textId="77777777" w:rsidR="00FD3A18" w:rsidRPr="005C048D" w:rsidRDefault="00FD3A18" w:rsidP="00FD3A18">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1C4AA5CE" w14:textId="0CFAAE44" w:rsidR="00FD3A18" w:rsidRPr="005C048D" w:rsidRDefault="00FD3A18" w:rsidP="00FD3A18">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 xml:space="preserve">Dne 16.12.2022 bylo ve Sbírce zákonů publikováno Nařízení vlády č. 413/2022 Sb., o úpravě náhrady za ztrátu na výdělku po skončení pracovní neschopnosti vzniklé pracovním úrazem nebo nemocí z povolání a o úpravě náhrady nákladů na výživu pozůstalých podle pracovněprávních předpisů. </w:t>
            </w:r>
          </w:p>
          <w:p w14:paraId="34F866AC" w14:textId="77777777" w:rsidR="00FD3A18" w:rsidRPr="005C048D" w:rsidRDefault="00FD3A18" w:rsidP="00FD3A18">
            <w:pPr>
              <w:pStyle w:val="Bezmezer"/>
              <w:tabs>
                <w:tab w:val="left" w:pos="4308"/>
              </w:tabs>
              <w:jc w:val="both"/>
              <w:rPr>
                <w:rStyle w:val="Hypertextovodkaz"/>
                <w:rFonts w:ascii="Arial" w:eastAsia="Times New Roman" w:hAnsi="Arial" w:cs="Arial"/>
                <w:color w:val="auto"/>
                <w:kern w:val="36"/>
                <w:sz w:val="20"/>
                <w:szCs w:val="20"/>
                <w:u w:val="none"/>
                <w:lang w:eastAsia="cs-CZ"/>
              </w:rPr>
            </w:pPr>
          </w:p>
          <w:p w14:paraId="38879380" w14:textId="77777777" w:rsidR="00FD3A18" w:rsidRPr="005C048D" w:rsidRDefault="00FD3A18" w:rsidP="00FD3A18">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sidRPr="005C048D">
              <w:rPr>
                <w:rStyle w:val="Hypertextovodkaz"/>
                <w:rFonts w:ascii="Arial" w:eastAsia="Times New Roman" w:hAnsi="Arial" w:cs="Arial"/>
                <w:b/>
                <w:bCs/>
                <w:i/>
                <w:color w:val="auto"/>
                <w:kern w:val="36"/>
                <w:sz w:val="20"/>
                <w:szCs w:val="20"/>
                <w:u w:val="none"/>
                <w:lang w:eastAsia="cs-CZ"/>
              </w:rPr>
              <w:t>Na vědomí.</w:t>
            </w:r>
          </w:p>
          <w:p w14:paraId="09E16163" w14:textId="77777777" w:rsidR="00770314" w:rsidRPr="005C048D" w:rsidRDefault="00770314" w:rsidP="001E048A">
            <w:pPr>
              <w:pStyle w:val="Bezmezer"/>
              <w:spacing w:line="360" w:lineRule="auto"/>
              <w:jc w:val="center"/>
              <w:rPr>
                <w:rStyle w:val="Hypertextovodkaz"/>
                <w:rFonts w:ascii="Arial" w:eastAsia="Times New Roman" w:hAnsi="Arial" w:cs="Arial"/>
                <w:b/>
                <w:bCs/>
                <w:color w:val="auto"/>
                <w:kern w:val="36"/>
                <w:sz w:val="24"/>
                <w:szCs w:val="24"/>
                <w:u w:val="none"/>
                <w:lang w:eastAsia="cs-CZ"/>
              </w:rPr>
            </w:pPr>
          </w:p>
          <w:p w14:paraId="4C21B22A" w14:textId="47B1C50D" w:rsidR="001E048A" w:rsidRPr="005C048D" w:rsidRDefault="001E048A" w:rsidP="001E048A">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5C048D">
              <w:rPr>
                <w:rStyle w:val="Hypertextovodkaz"/>
                <w:rFonts w:ascii="Arial" w:eastAsia="Times New Roman" w:hAnsi="Arial" w:cs="Arial"/>
                <w:b/>
                <w:bCs/>
                <w:color w:val="auto"/>
                <w:kern w:val="36"/>
                <w:sz w:val="24"/>
                <w:szCs w:val="24"/>
                <w:u w:val="none"/>
                <w:lang w:eastAsia="cs-CZ"/>
              </w:rPr>
              <w:t xml:space="preserve">Zákon č. 374/2022 Sb., kterým se mění zákon č. 634/1992 Sb., o ochraně spotřebitele, ve znění pozdějších předpisů, a zákon č. 89/2012 Sb., občanský zákoník, ve znění pozdějších předpisů  </w:t>
            </w:r>
            <w:r w:rsidR="009E03E7">
              <w:rPr>
                <w:rStyle w:val="Hypertextovodkaz"/>
                <w:rFonts w:ascii="Arial" w:eastAsia="Times New Roman" w:hAnsi="Arial" w:cs="Arial"/>
                <w:b/>
                <w:bCs/>
                <w:color w:val="auto"/>
                <w:kern w:val="36"/>
                <w:sz w:val="24"/>
                <w:szCs w:val="24"/>
                <w:u w:val="none"/>
                <w:lang w:eastAsia="cs-CZ"/>
              </w:rPr>
              <w:pict w14:anchorId="5032E901">
                <v:rect id="_x0000_i1039" style="width:0;height:1.5pt" o:hralign="center" o:hrstd="t" o:hr="t" fillcolor="#a0a0a0" stroked="f"/>
              </w:pict>
            </w:r>
          </w:p>
          <w:p w14:paraId="43BCD730" w14:textId="56DBB4EC" w:rsidR="001E048A" w:rsidRPr="005C048D" w:rsidRDefault="001E048A" w:rsidP="001E048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r w:rsidRPr="005C048D">
              <w:rPr>
                <w:rFonts w:asciiTheme="majorHAnsi" w:hAnsiTheme="majorHAnsi" w:cstheme="majorHAnsi"/>
                <w:sz w:val="20"/>
                <w:szCs w:val="20"/>
              </w:rPr>
              <w:t xml:space="preserve">Účinnost od 6.1.2023 </w:t>
            </w:r>
          </w:p>
          <w:p w14:paraId="3E9835C9" w14:textId="77777777" w:rsidR="001E048A" w:rsidRPr="005C048D" w:rsidRDefault="001E048A" w:rsidP="001E048A">
            <w:pPr>
              <w:pStyle w:val="text-large"/>
              <w:shd w:val="clear" w:color="auto" w:fill="FFFFFF"/>
              <w:spacing w:before="0" w:beforeAutospacing="0" w:after="0" w:afterAutospacing="0" w:line="408" w:lineRule="atLeast"/>
              <w:jc w:val="right"/>
              <w:rPr>
                <w:rFonts w:asciiTheme="majorHAnsi" w:hAnsiTheme="majorHAnsi" w:cstheme="majorHAnsi"/>
                <w:sz w:val="20"/>
                <w:szCs w:val="20"/>
              </w:rPr>
            </w:pPr>
          </w:p>
          <w:p w14:paraId="705448B1" w14:textId="3AA870A0" w:rsidR="001E048A" w:rsidRPr="005C048D" w:rsidRDefault="001E048A" w:rsidP="001E048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Dne 7.12.2022 byl ve Sbírce zákonů publikován Zákon č. 374/2022 Sb., kterým se mění zákon č. 634/1992 Sb., o ochraně spotřebitele, ve znění pozdějších předpisů, a zákon č. 89/2012 Sb., občanský zákoník, ve znění pozdějších předpisů.</w:t>
            </w:r>
          </w:p>
          <w:p w14:paraId="6C75A4FC" w14:textId="77777777" w:rsidR="001E048A" w:rsidRPr="005C048D" w:rsidRDefault="001E048A" w:rsidP="001E048A">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713F122D" w14:textId="1833F6CB" w:rsidR="005A405A" w:rsidRPr="005C048D" w:rsidRDefault="005A405A" w:rsidP="005A405A">
            <w:pPr>
              <w:pStyle w:val="text-large"/>
              <w:shd w:val="clear" w:color="auto" w:fill="D9D9D9" w:themeFill="background1" w:themeFillShade="D9"/>
              <w:spacing w:line="408" w:lineRule="atLeast"/>
              <w:jc w:val="both"/>
              <w:rPr>
                <w:rFonts w:asciiTheme="majorHAnsi" w:hAnsiTheme="majorHAnsi" w:cstheme="majorHAnsi"/>
                <w:b/>
                <w:bCs/>
                <w:sz w:val="20"/>
                <w:szCs w:val="20"/>
              </w:rPr>
            </w:pPr>
            <w:r w:rsidRPr="005C048D">
              <w:rPr>
                <w:rFonts w:asciiTheme="majorHAnsi" w:hAnsiTheme="majorHAnsi" w:cstheme="majorHAnsi"/>
                <w:b/>
                <w:bCs/>
                <w:sz w:val="20"/>
                <w:szCs w:val="20"/>
              </w:rPr>
              <w:t>Věcné posouzení ze strany OPS:</w:t>
            </w:r>
          </w:p>
          <w:p w14:paraId="19955C78" w14:textId="1AC0CB2C" w:rsidR="005A405A" w:rsidRPr="005C048D" w:rsidRDefault="005A405A" w:rsidP="005A405A">
            <w:pPr>
              <w:pStyle w:val="text-large"/>
              <w:shd w:val="clear" w:color="auto" w:fill="D9D9D9" w:themeFill="background1" w:themeFillShade="D9"/>
              <w:spacing w:line="360" w:lineRule="auto"/>
              <w:jc w:val="both"/>
              <w:rPr>
                <w:rFonts w:asciiTheme="majorHAnsi" w:hAnsiTheme="majorHAnsi" w:cstheme="majorHAnsi"/>
                <w:sz w:val="20"/>
                <w:szCs w:val="20"/>
              </w:rPr>
            </w:pPr>
            <w:r w:rsidRPr="005C048D">
              <w:rPr>
                <w:rFonts w:asciiTheme="majorHAnsi" w:hAnsiTheme="majorHAnsi" w:cstheme="majorHAnsi"/>
                <w:sz w:val="20"/>
                <w:szCs w:val="20"/>
              </w:rPr>
              <w:t xml:space="preserve">Novela byla předmětem monitoringu v 1/2021 a 4/2021. Novela zpřesňuje povinnosti v oblasti reklamačního řízení, dále přílohou zákona zakotvuje zakázané ujednání do spotřebitelských smluv, a v neposlední řadě  dopadá do oblasti e-commerce . V této oblasti upravuje mimo jiné otázky recenzí (pravidla pro zákaznické recenze), větší informovanosti zákazníků,  silnější ochrany zákazníků v rámci nákupního procesu (např.  před odesláním objednávky musí být zákazník vyzván ke zkontrolování jejího obsahu,  je zakázáno spotřebitelům jakékoliv položky automaticky přihazovat do košíku, a to ani pomocí </w:t>
            </w:r>
            <w:proofErr w:type="spellStart"/>
            <w:r w:rsidRPr="005C048D">
              <w:rPr>
                <w:rFonts w:asciiTheme="majorHAnsi" w:hAnsiTheme="majorHAnsi" w:cstheme="majorHAnsi"/>
                <w:sz w:val="20"/>
                <w:szCs w:val="20"/>
              </w:rPr>
              <w:t>předzaškrtnutých</w:t>
            </w:r>
            <w:proofErr w:type="spellEnd"/>
            <w:r w:rsidRPr="005C048D">
              <w:rPr>
                <w:rFonts w:asciiTheme="majorHAnsi" w:hAnsiTheme="majorHAnsi" w:cstheme="majorHAnsi"/>
                <w:sz w:val="20"/>
                <w:szCs w:val="20"/>
              </w:rPr>
              <w:t xml:space="preserve"> okének; povinnost zaslat zákazníkovi obchodní podmínky -  v takovém formátu, který nelze v průběhu času měnit – nejčastěji ve formě PDF).</w:t>
            </w:r>
          </w:p>
          <w:p w14:paraId="1209269D" w14:textId="3B0BCD45" w:rsidR="005A405A" w:rsidRPr="005C048D" w:rsidRDefault="005A405A" w:rsidP="005A405A">
            <w:pPr>
              <w:pStyle w:val="text-large"/>
              <w:shd w:val="clear" w:color="auto" w:fill="D9D9D9" w:themeFill="background1" w:themeFillShade="D9"/>
              <w:spacing w:line="360" w:lineRule="auto"/>
              <w:jc w:val="both"/>
              <w:rPr>
                <w:rFonts w:asciiTheme="majorHAnsi" w:hAnsiTheme="majorHAnsi" w:cstheme="majorHAnsi"/>
                <w:sz w:val="20"/>
                <w:szCs w:val="20"/>
              </w:rPr>
            </w:pPr>
            <w:r w:rsidRPr="005C048D">
              <w:rPr>
                <w:rFonts w:asciiTheme="majorHAnsi" w:hAnsiTheme="majorHAnsi" w:cstheme="majorHAnsi"/>
                <w:sz w:val="20"/>
                <w:szCs w:val="20"/>
              </w:rPr>
              <w:t>Novela vyžaduje revizi reklamačního řádu a kontrolu smluv uzavíraných se spotřebiteli (zejména obchodní úsek - karty EuroOil) ve vztahu k zakázaným ujednáním</w:t>
            </w:r>
            <w:r w:rsidR="00B005FA">
              <w:rPr>
                <w:rFonts w:asciiTheme="majorHAnsi" w:hAnsiTheme="majorHAnsi" w:cstheme="majorHAnsi"/>
                <w:sz w:val="20"/>
                <w:szCs w:val="20"/>
              </w:rPr>
              <w:t xml:space="preserve"> (zajistí OPS v kooperaci s OÚ a OČS).</w:t>
            </w:r>
          </w:p>
          <w:p w14:paraId="6260451E" w14:textId="7401C2D1" w:rsidR="001E048A" w:rsidRPr="005C048D" w:rsidRDefault="005A405A" w:rsidP="005A405A">
            <w:pPr>
              <w:pStyle w:val="Bezmezer"/>
              <w:shd w:val="clear" w:color="auto" w:fill="D9D9D9" w:themeFill="background1" w:themeFillShade="D9"/>
              <w:tabs>
                <w:tab w:val="left" w:pos="4308"/>
              </w:tabs>
              <w:spacing w:line="360" w:lineRule="auto"/>
              <w:jc w:val="both"/>
              <w:rPr>
                <w:rFonts w:asciiTheme="majorHAnsi" w:eastAsia="Times New Roman" w:hAnsiTheme="majorHAnsi" w:cstheme="majorHAnsi"/>
                <w:sz w:val="20"/>
                <w:szCs w:val="20"/>
                <w:lang w:eastAsia="cs-CZ"/>
              </w:rPr>
            </w:pPr>
            <w:r w:rsidRPr="005C048D">
              <w:rPr>
                <w:rFonts w:asciiTheme="majorHAnsi" w:eastAsia="Times New Roman" w:hAnsiTheme="majorHAnsi" w:cstheme="majorHAnsi"/>
                <w:sz w:val="20"/>
                <w:szCs w:val="20"/>
                <w:lang w:eastAsia="cs-CZ"/>
              </w:rPr>
              <w:t>S ohledem na projekt e-commerce v prostředí  ČEPRO je také nutné provést revizi dokumentů a postupů aplikovaných na portále SRDCOVKA.  Aktuálně již na popud OPS učiněný před účinností novely dochází ze strany OIT ke změně textace objednávkových tlačítek v portále SRDCOVKA.</w:t>
            </w:r>
          </w:p>
          <w:p w14:paraId="48BAFA42" w14:textId="77777777" w:rsidR="005A405A" w:rsidRDefault="005A405A" w:rsidP="005A405A">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22488251" w14:textId="77777777" w:rsidR="001E048A" w:rsidRPr="00916FC4" w:rsidRDefault="001E048A" w:rsidP="001E048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w:t>
            </w:r>
          </w:p>
          <w:p w14:paraId="4B78B3DA" w14:textId="16ED607D" w:rsidR="00FD3A18" w:rsidRDefault="00FD3A18"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2B9B5AF3" w14:textId="01FCF752" w:rsidR="001E048A"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60A8AC80" w14:textId="77777777" w:rsidR="001E048A" w:rsidRPr="00DE0025"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37F02A10" w14:textId="5D484447" w:rsidR="00AB791D" w:rsidRPr="005C048D" w:rsidRDefault="00DE43F0" w:rsidP="00AB791D">
            <w:pPr>
              <w:jc w:val="center"/>
              <w:rPr>
                <w:rStyle w:val="Hypertextovodkaz"/>
                <w:rFonts w:ascii="Arial" w:eastAsia="Times New Roman" w:hAnsi="Arial" w:cs="Arial"/>
                <w:b w:val="0"/>
                <w:color w:val="auto"/>
                <w:sz w:val="24"/>
                <w:szCs w:val="24"/>
                <w:u w:val="none"/>
                <w:lang w:eastAsia="cs-CZ"/>
              </w:rPr>
            </w:pPr>
            <w:r>
              <w:rPr>
                <w:rStyle w:val="Hypertextovodkaz"/>
                <w:rFonts w:asciiTheme="majorHAnsi" w:eastAsiaTheme="minorHAnsi" w:hAnsiTheme="majorHAnsi" w:cstheme="majorHAnsi"/>
                <w:color w:val="000000"/>
                <w:sz w:val="24"/>
                <w:szCs w:val="24"/>
                <w:u w:val="none"/>
                <w:lang w:eastAsia="cs-CZ"/>
              </w:rPr>
              <w:t>Zákon č. 241/20</w:t>
            </w:r>
            <w:r w:rsidRPr="005C048D">
              <w:rPr>
                <w:rStyle w:val="Hypertextovodkaz"/>
                <w:rFonts w:asciiTheme="majorHAnsi" w:eastAsiaTheme="minorHAnsi" w:hAnsiTheme="majorHAnsi" w:cstheme="majorHAnsi"/>
                <w:color w:val="auto"/>
                <w:sz w:val="24"/>
                <w:szCs w:val="24"/>
                <w:u w:val="none"/>
                <w:lang w:eastAsia="cs-CZ"/>
              </w:rPr>
              <w:t xml:space="preserve">22 Sb., kterým se mění zákon č. 106/1999 Sb., o svobodném přístupu k informacím, , zákon č. 123/1998 Sb., o právu na informace o životním prostředí, , a zákon č. 130/2002 Sb., o podpoře výzkumu, experimentálního vývoje a inovací z veřejných prostředků a o změně některých souvisejících zákonů (zákon o podpoře </w:t>
            </w:r>
            <w:r w:rsidRPr="005C048D">
              <w:rPr>
                <w:rStyle w:val="Hypertextovodkaz"/>
                <w:rFonts w:asciiTheme="majorHAnsi" w:eastAsiaTheme="minorHAnsi" w:hAnsiTheme="majorHAnsi" w:cstheme="majorHAnsi"/>
                <w:color w:val="auto"/>
                <w:sz w:val="24"/>
                <w:szCs w:val="24"/>
                <w:u w:val="none"/>
                <w:lang w:eastAsia="cs-CZ"/>
              </w:rPr>
              <w:lastRenderedPageBreak/>
              <w:t xml:space="preserve">výzkumu, experimentálního vývoje a inovací) </w:t>
            </w:r>
            <w:r w:rsidR="009E03E7">
              <w:rPr>
                <w:rStyle w:val="Hypertextovodkaz"/>
                <w:rFonts w:ascii="Arial" w:eastAsia="Times New Roman" w:hAnsi="Arial" w:cs="Arial"/>
                <w:color w:val="auto"/>
                <w:sz w:val="24"/>
                <w:szCs w:val="24"/>
                <w:u w:val="none"/>
                <w:lang w:eastAsia="cs-CZ"/>
              </w:rPr>
              <w:pict w14:anchorId="0DB9721D">
                <v:rect id="_x0000_i1040" style="width:470.3pt;height:1.5pt" o:hralign="center" o:hrstd="t" o:hr="t" fillcolor="#a0a0a0" stroked="f"/>
              </w:pict>
            </w:r>
          </w:p>
          <w:p w14:paraId="138A6D59" w14:textId="65175537" w:rsidR="00AB791D" w:rsidRPr="005C048D" w:rsidRDefault="00DE43F0" w:rsidP="00AB791D">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Platné a účinné</w:t>
            </w:r>
          </w:p>
          <w:p w14:paraId="4091B863" w14:textId="25F909DE" w:rsidR="00AB791D" w:rsidRPr="005C048D" w:rsidRDefault="00DE43F0" w:rsidP="00AB791D">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Účinnost od 1.9.2022</w:t>
            </w:r>
          </w:p>
          <w:p w14:paraId="315B8BA0" w14:textId="77777777" w:rsidR="00AB791D" w:rsidRPr="005C048D" w:rsidRDefault="00AB791D" w:rsidP="00AB791D">
            <w:pPr>
              <w:pStyle w:val="Bezmezer"/>
              <w:jc w:val="right"/>
              <w:rPr>
                <w:rStyle w:val="Hypertextovodkaz"/>
                <w:rFonts w:ascii="Arial" w:hAnsi="Arial" w:cs="Arial"/>
                <w:color w:val="auto"/>
                <w:sz w:val="20"/>
                <w:szCs w:val="20"/>
                <w:u w:val="none"/>
                <w:lang w:eastAsia="cs-CZ"/>
              </w:rPr>
            </w:pPr>
          </w:p>
          <w:p w14:paraId="68DE0EC2" w14:textId="29E91D97" w:rsidR="00DE43F0" w:rsidRPr="005C048D" w:rsidRDefault="00DE43F0" w:rsidP="00B005FA">
            <w:pPr>
              <w:pStyle w:val="Bezmezer"/>
              <w:spacing w:line="360" w:lineRule="auto"/>
              <w:jc w:val="both"/>
              <w:rPr>
                <w:rStyle w:val="Hypertextovodkaz"/>
                <w:rFonts w:ascii="Arial" w:hAnsi="Arial" w:cs="Arial"/>
                <w:b/>
                <w:bCs/>
                <w:color w:val="auto"/>
                <w:sz w:val="20"/>
                <w:szCs w:val="20"/>
                <w:u w:val="none"/>
                <w:lang w:eastAsia="cs-CZ"/>
              </w:rPr>
            </w:pPr>
          </w:p>
          <w:p w14:paraId="2485515A" w14:textId="77777777" w:rsidR="00DE43F0" w:rsidRPr="005C048D" w:rsidRDefault="00DE43F0" w:rsidP="00B005FA">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Novela zákona má dělenou účinnost (1. 9. 2022, 1. 1. 2023 a 1. 1. 2024). Již nyní je tedy doplněno ustanovení § 2b, které stanovuje omezení povinnosti poskytování informací v oblasti hospodářské soutěže. Neposkytují se tedy informace o činnostech, které obchodní společnost uskutečňuje v běžném obchodním styku v rozsahu předmětu činnosti nebo podnikání veřejného podniku nebo veřejné instituce zapsané ve veřejném rejstříku. Druhou výjimkou jsou informace, které mají obchodní nebo průmyslovou povahu a poskytnutí informace by veřejnou instituci znevýhodnilo na relevantním trhu.</w:t>
            </w:r>
          </w:p>
          <w:p w14:paraId="298EB992" w14:textId="77777777" w:rsidR="00DE43F0" w:rsidRPr="005C048D" w:rsidRDefault="00DE43F0" w:rsidP="00B005FA">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 </w:t>
            </w:r>
          </w:p>
          <w:p w14:paraId="6371E1A4" w14:textId="107C6CB2" w:rsidR="00DE43F0" w:rsidRPr="005C048D" w:rsidRDefault="00DE43F0" w:rsidP="00B005FA">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Od 1. 1. 2023 naby</w:t>
            </w:r>
            <w:r w:rsidR="004C05F3" w:rsidRPr="005C048D">
              <w:rPr>
                <w:rStyle w:val="Hypertextovodkaz"/>
                <w:rFonts w:ascii="Arial" w:hAnsi="Arial" w:cs="Arial"/>
                <w:color w:val="auto"/>
                <w:sz w:val="20"/>
                <w:szCs w:val="20"/>
                <w:u w:val="none"/>
                <w:lang w:eastAsia="cs-CZ"/>
              </w:rPr>
              <w:t xml:space="preserve">l </w:t>
            </w:r>
            <w:r w:rsidRPr="005C048D">
              <w:rPr>
                <w:rStyle w:val="Hypertextovodkaz"/>
                <w:rFonts w:ascii="Arial" w:hAnsi="Arial" w:cs="Arial"/>
                <w:color w:val="auto"/>
                <w:sz w:val="20"/>
                <w:szCs w:val="20"/>
                <w:u w:val="none"/>
                <w:lang w:eastAsia="cs-CZ"/>
              </w:rPr>
              <w:t xml:space="preserve">účinnosti § 8c, jehož obsahem je informování o příjmech fyzických osob. Povinný subjekt poskytne informaci o výši příjmu osoby, které poskytl nebo poskytuje veřejné prostředky mající povahu příjmu ze závislé činnosti nebo funkčních požitků podle zákona o dani z příjmů. Rovněž od tohoto data bude do § 11 odst. 1 přidáno písm. f), které stanoví, že povinný subjekt může omezit poskytnutí informace, pokud její poskytnutí významně nebo přímo ohrožuje ochranu kritické infrastruktury. Dále bude přidán § 11a, dle </w:t>
            </w:r>
            <w:r w:rsidR="005E1BAB" w:rsidRPr="005C048D">
              <w:rPr>
                <w:rStyle w:val="Hypertextovodkaz"/>
                <w:rFonts w:ascii="Arial" w:hAnsi="Arial" w:cs="Arial"/>
                <w:color w:val="auto"/>
                <w:sz w:val="20"/>
                <w:szCs w:val="20"/>
                <w:u w:val="none"/>
                <w:lang w:eastAsia="cs-CZ"/>
              </w:rPr>
              <w:t>kterého</w:t>
            </w:r>
            <w:r w:rsidRPr="005C048D">
              <w:rPr>
                <w:rStyle w:val="Hypertextovodkaz"/>
                <w:rFonts w:ascii="Arial" w:hAnsi="Arial" w:cs="Arial"/>
                <w:color w:val="auto"/>
                <w:sz w:val="20"/>
                <w:szCs w:val="20"/>
                <w:u w:val="none"/>
                <w:lang w:eastAsia="cs-CZ"/>
              </w:rPr>
              <w:t xml:space="preserve"> bude moct povinný subjekt odmítnout žádost nebo její část, pokud lze ve vztahu k ní dovodit, že cílem žadatele je způsobit nepřiměřenou zátěž povinného subjektu. </w:t>
            </w:r>
          </w:p>
          <w:p w14:paraId="22EA34FC" w14:textId="77777777" w:rsidR="00DE43F0" w:rsidRPr="005C048D" w:rsidRDefault="00DE43F0" w:rsidP="00B005FA">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   </w:t>
            </w:r>
          </w:p>
          <w:p w14:paraId="6F210005" w14:textId="32F1AD68" w:rsidR="00DE43F0" w:rsidRPr="005C048D" w:rsidRDefault="00DE43F0" w:rsidP="00B005FA">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Od 1. 1. 2024 bude přidán § 18a, kterým bude zaveden centrální registr. Používání centrálního registru výročních zpráv v oblasti poskytování informací nebude zavedeno jako povinnost, ale jako možnost, která  bude alternativou ke stávajícímu způsobu zpracování a zveřejnění výroční zprávy. Namísto zveřejnění vlastní výroční zprávy tak bude možné zveřejnit odkaz na odkaz, který bude směřovat k údajům daného povinného subjektu v centrálním registru. </w:t>
            </w:r>
          </w:p>
          <w:p w14:paraId="7C964B77" w14:textId="6AD18A02" w:rsidR="004C05F3" w:rsidRDefault="004C05F3" w:rsidP="00DE43F0">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6F38D7B1" w14:textId="77777777" w:rsidR="00B005FA" w:rsidRPr="005C048D" w:rsidRDefault="00B005FA" w:rsidP="00B005FA">
            <w:pPr>
              <w:pStyle w:val="Bezmezer"/>
              <w:shd w:val="clear" w:color="auto" w:fill="F2F2F2" w:themeFill="background1" w:themeFillShade="F2"/>
              <w:spacing w:line="360" w:lineRule="auto"/>
              <w:jc w:val="both"/>
              <w:rPr>
                <w:rStyle w:val="Hypertextovodkaz"/>
                <w:rFonts w:ascii="Arial" w:hAnsi="Arial" w:cs="Arial"/>
                <w:b/>
                <w:bCs/>
                <w:color w:val="auto"/>
                <w:sz w:val="20"/>
                <w:szCs w:val="20"/>
                <w:u w:val="none"/>
                <w:lang w:eastAsia="cs-CZ"/>
              </w:rPr>
            </w:pPr>
            <w:r w:rsidRPr="005C048D">
              <w:rPr>
                <w:rStyle w:val="Hypertextovodkaz"/>
                <w:rFonts w:ascii="Arial" w:hAnsi="Arial" w:cs="Arial"/>
                <w:b/>
                <w:bCs/>
                <w:color w:val="auto"/>
                <w:sz w:val="20"/>
                <w:szCs w:val="20"/>
                <w:u w:val="none"/>
                <w:lang w:eastAsia="cs-CZ"/>
              </w:rPr>
              <w:t>Závěr věcného zhodnocení ze strany OPS:</w:t>
            </w:r>
          </w:p>
          <w:p w14:paraId="03A86BB6" w14:textId="77777777" w:rsidR="00B005FA" w:rsidRPr="005C048D" w:rsidRDefault="00B005FA" w:rsidP="00DE43F0">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p>
          <w:p w14:paraId="4385AC8F" w14:textId="6093818A" w:rsidR="004C05F3" w:rsidRPr="005C048D" w:rsidRDefault="004C05F3" w:rsidP="00DE43F0">
            <w:pPr>
              <w:pStyle w:val="Bezmezer"/>
              <w:shd w:val="clear" w:color="auto" w:fill="F2F2F2" w:themeFill="background1" w:themeFillShade="F2"/>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Dopad na procesy společnosti: Omezení povinnosti poskytovat informace a možnost následného odmítnutí žádosti, pokud budou splněny požadované podmínky (již využito). Možnost využití centrálního registru pro výroční zprávy (není stanoveno jako povinnost, bude záležet na rozhodnutí společnosti, zda se rozhodne pro využívání centrálního registru či nikoli).</w:t>
            </w:r>
          </w:p>
          <w:p w14:paraId="531808A1" w14:textId="77777777" w:rsidR="00DE43F0" w:rsidRPr="005C048D" w:rsidRDefault="00DE43F0" w:rsidP="00DE43F0">
            <w:pPr>
              <w:jc w:val="center"/>
              <w:rPr>
                <w:rStyle w:val="Hypertextovodkaz"/>
                <w:rFonts w:asciiTheme="majorHAnsi" w:eastAsiaTheme="minorHAnsi" w:hAnsiTheme="majorHAnsi" w:cstheme="majorHAnsi"/>
                <w:color w:val="auto"/>
                <w:sz w:val="24"/>
                <w:szCs w:val="24"/>
                <w:u w:val="none"/>
                <w:lang w:eastAsia="cs-CZ"/>
              </w:rPr>
            </w:pPr>
          </w:p>
          <w:p w14:paraId="08344B64" w14:textId="5CE013A2" w:rsidR="00DE43F0" w:rsidRPr="005C048D" w:rsidRDefault="007A38DC" w:rsidP="00DE43F0">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Theme="majorHAnsi" w:eastAsiaTheme="minorHAnsi" w:hAnsiTheme="majorHAnsi" w:cstheme="majorHAnsi"/>
                <w:color w:val="auto"/>
                <w:sz w:val="24"/>
                <w:szCs w:val="24"/>
                <w:u w:val="none"/>
                <w:lang w:eastAsia="cs-CZ"/>
              </w:rPr>
              <w:t>Návrh zákona o požadavcích na přístupnost služeb</w:t>
            </w:r>
            <w:r w:rsidR="009E03E7">
              <w:rPr>
                <w:rStyle w:val="Hypertextovodkaz"/>
                <w:rFonts w:ascii="Arial" w:eastAsia="Times New Roman" w:hAnsi="Arial" w:cs="Arial"/>
                <w:color w:val="auto"/>
                <w:sz w:val="24"/>
                <w:szCs w:val="24"/>
                <w:u w:val="none"/>
                <w:lang w:eastAsia="cs-CZ"/>
              </w:rPr>
              <w:pict w14:anchorId="083F8740">
                <v:rect id="_x0000_i1041" style="width:470.3pt;height:1.5pt" o:hralign="center" o:hrstd="t" o:hr="t" fillcolor="#a0a0a0" stroked="f"/>
              </w:pict>
            </w:r>
          </w:p>
          <w:p w14:paraId="593CE417" w14:textId="48F53711" w:rsidR="00DE43F0" w:rsidRPr="005C048D" w:rsidRDefault="007A38DC" w:rsidP="00DE43F0">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EKLEP KORNC9XGVCVG   </w:t>
            </w:r>
          </w:p>
          <w:p w14:paraId="10071901" w14:textId="7A77C7E7" w:rsidR="00DE43F0" w:rsidRPr="005C048D" w:rsidRDefault="007A38DC" w:rsidP="00DE43F0">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Připomínkové řízení ukončeno</w:t>
            </w:r>
          </w:p>
          <w:p w14:paraId="603CE06D" w14:textId="77777777" w:rsidR="007A38DC" w:rsidRPr="005C048D" w:rsidRDefault="007A38DC" w:rsidP="00DE43F0">
            <w:pPr>
              <w:pStyle w:val="Bezmezer"/>
              <w:jc w:val="right"/>
              <w:rPr>
                <w:rStyle w:val="Hypertextovodkaz"/>
                <w:rFonts w:ascii="Arial" w:hAnsi="Arial" w:cs="Arial"/>
                <w:color w:val="auto"/>
                <w:sz w:val="20"/>
                <w:szCs w:val="20"/>
                <w:u w:val="none"/>
                <w:lang w:eastAsia="cs-CZ"/>
              </w:rPr>
            </w:pPr>
          </w:p>
          <w:p w14:paraId="4AC6A601" w14:textId="41DB607C" w:rsidR="007A38DC" w:rsidRPr="005C048D" w:rsidRDefault="007A38DC" w:rsidP="00B005FA">
            <w:pPr>
              <w:pStyle w:val="text-large"/>
              <w:spacing w:before="0" w:beforeAutospacing="0" w:after="0" w:afterAutospacing="0" w:line="360" w:lineRule="auto"/>
              <w:jc w:val="both"/>
              <w:rPr>
                <w:rStyle w:val="Hypertextovodkaz"/>
                <w:rFonts w:ascii="Arial" w:eastAsiaTheme="minorHAnsi" w:hAnsi="Arial" w:cs="Arial"/>
                <w:color w:val="auto"/>
                <w:u w:val="none"/>
              </w:rPr>
            </w:pPr>
          </w:p>
          <w:p w14:paraId="6BAA4505" w14:textId="77777777" w:rsidR="007A38DC" w:rsidRPr="005C048D" w:rsidRDefault="007A38DC" w:rsidP="00B005FA">
            <w:pPr>
              <w:spacing w:line="360" w:lineRule="auto"/>
              <w:jc w:val="both"/>
              <w:rPr>
                <w:rStyle w:val="Hypertextovodkaz"/>
                <w:rFonts w:ascii="Arial" w:eastAsiaTheme="minorHAnsi" w:hAnsi="Arial" w:cs="Arial"/>
                <w:b w:val="0"/>
                <w:color w:val="auto"/>
                <w:sz w:val="20"/>
                <w:szCs w:val="20"/>
                <w:u w:val="none"/>
              </w:rPr>
            </w:pPr>
            <w:r w:rsidRPr="005C048D">
              <w:rPr>
                <w:rStyle w:val="Hypertextovodkaz"/>
                <w:rFonts w:ascii="Arial" w:eastAsiaTheme="minorHAnsi" w:hAnsi="Arial" w:cs="Arial"/>
                <w:b w:val="0"/>
                <w:color w:val="auto"/>
                <w:sz w:val="20"/>
                <w:szCs w:val="20"/>
                <w:u w:val="none"/>
              </w:rPr>
              <w:t xml:space="preserve">Jedná pouze o povinnou transpozici směrnice Evropského parlamentu a Rady (EU) 2019/882 ze dne 17. dubna 2019 o požadavcích na přístupnost u výrobků a služeb (dále jen „směrnice 2019/882“). Cílem směrnice 2019/882 je přispět k řádnému fungování vnitřního trhu harmonizací právních předpisů členských států, pokud jde o požadavky na přístupnost u určitých výrobků a služeb, jejichž rozdílná úprava mezi členskými státy může vytvářet </w:t>
            </w:r>
            <w:r w:rsidRPr="005C048D">
              <w:rPr>
                <w:rStyle w:val="Hypertextovodkaz"/>
                <w:rFonts w:ascii="Arial" w:eastAsiaTheme="minorHAnsi" w:hAnsi="Arial" w:cs="Arial"/>
                <w:b w:val="0"/>
                <w:color w:val="auto"/>
                <w:sz w:val="20"/>
                <w:szCs w:val="20"/>
                <w:u w:val="none"/>
              </w:rPr>
              <w:lastRenderedPageBreak/>
              <w:t xml:space="preserve">překážku obchodu. Předpisy v oblasti přístupnosti obecně stanoví požadavek, aby vybrané výrobky a služby byly použitelné pro osoby se zdravotním postižením nebo jiným funkčním omezením, ať už trvalým nebo dočasným (např. senioři). </w:t>
            </w:r>
          </w:p>
          <w:p w14:paraId="7E26D416" w14:textId="77777777" w:rsidR="007A38DC" w:rsidRPr="005C048D" w:rsidRDefault="007A38DC" w:rsidP="00B005FA">
            <w:pPr>
              <w:spacing w:line="360" w:lineRule="auto"/>
              <w:jc w:val="both"/>
              <w:rPr>
                <w:rStyle w:val="Hypertextovodkaz"/>
                <w:rFonts w:ascii="Arial" w:eastAsiaTheme="minorHAnsi" w:hAnsi="Arial" w:cs="Arial"/>
                <w:b w:val="0"/>
                <w:color w:val="auto"/>
                <w:sz w:val="20"/>
                <w:szCs w:val="20"/>
                <w:u w:val="none"/>
              </w:rPr>
            </w:pPr>
            <w:r w:rsidRPr="005C048D">
              <w:rPr>
                <w:rStyle w:val="Hypertextovodkaz"/>
                <w:rFonts w:ascii="Arial" w:eastAsiaTheme="minorHAnsi" w:hAnsi="Arial" w:cs="Arial"/>
                <w:b w:val="0"/>
                <w:color w:val="auto"/>
                <w:sz w:val="20"/>
                <w:szCs w:val="20"/>
                <w:u w:val="none"/>
              </w:rPr>
              <w:t>Tímto návrhem zákona dochází k transpozici směrnice 2019/882 v rozsahu úpravy přístupnosti služeb, kdy službami v působnosti směrnice 2019/882 jsou zejména služby elektronických komunikací, služby poskytující přístup k audiovizuálním mediálním službám, služby v oblasti dopravy, resp. některé prvky těchto služeb (včetně dopravy městské a regionální), finanční služby a další. Transpozice směrnice v části týkající se výrobků je zajištěna novelizací zákona č. 90/2016 Sb., o posuzování shody stanovených výrobků při jejich dodávání na trh.</w:t>
            </w:r>
          </w:p>
          <w:p w14:paraId="32A35930" w14:textId="77777777" w:rsidR="007A38DC" w:rsidRPr="005C048D" w:rsidRDefault="007A38DC" w:rsidP="00B005FA">
            <w:pPr>
              <w:spacing w:line="360" w:lineRule="auto"/>
              <w:jc w:val="both"/>
              <w:rPr>
                <w:rStyle w:val="Hypertextovodkaz"/>
                <w:rFonts w:ascii="Arial" w:eastAsiaTheme="minorHAnsi" w:hAnsi="Arial" w:cs="Arial"/>
                <w:b w:val="0"/>
                <w:color w:val="auto"/>
                <w:sz w:val="20"/>
                <w:szCs w:val="20"/>
                <w:u w:val="none"/>
              </w:rPr>
            </w:pPr>
          </w:p>
          <w:p w14:paraId="3FA15064" w14:textId="6D824792" w:rsidR="007A38DC" w:rsidRPr="005C048D" w:rsidRDefault="007A38DC" w:rsidP="00B005FA">
            <w:pPr>
              <w:spacing w:line="360" w:lineRule="auto"/>
              <w:jc w:val="both"/>
              <w:rPr>
                <w:rStyle w:val="Hypertextovodkaz"/>
                <w:rFonts w:ascii="Arial" w:eastAsiaTheme="minorHAnsi" w:hAnsi="Arial" w:cs="Arial"/>
                <w:b w:val="0"/>
                <w:color w:val="auto"/>
                <w:sz w:val="20"/>
                <w:szCs w:val="20"/>
                <w:u w:val="none"/>
              </w:rPr>
            </w:pPr>
            <w:r w:rsidRPr="005C048D">
              <w:rPr>
                <w:rStyle w:val="Hypertextovodkaz"/>
                <w:rFonts w:ascii="Arial" w:eastAsiaTheme="minorHAnsi" w:hAnsi="Arial" w:cs="Arial"/>
                <w:b w:val="0"/>
                <w:color w:val="auto"/>
                <w:sz w:val="20"/>
                <w:szCs w:val="20"/>
                <w:u w:val="none"/>
              </w:rPr>
              <w:t>Cílem návrhu zákona je zlepšit fungování vnitřního trhu se specifickým přístupem k službám a zároveň usnadnit práci poskytovatelům služeb a vycházet vstříc potřebám spotřebitelů, jakož i přispět k cílům strategie Evropa 2020 a Evropské strategie pro pomoc osobám se zdravotním postižením 2010-2020. Konkrétními cíli jsou snížení překážek přeshraničního obchodu a zvýšení hospodářské soutěže v oblasti vybraných služeb a v oblasti veřejných zakázek, jakož i usnadnění přístupu spotřebitelů se zdravotním postižením k širší nabídce přístupných služeb za konkurenceschopné ceny.</w:t>
            </w:r>
          </w:p>
          <w:p w14:paraId="3A009204" w14:textId="42EE8589" w:rsidR="004C05F3" w:rsidRPr="005C048D" w:rsidRDefault="004C05F3" w:rsidP="007A38DC">
            <w:pPr>
              <w:shd w:val="clear" w:color="auto" w:fill="F2F2F2" w:themeFill="background1" w:themeFillShade="F2"/>
              <w:spacing w:line="360" w:lineRule="auto"/>
              <w:jc w:val="both"/>
              <w:rPr>
                <w:rStyle w:val="Hypertextovodkaz"/>
                <w:rFonts w:ascii="Arial" w:eastAsiaTheme="minorHAnsi" w:hAnsi="Arial" w:cs="Arial"/>
                <w:b w:val="0"/>
                <w:color w:val="auto"/>
                <w:sz w:val="20"/>
                <w:szCs w:val="20"/>
                <w:u w:val="none"/>
              </w:rPr>
            </w:pPr>
          </w:p>
          <w:p w14:paraId="4D593D6A" w14:textId="77777777" w:rsidR="00B005FA" w:rsidRPr="005C048D" w:rsidRDefault="00B005FA" w:rsidP="00B005FA">
            <w:pPr>
              <w:pStyle w:val="Bezmezer"/>
              <w:shd w:val="clear" w:color="auto" w:fill="F2F2F2" w:themeFill="background1" w:themeFillShade="F2"/>
              <w:spacing w:line="360" w:lineRule="auto"/>
              <w:jc w:val="both"/>
              <w:rPr>
                <w:rStyle w:val="Hypertextovodkaz"/>
                <w:rFonts w:ascii="Arial" w:hAnsi="Arial" w:cs="Arial"/>
                <w:b/>
                <w:bCs/>
                <w:color w:val="auto"/>
                <w:sz w:val="20"/>
                <w:szCs w:val="20"/>
                <w:u w:val="none"/>
                <w:lang w:eastAsia="cs-CZ"/>
              </w:rPr>
            </w:pPr>
            <w:r w:rsidRPr="005C048D">
              <w:rPr>
                <w:rStyle w:val="Hypertextovodkaz"/>
                <w:rFonts w:ascii="Arial" w:hAnsi="Arial" w:cs="Arial"/>
                <w:b/>
                <w:bCs/>
                <w:color w:val="auto"/>
                <w:sz w:val="20"/>
                <w:szCs w:val="20"/>
                <w:u w:val="none"/>
                <w:lang w:eastAsia="cs-CZ"/>
              </w:rPr>
              <w:t>Závěr věcného zhodnocení ze strany OPS:</w:t>
            </w:r>
          </w:p>
          <w:p w14:paraId="1AF1E7E0" w14:textId="77777777" w:rsidR="00B005FA" w:rsidRDefault="00B005FA" w:rsidP="007A38DC">
            <w:pPr>
              <w:shd w:val="clear" w:color="auto" w:fill="F2F2F2" w:themeFill="background1" w:themeFillShade="F2"/>
              <w:spacing w:line="360" w:lineRule="auto"/>
              <w:jc w:val="both"/>
              <w:rPr>
                <w:rStyle w:val="Hypertextovodkaz"/>
                <w:rFonts w:ascii="Arial" w:eastAsiaTheme="minorHAnsi" w:hAnsi="Arial" w:cs="Arial"/>
                <w:b w:val="0"/>
                <w:color w:val="auto"/>
                <w:sz w:val="20"/>
                <w:szCs w:val="20"/>
                <w:u w:val="none"/>
              </w:rPr>
            </w:pPr>
          </w:p>
          <w:p w14:paraId="5385A9B1" w14:textId="65DE445F" w:rsidR="004C05F3" w:rsidRPr="005C048D" w:rsidRDefault="004C05F3" w:rsidP="007A38DC">
            <w:pPr>
              <w:shd w:val="clear" w:color="auto" w:fill="F2F2F2" w:themeFill="background1" w:themeFillShade="F2"/>
              <w:spacing w:line="360" w:lineRule="auto"/>
              <w:jc w:val="both"/>
              <w:rPr>
                <w:rStyle w:val="Hypertextovodkaz"/>
                <w:rFonts w:ascii="Arial" w:eastAsiaTheme="minorHAnsi" w:hAnsi="Arial" w:cs="Arial"/>
                <w:b w:val="0"/>
                <w:color w:val="auto"/>
                <w:sz w:val="20"/>
                <w:szCs w:val="20"/>
                <w:u w:val="none"/>
              </w:rPr>
            </w:pPr>
            <w:r w:rsidRPr="005C048D">
              <w:rPr>
                <w:rStyle w:val="Hypertextovodkaz"/>
                <w:rFonts w:ascii="Arial" w:eastAsiaTheme="minorHAnsi" w:hAnsi="Arial" w:cs="Arial"/>
                <w:b w:val="0"/>
                <w:color w:val="auto"/>
                <w:sz w:val="20"/>
                <w:szCs w:val="20"/>
                <w:u w:val="none"/>
              </w:rPr>
              <w:t>Návrh zákona se vztahuje na elektronické obchodování (služby poskytované na dálku prostřednictvím internetových stránek a služby poskytované na mobilních zařízení, elektronickými prostředky a na individuální žádost spotřebitele s cílem uzavřít spotřebitelskou smlouvou). Doporučuje se zkontrolovat, zda poskytování služby Srdcovka odpovídá požadavkům zákona (tj. zda je služba využitelná pro osoby se zdravotním postižením nebo jiným funkčním omezením, ať už trvalým nebo dočasným)</w:t>
            </w:r>
          </w:p>
          <w:p w14:paraId="56366371" w14:textId="77777777" w:rsidR="007A38DC" w:rsidRPr="005C048D" w:rsidRDefault="007A38DC" w:rsidP="007A38DC">
            <w:pPr>
              <w:jc w:val="center"/>
              <w:rPr>
                <w:rStyle w:val="Hypertextovodkaz"/>
                <w:rFonts w:asciiTheme="majorHAnsi" w:eastAsiaTheme="minorHAnsi" w:hAnsiTheme="majorHAnsi" w:cstheme="majorHAnsi"/>
                <w:color w:val="auto"/>
                <w:sz w:val="24"/>
                <w:szCs w:val="24"/>
                <w:u w:val="none"/>
                <w:lang w:eastAsia="cs-CZ"/>
              </w:rPr>
            </w:pPr>
          </w:p>
          <w:p w14:paraId="1F455ABD" w14:textId="198DC306" w:rsidR="007A38DC" w:rsidRPr="005C048D" w:rsidRDefault="007A38DC" w:rsidP="007A38DC">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Theme="majorHAnsi" w:eastAsiaTheme="minorHAnsi" w:hAnsiTheme="majorHAnsi" w:cstheme="majorHAnsi"/>
                <w:color w:val="auto"/>
                <w:sz w:val="24"/>
                <w:szCs w:val="24"/>
                <w:u w:val="none"/>
                <w:lang w:eastAsia="cs-CZ"/>
              </w:rPr>
              <w:t>Zákon č. 214/2022 Sb., kterým se mění zákon č. 99/1963 Sb., občanský soudní řád, zákon č. 120/2001 Sb., zákon č. 286/2021 Sb.</w:t>
            </w:r>
            <w:r w:rsidR="009E03E7">
              <w:rPr>
                <w:rStyle w:val="Hypertextovodkaz"/>
                <w:rFonts w:ascii="Arial" w:eastAsia="Times New Roman" w:hAnsi="Arial" w:cs="Arial"/>
                <w:color w:val="auto"/>
                <w:sz w:val="24"/>
                <w:szCs w:val="24"/>
                <w:u w:val="none"/>
                <w:lang w:eastAsia="cs-CZ"/>
              </w:rPr>
              <w:pict w14:anchorId="54E98FFA">
                <v:rect id="_x0000_i1042" style="width:470.3pt;height:1.5pt" o:hralign="center" o:hrstd="t" o:hr="t" fillcolor="#a0a0a0" stroked="f"/>
              </w:pict>
            </w:r>
          </w:p>
          <w:p w14:paraId="42B6D43C" w14:textId="357783F7" w:rsidR="007A38DC" w:rsidRPr="005C048D" w:rsidRDefault="007A38DC" w:rsidP="007A38DC">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Účinné od 1.9.2022</w:t>
            </w:r>
          </w:p>
          <w:p w14:paraId="377F145B" w14:textId="77777777" w:rsidR="007A38DC" w:rsidRPr="005C048D" w:rsidRDefault="007A38DC" w:rsidP="007A38DC">
            <w:pPr>
              <w:pStyle w:val="Bezmezer"/>
              <w:jc w:val="right"/>
              <w:rPr>
                <w:rStyle w:val="Hypertextovodkaz"/>
                <w:rFonts w:ascii="Arial" w:hAnsi="Arial" w:cs="Arial"/>
                <w:color w:val="auto"/>
                <w:sz w:val="20"/>
                <w:szCs w:val="20"/>
                <w:u w:val="none"/>
                <w:lang w:eastAsia="cs-CZ"/>
              </w:rPr>
            </w:pPr>
          </w:p>
          <w:p w14:paraId="213CA853" w14:textId="77777777" w:rsidR="007A38DC" w:rsidRPr="005C048D" w:rsidRDefault="007A38DC" w:rsidP="007A38DC">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2F1233A6" w14:textId="77777777" w:rsidR="007A38DC" w:rsidRPr="005C048D" w:rsidRDefault="007A38DC" w:rsidP="007A38DC">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color w:val="auto"/>
                <w:sz w:val="20"/>
                <w:szCs w:val="20"/>
                <w:u w:val="none"/>
              </w:rPr>
            </w:pPr>
          </w:p>
          <w:p w14:paraId="2DF90681" w14:textId="77777777" w:rsidR="004C05F3" w:rsidRPr="005C048D" w:rsidRDefault="007A38DC" w:rsidP="007A38DC">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xml:space="preserve">Milostivé léto II se bude vztahovat pouze na exekuce zahájené před 28. říjnem 2021 a na dluhy u veřejných institucí nebo státních či polostátních podniků (zařazení společnosti ČEPRO, a.s. § 1 odst. 2 písm. n) právnická osoba, v níž má stát nebo územní samosprávný celek sám nebo s jinými územními samosprávnými celky většinovou majetkovou účast, a to i prostřednictvím jiné právnické osoby). </w:t>
            </w:r>
          </w:p>
          <w:p w14:paraId="282D3C3D" w14:textId="77777777" w:rsidR="004C05F3" w:rsidRPr="005C048D" w:rsidRDefault="004C05F3" w:rsidP="007A38DC">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color w:val="auto"/>
                <w:sz w:val="20"/>
                <w:szCs w:val="20"/>
                <w:u w:val="none"/>
              </w:rPr>
            </w:pPr>
          </w:p>
          <w:p w14:paraId="1E8AFBC6" w14:textId="457B59B5" w:rsidR="007A38DC" w:rsidRPr="005C048D" w:rsidRDefault="007A38DC" w:rsidP="007A38DC">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Využití: pouze pokud máme jako dlužníka fyzickou osobou, která není v insolvenčním řízení a jeho exekuce byla zahájena před 28. říjnem 2021.</w:t>
            </w:r>
          </w:p>
          <w:p w14:paraId="17807A24" w14:textId="36DA71BF" w:rsidR="007A38DC" w:rsidRPr="005C048D" w:rsidRDefault="007A38DC" w:rsidP="00361BA9">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4E6CA0C0" w14:textId="6A7E49E3" w:rsidR="007A38DC" w:rsidRPr="005C048D" w:rsidRDefault="007A38DC" w:rsidP="007A38DC">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Theme="majorHAnsi" w:eastAsiaTheme="minorHAnsi" w:hAnsiTheme="majorHAnsi" w:cstheme="majorHAnsi"/>
                <w:color w:val="auto"/>
                <w:sz w:val="24"/>
                <w:szCs w:val="24"/>
                <w:u w:val="none"/>
                <w:lang w:eastAsia="cs-CZ"/>
              </w:rPr>
              <w:t xml:space="preserve">Návrh směrnice Evropského parlamentu a Rady, kterou se posiluje uplatňování zásady stejné odměny mužů a žen za stejnou nebo  rovnocennou práci prostřednictvím </w:t>
            </w:r>
            <w:r w:rsidRPr="005C048D">
              <w:rPr>
                <w:rStyle w:val="Hypertextovodkaz"/>
                <w:rFonts w:asciiTheme="majorHAnsi" w:eastAsiaTheme="minorHAnsi" w:hAnsiTheme="majorHAnsi" w:cstheme="majorHAnsi"/>
                <w:color w:val="auto"/>
                <w:sz w:val="24"/>
                <w:szCs w:val="24"/>
                <w:u w:val="none"/>
                <w:lang w:eastAsia="cs-CZ"/>
              </w:rPr>
              <w:lastRenderedPageBreak/>
              <w:t>transparentnosti odměňování a mechanismů  prosazování</w:t>
            </w:r>
            <w:r w:rsidR="009E03E7">
              <w:rPr>
                <w:rStyle w:val="Hypertextovodkaz"/>
                <w:rFonts w:ascii="Arial" w:eastAsia="Times New Roman" w:hAnsi="Arial" w:cs="Arial"/>
                <w:color w:val="auto"/>
                <w:sz w:val="24"/>
                <w:szCs w:val="24"/>
                <w:u w:val="none"/>
                <w:lang w:eastAsia="cs-CZ"/>
              </w:rPr>
              <w:pict w14:anchorId="49549F35">
                <v:rect id="_x0000_i1043" style="width:470.3pt;height:1.5pt" o:hralign="center" o:hrstd="t" o:hr="t" fillcolor="#a0a0a0" stroked="f"/>
              </w:pict>
            </w:r>
          </w:p>
          <w:p w14:paraId="4C5CD47E" w14:textId="00846A98" w:rsidR="007A38DC" w:rsidRPr="005C048D" w:rsidRDefault="00B004EE" w:rsidP="007A38DC">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čekání na postoj Evropského parlamentu v 1. čtení</w:t>
            </w:r>
          </w:p>
          <w:p w14:paraId="270C3B02"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xml:space="preserve">Cílem návrhu směrnice je řešit přetrvávající nedostatečné prosazování základního práva na stejnou odměnu a zajistit dodržování tohoto práva v celé EU tím, že budou zavedeny standardy transparentnosti odměňování za účelem posílení postavení pracovníků při uplatňování svého práva na stejnou odměnu. </w:t>
            </w:r>
          </w:p>
          <w:p w14:paraId="1B407C8B"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xml:space="preserve">Transparentnost odměňování umožňuje pracovníkům odhalovat a prokazovat možnou diskriminaci na základě pohlaví. Rovněž poukazuje na genderovou předpojatost v systémech odměňování a klasifikace práce, které neoceňují práci žen a mužů stejně a způsobem, který je neutrální z hlediska pohlaví, nebo které neoceňují určité pracovní dovednosti, jež jsou většinou považovány za ženské vlastnosti. </w:t>
            </w:r>
          </w:p>
          <w:p w14:paraId="13F6988C"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p>
          <w:p w14:paraId="7646E13D"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Významná ustanovení návrhu:</w:t>
            </w:r>
          </w:p>
          <w:p w14:paraId="183BCBB6"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Článek 4 návrhu stanovuje státům povinnost přijmout opatření, která zajišťují zavedení struktur rovného odměňování za stejnou a rovnocennou práci pro ženy i muže ze strany zaměstnavatele (a jejich následnou kontrolu).</w:t>
            </w:r>
          </w:p>
          <w:p w14:paraId="4902C3FB"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Článek 5 návrhu zavádí nově právo uchazečů o zaměstnání získat od potenciálního zaměstnavatele informace o počáteční úrovni nebo rozpětí odměny.</w:t>
            </w:r>
          </w:p>
          <w:p w14:paraId="0A255D3D"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Článek 6 návrhu zavádí povinnost zaměstnavatele transparentně stanovovat odměny a politiku kariérního postupu.</w:t>
            </w:r>
          </w:p>
          <w:p w14:paraId="56769399"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Článek 7 návrhu zavádí povinnost informovat zaměstnance o průměrných úrovních odměňování rozdělených podle pohlaví pro kategorie pracovníků, kteří vykonávají stejnou nebo rovnocennou práci.</w:t>
            </w:r>
          </w:p>
          <w:p w14:paraId="1E093564"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Článek 8 návrhu stanovuje povinnost zaměstnavatelů s nejméně 250 pracovníky zveřejňovat a zpřístupňovat určité informace, například rozdíly v odměňování mezi ženami a muži pracujícími v jejich organizaci, a to i pokud jde o doplňkové nebo proměnné složky nad rámec obvyklého základního platu.</w:t>
            </w:r>
          </w:p>
          <w:p w14:paraId="62520AE1"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Pokud se prokáže rozdíl v odměňování, který není odůvodněn objektivními a genderově neutrálními faktory, zavádí článek 9 návrhu povinnost dotčeného zaměstnavatele provést společné posouzení odměňování.</w:t>
            </w:r>
          </w:p>
          <w:p w14:paraId="00783382"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Nově je dle článku 13 návrhu vyžadováno zavedení možnosti zapojení se do soudního řízení za účelem vymáhání povinností podle tohoto návrhu pro sdružení, organizace, subjekty pro rovné zacházení a zástupce zaměstnanců. Toto ustanovení navíc zavádí právo subjektů pro rovné́ zacházení a zástupců zaměstnanců podávat žaloby jménem vícero pracovníků (pokud k tomu dají dotčení pracovníci souhlas).</w:t>
            </w:r>
          </w:p>
          <w:p w14:paraId="1E5CA692"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lastRenderedPageBreak/>
              <w:t>Dalším významným ustanovením je článek 16 návrhu vyžadující v případech zjevné diskriminace přenesení důkazního břemena na žalovaného.</w:t>
            </w:r>
          </w:p>
          <w:p w14:paraId="636EE630" w14:textId="77777777" w:rsidR="00C50C1A" w:rsidRPr="005C048D" w:rsidRDefault="00C50C1A"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Ustanovení článku 19 návrhu zajišťuje žalobcům, kteří byli ve své žalobě týkající se diskriminace v odměňování úspěšní, právo vymáhat od žalovaného soudní výlohy a poplatky za znalce. A naopak žalovaní, kteří měli ve věci týkající se diskriminace v odměňování úspěch, takové právo mít nebudou.</w:t>
            </w:r>
          </w:p>
          <w:p w14:paraId="754A8ED7" w14:textId="65177BAC" w:rsidR="007A38DC" w:rsidRDefault="00C50C1A" w:rsidP="00B005FA">
            <w:pPr>
              <w:pStyle w:val="text-large"/>
              <w:spacing w:before="0" w:beforeAutospacing="0" w:after="0" w:afterAutospacing="0" w:line="408" w:lineRule="atLeast"/>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Směrnice, pokud bude přijata, může mít dopad na právní řád ČR, zejména na zákon č. 198/2009 Sb., o rovném zacházení a o právních prostředcích ochrany před diskriminací a o změně některých zákonů (antidiskriminační zákon) a zákon č. 262/2006 Sb., zákoník práce, popř. jiné právní předpisy, které upravují odměňování, např. zákon o státní službě.</w:t>
            </w:r>
          </w:p>
          <w:p w14:paraId="50F050E5" w14:textId="77777777" w:rsidR="00B005FA" w:rsidRPr="005C048D" w:rsidRDefault="00B005FA" w:rsidP="00C50C1A">
            <w:pPr>
              <w:pStyle w:val="text-large"/>
              <w:shd w:val="clear" w:color="auto" w:fill="F2F2F2" w:themeFill="background1" w:themeFillShade="F2"/>
              <w:spacing w:before="0" w:beforeAutospacing="0" w:after="0" w:afterAutospacing="0" w:line="408" w:lineRule="atLeast"/>
              <w:jc w:val="both"/>
              <w:rPr>
                <w:rStyle w:val="Hypertextovodkaz"/>
                <w:rFonts w:ascii="Arial" w:eastAsiaTheme="minorHAnsi" w:hAnsi="Arial" w:cs="Arial"/>
                <w:color w:val="auto"/>
                <w:sz w:val="20"/>
                <w:szCs w:val="20"/>
                <w:u w:val="none"/>
              </w:rPr>
            </w:pPr>
          </w:p>
          <w:p w14:paraId="30631B35" w14:textId="77777777" w:rsidR="00B005FA" w:rsidRPr="005C048D" w:rsidRDefault="00B005FA" w:rsidP="00B005FA">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2F028364" w14:textId="0E774FA6" w:rsidR="004C05F3" w:rsidRPr="005C048D" w:rsidRDefault="004C05F3" w:rsidP="00C50C1A">
            <w:pPr>
              <w:pStyle w:val="text-large"/>
              <w:shd w:val="clear" w:color="auto" w:fill="F2F2F2" w:themeFill="background1" w:themeFillShade="F2"/>
              <w:spacing w:before="0" w:beforeAutospacing="0" w:after="0" w:afterAutospacing="0" w:line="408" w:lineRule="atLeast"/>
              <w:jc w:val="both"/>
              <w:rPr>
                <w:rStyle w:val="Hypertextovodkaz"/>
                <w:rFonts w:ascii="Arial" w:eastAsiaTheme="minorHAnsi" w:hAnsi="Arial" w:cs="Arial"/>
                <w:color w:val="auto"/>
                <w:sz w:val="20"/>
                <w:szCs w:val="20"/>
                <w:u w:val="none"/>
              </w:rPr>
            </w:pPr>
          </w:p>
          <w:p w14:paraId="12374F40" w14:textId="03F02FB6" w:rsidR="004C05F3" w:rsidRPr="005C048D" w:rsidRDefault="004C05F3" w:rsidP="00C50C1A">
            <w:pPr>
              <w:pStyle w:val="text-large"/>
              <w:shd w:val="clear" w:color="auto" w:fill="F2F2F2" w:themeFill="background1" w:themeFillShade="F2"/>
              <w:spacing w:before="0" w:beforeAutospacing="0" w:after="0" w:afterAutospacing="0" w:line="408" w:lineRule="atLeast"/>
              <w:jc w:val="both"/>
              <w:rPr>
                <w:rFonts w:asciiTheme="majorHAnsi" w:hAnsiTheme="majorHAnsi" w:cstheme="majorHAnsi"/>
                <w:sz w:val="20"/>
                <w:szCs w:val="20"/>
              </w:rPr>
            </w:pPr>
            <w:r w:rsidRPr="005C048D">
              <w:rPr>
                <w:rFonts w:asciiTheme="majorHAnsi" w:hAnsiTheme="majorHAnsi" w:cstheme="majorHAnsi"/>
                <w:sz w:val="20"/>
                <w:szCs w:val="20"/>
              </w:rPr>
              <w:t>Pokud bude směrnice v tomto znění schválena, tak bude nutná následná kontrola ze strany OŘLZ, zda naše nastavení vyhovuje podmínkám transparentního odměňování (zejména předpis FŘ: 31/FŘ/70/01/2019 Odměňování a benefity).</w:t>
            </w:r>
          </w:p>
          <w:p w14:paraId="4E5D42E3" w14:textId="77777777" w:rsidR="00E104DD" w:rsidRPr="005C048D" w:rsidRDefault="00E104DD" w:rsidP="006A2953">
            <w:pPr>
              <w:jc w:val="center"/>
              <w:rPr>
                <w:rStyle w:val="Hypertextovodkaz"/>
                <w:rFonts w:asciiTheme="majorHAnsi" w:eastAsiaTheme="minorHAnsi" w:hAnsiTheme="majorHAnsi" w:cstheme="majorHAnsi"/>
                <w:color w:val="auto"/>
                <w:sz w:val="24"/>
                <w:szCs w:val="24"/>
                <w:u w:val="none"/>
                <w:lang w:eastAsia="cs-CZ"/>
              </w:rPr>
            </w:pPr>
          </w:p>
          <w:p w14:paraId="13DFCB05" w14:textId="7795F176" w:rsidR="006A2953" w:rsidRPr="005C048D" w:rsidRDefault="006A2953" w:rsidP="006A2953">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Theme="majorHAnsi" w:eastAsiaTheme="minorHAnsi" w:hAnsiTheme="majorHAnsi" w:cstheme="majorHAnsi"/>
                <w:color w:val="auto"/>
                <w:sz w:val="24"/>
                <w:szCs w:val="24"/>
                <w:u w:val="none"/>
                <w:lang w:eastAsia="cs-CZ"/>
              </w:rPr>
              <w:t>Zákon č. 1/2023 Sb., o omezujících opatřeních proti některým závažným protiprávním jednáním (sankční zákon)</w:t>
            </w:r>
            <w:r w:rsidR="009E03E7">
              <w:rPr>
                <w:rStyle w:val="Hypertextovodkaz"/>
                <w:rFonts w:ascii="Arial" w:eastAsia="Times New Roman" w:hAnsi="Arial" w:cs="Arial"/>
                <w:color w:val="auto"/>
                <w:sz w:val="24"/>
                <w:szCs w:val="24"/>
                <w:u w:val="none"/>
                <w:lang w:eastAsia="cs-CZ"/>
              </w:rPr>
              <w:pict w14:anchorId="730B4EED">
                <v:rect id="_x0000_i1044" style="width:470.3pt;height:1.5pt" o:hralign="center" o:hrstd="t" o:hr="t" fillcolor="#a0a0a0" stroked="f"/>
              </w:pict>
            </w:r>
          </w:p>
          <w:p w14:paraId="0B7C281B" w14:textId="4F9190FF" w:rsidR="006A2953" w:rsidRPr="005C048D" w:rsidRDefault="006A2953" w:rsidP="006A2953">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Účinné od </w:t>
            </w:r>
            <w:r w:rsidR="00E104DD" w:rsidRPr="005C048D">
              <w:rPr>
                <w:rStyle w:val="Hypertextovodkaz"/>
                <w:rFonts w:ascii="Arial" w:hAnsi="Arial" w:cs="Arial"/>
                <w:color w:val="auto"/>
                <w:sz w:val="20"/>
                <w:szCs w:val="20"/>
                <w:u w:val="none"/>
                <w:lang w:eastAsia="cs-CZ"/>
              </w:rPr>
              <w:t>3.1.2023</w:t>
            </w:r>
          </w:p>
          <w:p w14:paraId="5FFEB589" w14:textId="49872EE6" w:rsidR="006A2953" w:rsidRPr="005C048D" w:rsidRDefault="006A2953" w:rsidP="00770314">
            <w:pPr>
              <w:pStyle w:val="Bezmezer"/>
              <w:spacing w:line="360" w:lineRule="auto"/>
              <w:jc w:val="right"/>
              <w:rPr>
                <w:rStyle w:val="Hypertextovodkaz"/>
                <w:rFonts w:ascii="Arial" w:hAnsi="Arial" w:cs="Arial"/>
                <w:color w:val="auto"/>
                <w:sz w:val="20"/>
                <w:szCs w:val="20"/>
                <w:u w:val="none"/>
                <w:lang w:eastAsia="cs-CZ"/>
              </w:rPr>
            </w:pPr>
          </w:p>
          <w:p w14:paraId="239C6D9D" w14:textId="77777777" w:rsidR="006A2953" w:rsidRPr="005C048D" w:rsidRDefault="006A2953" w:rsidP="00770314">
            <w:pPr>
              <w:pStyle w:val="Bezmeze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Zákon stanoví:</w:t>
            </w:r>
          </w:p>
          <w:p w14:paraId="3A5E3E19" w14:textId="0E52EF04" w:rsidR="006A2953" w:rsidRPr="005C048D" w:rsidRDefault="006A2953" w:rsidP="00770314">
            <w:pPr>
              <w:pStyle w:val="Bezmezer"/>
              <w:numPr>
                <w:ilvl w:val="0"/>
                <w:numId w:val="45"/>
              </w:numP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postup předkládání návrhů na zařazení subjektů, vůči nimž by se měla uplatňovat omezující opatření, na sankční seznam podle příslušného předpisu Evropské unie, </w:t>
            </w:r>
          </w:p>
          <w:p w14:paraId="083F15DC" w14:textId="77777777" w:rsidR="006A2953" w:rsidRPr="005C048D" w:rsidRDefault="006A2953" w:rsidP="00770314">
            <w:pPr>
              <w:pStyle w:val="Bezmezer"/>
              <w:numPr>
                <w:ilvl w:val="0"/>
                <w:numId w:val="45"/>
              </w:numP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 xml:space="preserve">postup pro zápis subjektů na vnitrostátní sankční seznam, </w:t>
            </w:r>
          </w:p>
          <w:p w14:paraId="2B3F9220" w14:textId="742920E5" w:rsidR="006A2953" w:rsidRPr="005C048D" w:rsidRDefault="006A2953" w:rsidP="00770314">
            <w:pPr>
              <w:pStyle w:val="Bezmezer"/>
              <w:numPr>
                <w:ilvl w:val="0"/>
                <w:numId w:val="45"/>
              </w:numPr>
              <w:spacing w:line="360" w:lineRule="auto"/>
              <w:jc w:val="both"/>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pravidla přijímání vnitrostátních omezujících opatření vůči některým subjektům za jednání postižitelné podle příslušného předpisu Evropské unie některým shora uvedeným oblastem, které upravovala novela, jsou níže stanoveny podrobnější informace.</w:t>
            </w:r>
          </w:p>
          <w:p w14:paraId="7A5FA83D" w14:textId="77777777" w:rsidR="006A2953" w:rsidRPr="005C048D" w:rsidRDefault="006A2953" w:rsidP="00770314">
            <w:pPr>
              <w:pStyle w:val="Bezmezer"/>
              <w:spacing w:line="360" w:lineRule="auto"/>
              <w:jc w:val="both"/>
              <w:rPr>
                <w:rStyle w:val="Hypertextovodkaz"/>
                <w:rFonts w:ascii="Arial" w:hAnsi="Arial" w:cs="Arial"/>
                <w:color w:val="auto"/>
                <w:sz w:val="20"/>
                <w:szCs w:val="20"/>
                <w:u w:val="none"/>
                <w:lang w:eastAsia="cs-CZ"/>
              </w:rPr>
            </w:pPr>
          </w:p>
          <w:p w14:paraId="351B4A82" w14:textId="77777777" w:rsidR="006A2953" w:rsidRPr="005C048D" w:rsidRDefault="006A2953" w:rsidP="00770314">
            <w:pPr>
              <w:pStyle w:val="Bezmezer"/>
              <w:spacing w:line="360" w:lineRule="auto"/>
              <w:jc w:val="both"/>
              <w:rPr>
                <w:rStyle w:val="Hypertextovodkaz"/>
                <w:rFonts w:ascii="Arial" w:hAnsi="Arial" w:cs="Arial"/>
                <w:color w:val="auto"/>
                <w:sz w:val="20"/>
                <w:szCs w:val="20"/>
                <w:u w:val="none"/>
                <w:lang w:eastAsia="cs-CZ"/>
              </w:rPr>
            </w:pPr>
          </w:p>
          <w:p w14:paraId="730627A1" w14:textId="77777777" w:rsidR="006A2953" w:rsidRPr="005C048D" w:rsidRDefault="006A2953" w:rsidP="00770314">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4E2B337D" w14:textId="77777777" w:rsidR="006A2953" w:rsidRPr="005C048D" w:rsidRDefault="006A2953" w:rsidP="00770314">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color w:val="auto"/>
                <w:sz w:val="20"/>
                <w:szCs w:val="20"/>
                <w:u w:val="none"/>
              </w:rPr>
            </w:pPr>
          </w:p>
          <w:p w14:paraId="468A13C6" w14:textId="77777777" w:rsidR="006A2953" w:rsidRPr="005C048D" w:rsidRDefault="006A2953" w:rsidP="00770314">
            <w:pPr>
              <w:pStyle w:val="text-large"/>
              <w:shd w:val="clear" w:color="auto" w:fill="F2F2F2" w:themeFill="background1" w:themeFillShade="F2"/>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Ministerstvo zahraničních věcí podle nového zákona na svých stránkách zveřejňuje seznam sankcionovaných osob, u kterých se  uplatní režim zákona č. 69/2006 Sb., o provádění mezinárodních sankcí.</w:t>
            </w:r>
          </w:p>
          <w:p w14:paraId="3A257A68" w14:textId="197BE46F" w:rsidR="006A2953" w:rsidRPr="005C048D" w:rsidRDefault="006A2953" w:rsidP="00770314">
            <w:pPr>
              <w:pStyle w:val="text-large"/>
              <w:shd w:val="clear" w:color="auto" w:fill="F2F2F2" w:themeFill="background1" w:themeFillShade="F2"/>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lastRenderedPageBreak/>
              <w:t>S dopadem  na ČEPRO a jeho procesy a) výběr dodavatelů a b) obchodní protistrany (omezení v případě aplikace sankčního režimu na protistranu) = potřeba sledování sankčního seznamu a zajištění vyloučení sankcionovaných subjektů z dodavatelsko-odběratelských vztahů ČEPRO.</w:t>
            </w:r>
          </w:p>
          <w:p w14:paraId="142F13BB" w14:textId="5E3CB996" w:rsidR="006A2953" w:rsidRPr="005C048D" w:rsidRDefault="006A2953" w:rsidP="00770314">
            <w:pPr>
              <w:pStyle w:val="text-large"/>
              <w:shd w:val="clear" w:color="auto" w:fill="F2F2F2" w:themeFill="background1" w:themeFillShade="F2"/>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Novela dopadá do procesu upraveného Směrnicí 01/OCN/01/00/2018 Výběr dodavatele.</w:t>
            </w:r>
          </w:p>
          <w:p w14:paraId="72F3DA0A" w14:textId="13EB9798" w:rsidR="00E104DD" w:rsidRPr="005C048D" w:rsidRDefault="00E104DD" w:rsidP="00E104DD">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Theme="majorHAnsi" w:eastAsiaTheme="minorHAnsi" w:hAnsiTheme="majorHAnsi" w:cstheme="majorHAnsi"/>
                <w:color w:val="auto"/>
                <w:sz w:val="24"/>
                <w:szCs w:val="24"/>
                <w:u w:val="none"/>
                <w:lang w:eastAsia="cs-CZ"/>
              </w:rPr>
              <w:t>Vyhláška č. 346/2022 Sb., kterou se mění vyhláška č. 357/2013 Sb., o katastru nemovitostí (katastrální vyhláška), ve znění vyhlášky č. 87/2017 Sb. a vyhlášky č. 301/2019 Sb.</w:t>
            </w:r>
            <w:r w:rsidR="009E03E7">
              <w:rPr>
                <w:rStyle w:val="Hypertextovodkaz"/>
                <w:rFonts w:ascii="Arial" w:eastAsia="Times New Roman" w:hAnsi="Arial" w:cs="Arial"/>
                <w:color w:val="auto"/>
                <w:sz w:val="24"/>
                <w:szCs w:val="24"/>
                <w:u w:val="none"/>
                <w:lang w:eastAsia="cs-CZ"/>
              </w:rPr>
              <w:pict w14:anchorId="4C18EAC8">
                <v:rect id="_x0000_i1045" style="width:470.3pt;height:1.5pt" o:hralign="center" o:hrstd="t" o:hr="t" fillcolor="#a0a0a0" stroked="f"/>
              </w:pict>
            </w:r>
          </w:p>
          <w:p w14:paraId="1000943E" w14:textId="45564C6E" w:rsidR="00E104DD" w:rsidRPr="005C048D" w:rsidRDefault="00E104DD" w:rsidP="00E104DD">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Účinné od 1.1.2023</w:t>
            </w:r>
          </w:p>
          <w:p w14:paraId="0143C380" w14:textId="77777777" w:rsidR="00E104DD" w:rsidRPr="005C048D" w:rsidRDefault="00E104DD" w:rsidP="00E104DD">
            <w:pPr>
              <w:pStyle w:val="Bezmezer"/>
              <w:jc w:val="right"/>
              <w:rPr>
                <w:rStyle w:val="Hypertextovodkaz"/>
                <w:rFonts w:ascii="Arial" w:hAnsi="Arial" w:cs="Arial"/>
                <w:color w:val="auto"/>
                <w:sz w:val="20"/>
                <w:szCs w:val="20"/>
                <w:u w:val="none"/>
                <w:lang w:eastAsia="cs-CZ"/>
              </w:rPr>
            </w:pPr>
          </w:p>
          <w:p w14:paraId="2B38CCFC" w14:textId="77777777" w:rsidR="00E104DD" w:rsidRPr="005C048D" w:rsidRDefault="00E104DD" w:rsidP="00B005FA">
            <w:pPr>
              <w:pStyle w:val="text-large"/>
              <w:spacing w:before="0" w:beforeAutospacing="0" w:after="0" w:afterAutospacing="0" w:line="360" w:lineRule="auto"/>
              <w:jc w:val="both"/>
              <w:rPr>
                <w:rStyle w:val="Hypertextovodkaz"/>
                <w:rFonts w:ascii="Arial" w:eastAsiaTheme="minorHAnsi" w:hAnsi="Arial" w:cs="Arial"/>
                <w:color w:val="auto"/>
                <w:sz w:val="20"/>
                <w:szCs w:val="20"/>
                <w:u w:val="none"/>
              </w:rPr>
            </w:pPr>
          </w:p>
          <w:p w14:paraId="6C07E680"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Revize některých částí vyhlášky; vedle úprav pro upřesnění evidenčních dat, tyto podstatné novinky:</w:t>
            </w:r>
          </w:p>
          <w:p w14:paraId="0622BE32"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18</w:t>
            </w:r>
          </w:p>
          <w:p w14:paraId="7DE73889"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w:t>
            </w:r>
            <w:r w:rsidRPr="005C048D">
              <w:rPr>
                <w:rStyle w:val="Hypertextovodkaz"/>
                <w:rFonts w:ascii="Arial" w:eastAsiaTheme="minorHAnsi" w:hAnsi="Arial" w:cs="Arial"/>
                <w:color w:val="auto"/>
                <w:sz w:val="20"/>
                <w:szCs w:val="20"/>
                <w:u w:val="none"/>
              </w:rPr>
              <w:tab/>
              <w:t xml:space="preserve">U předkupního práva, výhrady vlastnického práva, výhrady práva zpětné koupě, výhrady práva lepšího kupce s rozvazovací podmínkou, výhrady práva lepšího kupce s odkládací podmínkou, ujednání o koupi na zkoušku s odkládací podmínkou a zákazu zcizení nebo zatížení se nově zapisuje údaj o tom, že předkupní právo nebo výhrada práva zpětné koupě je zcizitelné, pokud bylo jako zcizitelné ujednáno. </w:t>
            </w:r>
          </w:p>
          <w:p w14:paraId="2A70DEB3"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21</w:t>
            </w:r>
          </w:p>
          <w:p w14:paraId="471C477A"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w:t>
            </w:r>
            <w:r w:rsidRPr="005C048D">
              <w:rPr>
                <w:rStyle w:val="Hypertextovodkaz"/>
                <w:rFonts w:ascii="Arial" w:eastAsiaTheme="minorHAnsi" w:hAnsi="Arial" w:cs="Arial"/>
                <w:color w:val="auto"/>
                <w:sz w:val="20"/>
                <w:szCs w:val="20"/>
                <w:u w:val="none"/>
              </w:rPr>
              <w:tab/>
              <w:t>nově se evidují upozornění na podané dovolání nebo ústavní stížnost proti rozhodnutí soudu o žalobě proti rozhodnutí o zamítnutí návrhu na vklad, skutečnost, že jednotka vymezená podle občanského zákoníku je vymezena v souladu s povolením nebo kolaudací podle stavebního zákona , skutečnost, že probíhá řízení o pozůstalosti</w:t>
            </w:r>
          </w:p>
          <w:p w14:paraId="22EEF3FB"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25 (činnost při správě katastrálního operátu)</w:t>
            </w:r>
          </w:p>
          <w:p w14:paraId="4412A3CC"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w:t>
            </w:r>
            <w:r w:rsidRPr="005C048D">
              <w:rPr>
                <w:rStyle w:val="Hypertextovodkaz"/>
                <w:rFonts w:ascii="Arial" w:eastAsiaTheme="minorHAnsi" w:hAnsi="Arial" w:cs="Arial"/>
                <w:color w:val="auto"/>
                <w:sz w:val="20"/>
                <w:szCs w:val="20"/>
                <w:u w:val="none"/>
              </w:rPr>
              <w:tab/>
              <w:t xml:space="preserve">u geometrického plánu a předkládaných listin se za nesoulad aktuálních údajů s katastrem nepovažuje, lze-li dotčené pozemky ztotožnit s aktuálně platným zápisem (zjednodušení procesu ztotožnění a využití aktuálních údajů u </w:t>
            </w:r>
            <w:proofErr w:type="spellStart"/>
            <w:r w:rsidRPr="005C048D">
              <w:rPr>
                <w:rStyle w:val="Hypertextovodkaz"/>
                <w:rFonts w:ascii="Arial" w:eastAsiaTheme="minorHAnsi" w:hAnsi="Arial" w:cs="Arial"/>
                <w:color w:val="auto"/>
                <w:sz w:val="20"/>
                <w:szCs w:val="20"/>
                <w:u w:val="none"/>
              </w:rPr>
              <w:t>geom</w:t>
            </w:r>
            <w:proofErr w:type="spellEnd"/>
            <w:r w:rsidRPr="005C048D">
              <w:rPr>
                <w:rStyle w:val="Hypertextovodkaz"/>
                <w:rFonts w:ascii="Arial" w:eastAsiaTheme="minorHAnsi" w:hAnsi="Arial" w:cs="Arial"/>
                <w:color w:val="auto"/>
                <w:sz w:val="20"/>
                <w:szCs w:val="20"/>
                <w:u w:val="none"/>
              </w:rPr>
              <w:t>. plánem nebo listiny neaktuálních údajů o zapsaných v KN)</w:t>
            </w:r>
          </w:p>
          <w:p w14:paraId="1A22AB1E"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28</w:t>
            </w:r>
          </w:p>
          <w:p w14:paraId="3F0B67DA"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w:t>
            </w:r>
            <w:r w:rsidRPr="005C048D">
              <w:rPr>
                <w:rStyle w:val="Hypertextovodkaz"/>
                <w:rFonts w:ascii="Arial" w:eastAsiaTheme="minorHAnsi" w:hAnsi="Arial" w:cs="Arial"/>
                <w:color w:val="auto"/>
                <w:sz w:val="20"/>
                <w:szCs w:val="20"/>
                <w:u w:val="none"/>
              </w:rPr>
              <w:tab/>
              <w:t>u návrhu na zápis nebo výmaz poznámky se nově rozšiřuje povinnost KÚ zkoumat podkladové listiny a celkovou správnost poznámky</w:t>
            </w:r>
          </w:p>
          <w:p w14:paraId="339BFAC0"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70a</w:t>
            </w:r>
          </w:p>
          <w:p w14:paraId="01EF6874"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w:t>
            </w:r>
            <w:r w:rsidRPr="005C048D">
              <w:rPr>
                <w:rStyle w:val="Hypertextovodkaz"/>
                <w:rFonts w:ascii="Arial" w:eastAsiaTheme="minorHAnsi" w:hAnsi="Arial" w:cs="Arial"/>
                <w:color w:val="auto"/>
                <w:sz w:val="20"/>
                <w:szCs w:val="20"/>
                <w:u w:val="none"/>
              </w:rPr>
              <w:tab/>
              <w:t xml:space="preserve">upravuje se a) zápis a výmaz podzástavního práva (na základě soukromé listiny, případně doplněné o souhlasné prohlášení nebo potvrzení relevantní osoby), b) výmaz zástavního práva (na návrh vlastníka </w:t>
            </w:r>
            <w:r w:rsidRPr="005C048D">
              <w:rPr>
                <w:rStyle w:val="Hypertextovodkaz"/>
                <w:rFonts w:ascii="Arial" w:eastAsiaTheme="minorHAnsi" w:hAnsi="Arial" w:cs="Arial"/>
                <w:color w:val="auto"/>
                <w:sz w:val="20"/>
                <w:szCs w:val="20"/>
                <w:u w:val="none"/>
              </w:rPr>
              <w:lastRenderedPageBreak/>
              <w:t>nemovitosti) právnické osoby po 10 letech od jejího zániku c) zápis změny vlastnického práva v důsledku výkonu zástavního práva ponecháním si zástavy zástavním věřitelem</w:t>
            </w:r>
            <w:r w:rsidRPr="005C048D">
              <w:rPr>
                <w:rStyle w:val="Hypertextovodkaz"/>
                <w:rFonts w:ascii="Arial" w:eastAsiaTheme="minorHAnsi" w:hAnsi="Arial" w:cs="Arial"/>
                <w:color w:val="auto"/>
                <w:sz w:val="20"/>
                <w:szCs w:val="20"/>
                <w:u w:val="none"/>
              </w:rPr>
              <w:tab/>
            </w:r>
          </w:p>
          <w:p w14:paraId="4B812135" w14:textId="77777777" w:rsidR="00B005FA" w:rsidRPr="005C048D" w:rsidRDefault="00B005FA" w:rsidP="00B005FA">
            <w:pPr>
              <w:pStyle w:val="text-large"/>
              <w:shd w:val="clear" w:color="auto" w:fill="D9D9D9" w:themeFill="background1" w:themeFillShade="D9"/>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3383347B" w14:textId="77777777" w:rsidR="00B005FA" w:rsidRDefault="00B005FA" w:rsidP="00B005FA">
            <w:pPr>
              <w:shd w:val="clear" w:color="auto" w:fill="D9D9D9" w:themeFill="background1" w:themeFillShade="D9"/>
              <w:spacing w:line="360" w:lineRule="auto"/>
              <w:jc w:val="both"/>
              <w:rPr>
                <w:rStyle w:val="Hypertextovodkaz"/>
                <w:rFonts w:ascii="Arial" w:eastAsiaTheme="minorHAnsi" w:hAnsi="Arial" w:cs="Arial"/>
                <w:color w:val="auto"/>
                <w:sz w:val="20"/>
                <w:szCs w:val="20"/>
                <w:u w:val="none"/>
              </w:rPr>
            </w:pPr>
          </w:p>
          <w:p w14:paraId="6A7F679E" w14:textId="26C6CBBF" w:rsidR="006A2953" w:rsidRPr="00B005FA" w:rsidRDefault="00F2217C" w:rsidP="00B005FA">
            <w:pPr>
              <w:shd w:val="clear" w:color="auto" w:fill="D9D9D9" w:themeFill="background1" w:themeFillShade="D9"/>
              <w:spacing w:line="360" w:lineRule="auto"/>
              <w:jc w:val="both"/>
              <w:rPr>
                <w:rStyle w:val="Hypertextovodkaz"/>
                <w:rFonts w:ascii="Arial" w:eastAsiaTheme="minorHAnsi" w:hAnsi="Arial" w:cs="Arial"/>
                <w:b w:val="0"/>
                <w:bCs/>
                <w:color w:val="auto"/>
                <w:sz w:val="20"/>
                <w:szCs w:val="20"/>
                <w:u w:val="none"/>
              </w:rPr>
            </w:pPr>
            <w:r w:rsidRPr="00B005FA">
              <w:rPr>
                <w:rStyle w:val="Hypertextovodkaz"/>
                <w:rFonts w:ascii="Arial" w:eastAsiaTheme="minorHAnsi" w:hAnsi="Arial" w:cs="Arial"/>
                <w:b w:val="0"/>
                <w:bCs/>
                <w:color w:val="auto"/>
                <w:sz w:val="20"/>
                <w:szCs w:val="20"/>
                <w:u w:val="none"/>
              </w:rPr>
              <w:t>Bez dopadů do předpisové základny ČEPRO; v principu se zvyšuje informační báze dat v KN.</w:t>
            </w:r>
          </w:p>
          <w:p w14:paraId="11AF49D1" w14:textId="0CAFA142" w:rsidR="00F2217C" w:rsidRPr="005C048D" w:rsidRDefault="00F2217C" w:rsidP="00F2217C">
            <w:pPr>
              <w:spacing w:line="360" w:lineRule="auto"/>
              <w:jc w:val="both"/>
              <w:rPr>
                <w:rStyle w:val="Hypertextovodkaz"/>
                <w:rFonts w:ascii="Arial" w:eastAsiaTheme="minorHAnsi" w:hAnsi="Arial" w:cs="Arial"/>
                <w:color w:val="auto"/>
                <w:sz w:val="22"/>
                <w:u w:val="none"/>
              </w:rPr>
            </w:pPr>
          </w:p>
          <w:p w14:paraId="3402998A" w14:textId="70E1E8DF" w:rsidR="00F2217C" w:rsidRPr="005C048D" w:rsidRDefault="00F2217C" w:rsidP="00F2217C">
            <w:pPr>
              <w:jc w:val="center"/>
              <w:rPr>
                <w:rStyle w:val="Hypertextovodkaz"/>
                <w:rFonts w:ascii="Arial" w:eastAsia="Times New Roman" w:hAnsi="Arial" w:cs="Arial"/>
                <w:b w:val="0"/>
                <w:color w:val="auto"/>
                <w:sz w:val="24"/>
                <w:szCs w:val="24"/>
                <w:u w:val="none"/>
                <w:lang w:eastAsia="cs-CZ"/>
              </w:rPr>
            </w:pPr>
            <w:r w:rsidRPr="005C048D">
              <w:rPr>
                <w:rStyle w:val="Hypertextovodkaz"/>
                <w:rFonts w:ascii="Arial" w:eastAsia="Times New Roman" w:hAnsi="Arial" w:cs="Arial"/>
                <w:color w:val="auto"/>
                <w:sz w:val="24"/>
                <w:szCs w:val="24"/>
                <w:u w:val="none"/>
                <w:lang w:eastAsia="cs-CZ"/>
              </w:rPr>
              <w:t>Návrh zákona o vyvlastnění</w:t>
            </w:r>
            <w:r w:rsidR="009E03E7">
              <w:rPr>
                <w:rStyle w:val="Hypertextovodkaz"/>
                <w:rFonts w:ascii="Arial" w:eastAsia="Times New Roman" w:hAnsi="Arial" w:cs="Arial"/>
                <w:color w:val="auto"/>
                <w:sz w:val="24"/>
                <w:szCs w:val="24"/>
                <w:u w:val="none"/>
                <w:lang w:eastAsia="cs-CZ"/>
              </w:rPr>
              <w:pict w14:anchorId="09C3B4FA">
                <v:rect id="_x0000_i1046" style="width:470.3pt;height:1.5pt" o:hralign="center" o:hrstd="t" o:hr="t" fillcolor="#a0a0a0" stroked="f"/>
              </w:pict>
            </w:r>
          </w:p>
          <w:p w14:paraId="62C90EE0" w14:textId="0D7A47C8" w:rsidR="00F2217C" w:rsidRPr="005C048D" w:rsidRDefault="00F2217C" w:rsidP="00F2217C">
            <w:pPr>
              <w:pStyle w:val="Bezmezer"/>
              <w:jc w:val="right"/>
              <w:rPr>
                <w:rStyle w:val="Hypertextovodkaz"/>
                <w:rFonts w:ascii="Arial" w:hAnsi="Arial" w:cs="Arial"/>
                <w:color w:val="auto"/>
                <w:sz w:val="20"/>
                <w:szCs w:val="20"/>
                <w:u w:val="none"/>
                <w:lang w:eastAsia="cs-CZ"/>
              </w:rPr>
            </w:pPr>
            <w:r w:rsidRPr="005C048D">
              <w:rPr>
                <w:rStyle w:val="Hypertextovodkaz"/>
                <w:rFonts w:ascii="Arial" w:hAnsi="Arial" w:cs="Arial"/>
                <w:color w:val="auto"/>
                <w:sz w:val="20"/>
                <w:szCs w:val="20"/>
                <w:u w:val="none"/>
                <w:lang w:eastAsia="cs-CZ"/>
              </w:rPr>
              <w:t>Připomínkové řízení ukončeno</w:t>
            </w:r>
          </w:p>
          <w:p w14:paraId="564C8A77" w14:textId="77777777" w:rsidR="00F2217C" w:rsidRPr="005C048D" w:rsidRDefault="00F2217C" w:rsidP="00F2217C">
            <w:pPr>
              <w:pStyle w:val="Bezmezer"/>
              <w:jc w:val="right"/>
              <w:rPr>
                <w:rStyle w:val="Hypertextovodkaz"/>
                <w:rFonts w:ascii="Arial" w:hAnsi="Arial" w:cs="Arial"/>
                <w:color w:val="auto"/>
                <w:sz w:val="20"/>
                <w:szCs w:val="20"/>
                <w:u w:val="none"/>
                <w:lang w:eastAsia="cs-CZ"/>
              </w:rPr>
            </w:pPr>
          </w:p>
          <w:p w14:paraId="3C940B04" w14:textId="77777777" w:rsidR="00F2217C" w:rsidRPr="005C048D" w:rsidRDefault="00F2217C" w:rsidP="00F2217C">
            <w:pPr>
              <w:pStyle w:val="Bezmezer"/>
              <w:jc w:val="both"/>
              <w:rPr>
                <w:rStyle w:val="Hypertextovodkaz"/>
                <w:rFonts w:ascii="Arial" w:hAnsi="Arial" w:cs="Arial"/>
                <w:color w:val="auto"/>
                <w:sz w:val="20"/>
                <w:szCs w:val="20"/>
                <w:u w:val="none"/>
                <w:lang w:eastAsia="cs-CZ"/>
              </w:rPr>
            </w:pPr>
          </w:p>
          <w:p w14:paraId="167775E4" w14:textId="77777777" w:rsidR="00F2217C" w:rsidRPr="005C048D" w:rsidRDefault="00F2217C" w:rsidP="00B005FA">
            <w:pPr>
              <w:pStyle w:val="text-large"/>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7FF272B5" w14:textId="77777777" w:rsidR="00F2217C" w:rsidRPr="005C048D" w:rsidRDefault="00F2217C" w:rsidP="00B005FA">
            <w:pPr>
              <w:pStyle w:val="text-large"/>
              <w:spacing w:before="0" w:beforeAutospacing="0" w:after="0" w:afterAutospacing="0" w:line="360" w:lineRule="auto"/>
              <w:jc w:val="both"/>
              <w:rPr>
                <w:rStyle w:val="Hypertextovodkaz"/>
                <w:rFonts w:ascii="Arial" w:eastAsiaTheme="minorHAnsi" w:hAnsi="Arial" w:cs="Arial"/>
                <w:color w:val="auto"/>
                <w:sz w:val="20"/>
                <w:szCs w:val="20"/>
                <w:u w:val="none"/>
              </w:rPr>
            </w:pPr>
          </w:p>
          <w:p w14:paraId="591E9C37"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Návrh nového zákona má především za cíl urychlení a zjednodušení procesu vyvlastnění.  Dochází k umožnění vyvlastnění práva stavby a dalších nemovitých věcí, jejichž vyvlastnění dosud umožněno nebylo. Nová právní úprava dále inkorporuje úpravu obsaženou v liniovém zákoně a stanovuje pravidla souběhu vyvlastnění a některých dalších řízení a upravuje přístup k ochraně třetích osob, které jsou vyvlastněním dotčeny. Dále je cílem odstranit nesoulad současné úpravy vyvlastnění s občanským zákoníkem, sjednotit právní úpravu vyvlastnění (tj. jeho vynětí z liniového zákona).</w:t>
            </w:r>
          </w:p>
          <w:p w14:paraId="065BDA27" w14:textId="77777777" w:rsidR="00F2217C" w:rsidRPr="005C048D" w:rsidRDefault="00F2217C" w:rsidP="00B005FA">
            <w:pPr>
              <w:pStyle w:val="text-large"/>
              <w:spacing w:line="360" w:lineRule="auto"/>
              <w:jc w:val="both"/>
              <w:rPr>
                <w:rStyle w:val="Hypertextovodkaz"/>
                <w:rFonts w:ascii="Arial" w:eastAsiaTheme="minorHAnsi" w:hAnsi="Arial" w:cs="Arial"/>
                <w:color w:val="auto"/>
                <w:sz w:val="20"/>
                <w:szCs w:val="20"/>
                <w:u w:val="none"/>
              </w:rPr>
            </w:pPr>
            <w:r w:rsidRPr="005C048D">
              <w:rPr>
                <w:rStyle w:val="Hypertextovodkaz"/>
                <w:rFonts w:ascii="Arial" w:eastAsiaTheme="minorHAnsi" w:hAnsi="Arial" w:cs="Arial"/>
                <w:color w:val="auto"/>
                <w:sz w:val="20"/>
                <w:szCs w:val="20"/>
                <w:u w:val="none"/>
              </w:rPr>
              <w:t xml:space="preserve">V meziresortním připomínkovém řízení rezonují otázky jako nejednoznačné vymezení náhrady za vyvlastnění,  nejasné vymezení druhu a účelu směňovaných pozemků (např. účel pozemku vymezený před nebo po směně?), zatížení soudů spory vzniklými z vyvlastňovacího řízení, které by bylo možné vyřešit v rámci vyvlastňovacího  řízení, zachování dvojího soudního přezkumu (§ 53 návrhu) je považováno za neefektivní dvojkolejnost, terminologické nejasnosti (např. obvyklá hodnota vs. obvyklá cena), názorová nejednota na způsob určení výše náhrady. </w:t>
            </w:r>
          </w:p>
          <w:p w14:paraId="72F6202D" w14:textId="77777777" w:rsidR="00B005FA" w:rsidRPr="005C048D" w:rsidRDefault="00B005FA" w:rsidP="00B005FA">
            <w:pPr>
              <w:pStyle w:val="text-large"/>
              <w:shd w:val="clear" w:color="auto" w:fill="F2F2F2" w:themeFill="background1" w:themeFillShade="F2"/>
              <w:spacing w:before="0" w:beforeAutospacing="0" w:after="0" w:afterAutospacing="0" w:line="360" w:lineRule="auto"/>
              <w:jc w:val="both"/>
              <w:rPr>
                <w:rStyle w:val="Hypertextovodkaz"/>
                <w:rFonts w:ascii="Arial" w:eastAsiaTheme="minorHAnsi" w:hAnsi="Arial" w:cs="Arial"/>
                <w:b/>
                <w:bCs/>
                <w:color w:val="auto"/>
                <w:sz w:val="20"/>
                <w:szCs w:val="20"/>
                <w:u w:val="none"/>
              </w:rPr>
            </w:pPr>
            <w:r w:rsidRPr="005C048D">
              <w:rPr>
                <w:rStyle w:val="Hypertextovodkaz"/>
                <w:rFonts w:ascii="Arial" w:eastAsiaTheme="minorHAnsi" w:hAnsi="Arial" w:cs="Arial"/>
                <w:b/>
                <w:bCs/>
                <w:color w:val="auto"/>
                <w:sz w:val="20"/>
                <w:szCs w:val="20"/>
                <w:u w:val="none"/>
              </w:rPr>
              <w:t>Závěr věcného zhodnocení ze strany OPS:</w:t>
            </w:r>
          </w:p>
          <w:p w14:paraId="317F1284" w14:textId="77777777" w:rsidR="00B005FA" w:rsidRPr="00B005FA" w:rsidRDefault="00B005FA" w:rsidP="00B005FA">
            <w:pPr>
              <w:shd w:val="clear" w:color="auto" w:fill="F2F2F2" w:themeFill="background1" w:themeFillShade="F2"/>
              <w:spacing w:line="360" w:lineRule="auto"/>
              <w:jc w:val="both"/>
              <w:rPr>
                <w:rStyle w:val="Hypertextovodkaz"/>
                <w:rFonts w:ascii="Arial" w:eastAsiaTheme="minorHAnsi" w:hAnsi="Arial" w:cs="Arial"/>
                <w:b w:val="0"/>
                <w:bCs/>
                <w:color w:val="auto"/>
                <w:sz w:val="20"/>
                <w:szCs w:val="20"/>
                <w:u w:val="none"/>
              </w:rPr>
            </w:pPr>
          </w:p>
          <w:p w14:paraId="48CA1BA5" w14:textId="562F03F3" w:rsidR="00F2217C" w:rsidRPr="00B005FA" w:rsidRDefault="00F2217C" w:rsidP="00B005FA">
            <w:pPr>
              <w:shd w:val="clear" w:color="auto" w:fill="F2F2F2" w:themeFill="background1" w:themeFillShade="F2"/>
              <w:spacing w:line="360" w:lineRule="auto"/>
              <w:jc w:val="both"/>
              <w:rPr>
                <w:rStyle w:val="Hypertextovodkaz"/>
                <w:rFonts w:ascii="Arial" w:eastAsiaTheme="minorHAnsi" w:hAnsi="Arial" w:cs="Arial"/>
                <w:b w:val="0"/>
                <w:bCs/>
                <w:color w:val="auto"/>
                <w:sz w:val="20"/>
                <w:szCs w:val="20"/>
                <w:u w:val="none"/>
              </w:rPr>
            </w:pPr>
            <w:r w:rsidRPr="00B005FA">
              <w:rPr>
                <w:rStyle w:val="Hypertextovodkaz"/>
                <w:rFonts w:ascii="Arial" w:eastAsiaTheme="minorHAnsi" w:hAnsi="Arial" w:cs="Arial"/>
                <w:b w:val="0"/>
                <w:bCs/>
                <w:color w:val="auto"/>
                <w:sz w:val="20"/>
                <w:szCs w:val="20"/>
                <w:u w:val="none"/>
              </w:rPr>
              <w:t>Vzhledem k rozsahu zásadních připomínek lze očekávat výrazně přepracovaný návrh zákona.</w:t>
            </w:r>
            <w:r w:rsidR="00B005FA" w:rsidRPr="00B005FA">
              <w:rPr>
                <w:rStyle w:val="Hypertextovodkaz"/>
                <w:rFonts w:ascii="Arial" w:eastAsiaTheme="minorHAnsi" w:hAnsi="Arial" w:cs="Arial"/>
                <w:b w:val="0"/>
                <w:bCs/>
                <w:color w:val="auto"/>
                <w:sz w:val="20"/>
                <w:szCs w:val="20"/>
                <w:u w:val="none"/>
              </w:rPr>
              <w:t xml:space="preserve"> Legislativní proces bude nadále monitorován.</w:t>
            </w:r>
          </w:p>
          <w:p w14:paraId="26FD9C16" w14:textId="081C595B" w:rsidR="00F2217C" w:rsidRPr="005C048D" w:rsidRDefault="00F2217C" w:rsidP="00F2217C">
            <w:pPr>
              <w:spacing w:line="360" w:lineRule="auto"/>
              <w:jc w:val="both"/>
              <w:rPr>
                <w:rFonts w:ascii="Arial" w:hAnsi="Arial" w:cs="Arial"/>
                <w:bCs/>
                <w:color w:val="auto"/>
                <w:sz w:val="20"/>
                <w:szCs w:val="20"/>
              </w:rPr>
            </w:pPr>
          </w:p>
          <w:p w14:paraId="668C12C8" w14:textId="77777777" w:rsidR="00047C36" w:rsidRPr="005C048D" w:rsidRDefault="00047C36" w:rsidP="00047C36">
            <w:pPr>
              <w:spacing w:line="360" w:lineRule="auto"/>
              <w:jc w:val="center"/>
              <w:rPr>
                <w:rStyle w:val="Hypertextovodkaz"/>
                <w:rFonts w:ascii="Arial" w:eastAsiaTheme="minorHAnsi" w:hAnsi="Arial" w:cs="Arial"/>
                <w:color w:val="auto"/>
                <w:sz w:val="24"/>
                <w:szCs w:val="24"/>
                <w:u w:val="none"/>
              </w:rPr>
            </w:pPr>
            <w:r w:rsidRPr="005C048D">
              <w:rPr>
                <w:rStyle w:val="Hypertextovodkaz"/>
                <w:rFonts w:ascii="Arial" w:eastAsiaTheme="minorHAnsi" w:hAnsi="Arial" w:cs="Arial"/>
                <w:color w:val="auto"/>
                <w:sz w:val="24"/>
                <w:szCs w:val="24"/>
                <w:u w:val="none"/>
              </w:rPr>
              <w:t>Zákon č. 245/2022 sb.,  kterým se mění zákon č. 37/2021 Sb., o evidenci skutečných majitelů</w:t>
            </w:r>
          </w:p>
          <w:p w14:paraId="0CCCD6B5" w14:textId="61EB5E73" w:rsidR="00047C36" w:rsidRPr="005C048D" w:rsidRDefault="009E03E7" w:rsidP="00047C36">
            <w:pPr>
              <w:spacing w:line="360" w:lineRule="auto"/>
              <w:jc w:val="center"/>
              <w:rPr>
                <w:rStyle w:val="Hypertextovodkaz"/>
                <w:rFonts w:ascii="Arial" w:eastAsiaTheme="minorHAnsi" w:hAnsi="Arial" w:cs="Arial"/>
                <w:color w:val="auto"/>
                <w:sz w:val="24"/>
                <w:szCs w:val="24"/>
                <w:u w:val="none"/>
              </w:rPr>
            </w:pPr>
            <w:r>
              <w:rPr>
                <w:rStyle w:val="Hypertextovodkaz"/>
                <w:rFonts w:ascii="Arial" w:eastAsia="Times New Roman" w:hAnsi="Arial" w:cs="Arial"/>
                <w:color w:val="auto"/>
                <w:sz w:val="24"/>
                <w:szCs w:val="24"/>
                <w:u w:val="none"/>
                <w:lang w:eastAsia="cs-CZ"/>
              </w:rPr>
              <w:pict w14:anchorId="5B302AEB">
                <v:rect id="_x0000_i1047" style="width:470.3pt;height:1.5pt" o:hralign="center" o:hrstd="t" o:hr="t" fillcolor="#a0a0a0" stroked="f"/>
              </w:pict>
            </w:r>
          </w:p>
          <w:p w14:paraId="429C9A00" w14:textId="1DB84A24" w:rsidR="00047C36" w:rsidRPr="005C048D" w:rsidRDefault="00047C36" w:rsidP="00047C36">
            <w:pPr>
              <w:spacing w:line="360" w:lineRule="auto"/>
              <w:jc w:val="right"/>
              <w:rPr>
                <w:rFonts w:ascii="Arial" w:hAnsi="Arial" w:cs="Arial"/>
                <w:b w:val="0"/>
                <w:color w:val="auto"/>
                <w:sz w:val="20"/>
                <w:szCs w:val="20"/>
              </w:rPr>
            </w:pPr>
            <w:r w:rsidRPr="005C048D">
              <w:rPr>
                <w:rFonts w:ascii="Arial" w:hAnsi="Arial" w:cs="Arial"/>
                <w:b w:val="0"/>
                <w:color w:val="auto"/>
                <w:sz w:val="20"/>
                <w:szCs w:val="20"/>
              </w:rPr>
              <w:t>Účinné od 1.10.2022</w:t>
            </w:r>
          </w:p>
          <w:p w14:paraId="284934E0" w14:textId="77777777" w:rsidR="00047C36" w:rsidRPr="005C048D" w:rsidRDefault="00047C36" w:rsidP="00047C36">
            <w:pPr>
              <w:spacing w:line="360" w:lineRule="auto"/>
              <w:jc w:val="both"/>
              <w:rPr>
                <w:rFonts w:ascii="Arial" w:hAnsi="Arial" w:cs="Arial"/>
                <w:b w:val="0"/>
                <w:color w:val="auto"/>
                <w:sz w:val="20"/>
                <w:szCs w:val="20"/>
              </w:rPr>
            </w:pPr>
            <w:r w:rsidRPr="005C048D">
              <w:rPr>
                <w:rFonts w:ascii="Arial" w:hAnsi="Arial" w:cs="Arial"/>
                <w:b w:val="0"/>
                <w:color w:val="auto"/>
                <w:sz w:val="20"/>
                <w:szCs w:val="20"/>
              </w:rPr>
              <w:t>Podstatou návrhu je</w:t>
            </w:r>
          </w:p>
          <w:p w14:paraId="75A8CA6A" w14:textId="77777777" w:rsidR="00047C36" w:rsidRPr="005C048D" w:rsidRDefault="00047C36" w:rsidP="00047C36">
            <w:pPr>
              <w:pStyle w:val="Odstavecseseznamem"/>
              <w:numPr>
                <w:ilvl w:val="0"/>
                <w:numId w:val="49"/>
              </w:numPr>
              <w:spacing w:line="360" w:lineRule="auto"/>
              <w:jc w:val="both"/>
              <w:rPr>
                <w:rFonts w:ascii="Arial" w:hAnsi="Arial" w:cs="Arial"/>
                <w:sz w:val="20"/>
                <w:szCs w:val="20"/>
              </w:rPr>
            </w:pPr>
            <w:r w:rsidRPr="005C048D">
              <w:rPr>
                <w:rFonts w:ascii="Arial" w:hAnsi="Arial" w:cs="Arial"/>
                <w:sz w:val="20"/>
                <w:szCs w:val="20"/>
              </w:rPr>
              <w:t xml:space="preserve">zrušení rozlišování mezi koncovým příjemcem a osobou s koncovým vlivem [navržené změny § 2 až 4 zákona o ESM], </w:t>
            </w:r>
          </w:p>
          <w:p w14:paraId="3879F771" w14:textId="77777777" w:rsidR="00047C36" w:rsidRPr="005C048D" w:rsidRDefault="00047C36" w:rsidP="00047C36">
            <w:pPr>
              <w:pStyle w:val="Odstavecseseznamem"/>
              <w:numPr>
                <w:ilvl w:val="0"/>
                <w:numId w:val="49"/>
              </w:numPr>
              <w:spacing w:line="360" w:lineRule="auto"/>
              <w:jc w:val="both"/>
              <w:rPr>
                <w:rFonts w:ascii="Arial" w:hAnsi="Arial" w:cs="Arial"/>
                <w:sz w:val="20"/>
                <w:szCs w:val="20"/>
              </w:rPr>
            </w:pPr>
            <w:r w:rsidRPr="005C048D">
              <w:rPr>
                <w:rFonts w:ascii="Arial" w:hAnsi="Arial" w:cs="Arial"/>
                <w:sz w:val="20"/>
                <w:szCs w:val="20"/>
              </w:rPr>
              <w:t xml:space="preserve">více doslovné převzetí vymezení skutečného majitele z AML směrnice (§ 4 zákona o ESM ve znění návrhu) a </w:t>
            </w:r>
          </w:p>
          <w:p w14:paraId="6DC165C3" w14:textId="58470AE6" w:rsidR="00047C36" w:rsidRPr="005C048D" w:rsidRDefault="00047C36" w:rsidP="00047C36">
            <w:pPr>
              <w:pStyle w:val="Odstavecseseznamem"/>
              <w:numPr>
                <w:ilvl w:val="0"/>
                <w:numId w:val="49"/>
              </w:numPr>
              <w:spacing w:line="360" w:lineRule="auto"/>
              <w:jc w:val="both"/>
              <w:rPr>
                <w:rFonts w:ascii="Arial" w:hAnsi="Arial" w:cs="Arial"/>
                <w:sz w:val="20"/>
                <w:szCs w:val="20"/>
              </w:rPr>
            </w:pPr>
            <w:r w:rsidRPr="005C048D">
              <w:rPr>
                <w:rFonts w:ascii="Arial" w:hAnsi="Arial" w:cs="Arial"/>
                <w:sz w:val="20"/>
                <w:szCs w:val="20"/>
              </w:rPr>
              <w:lastRenderedPageBreak/>
              <w:t xml:space="preserve">omezení rozsahu výjimek dle § 7 zákona o ESM. </w:t>
            </w:r>
          </w:p>
          <w:p w14:paraId="2F69E4E0" w14:textId="410DCF86" w:rsidR="00047C36" w:rsidRPr="005C048D" w:rsidRDefault="00047C36" w:rsidP="00047C36">
            <w:pPr>
              <w:spacing w:line="360" w:lineRule="auto"/>
              <w:jc w:val="both"/>
              <w:rPr>
                <w:rFonts w:ascii="Arial" w:hAnsi="Arial" w:cs="Arial"/>
                <w:b w:val="0"/>
                <w:color w:val="auto"/>
                <w:sz w:val="20"/>
                <w:szCs w:val="20"/>
              </w:rPr>
            </w:pPr>
            <w:r w:rsidRPr="005C048D">
              <w:rPr>
                <w:rFonts w:ascii="Arial" w:hAnsi="Arial" w:cs="Arial"/>
                <w:b w:val="0"/>
                <w:color w:val="auto"/>
                <w:sz w:val="20"/>
                <w:szCs w:val="20"/>
              </w:rPr>
              <w:t xml:space="preserve">Další části navazují na uvedené základní úpravy. Jde jednak o terminologické změny, jednak o úpravu souvisejících institutů, zejména mechanismu automatického průpisu. </w:t>
            </w:r>
          </w:p>
          <w:p w14:paraId="49DF1515" w14:textId="77777777" w:rsidR="00047C36" w:rsidRPr="005C048D" w:rsidRDefault="00047C36" w:rsidP="00047C36">
            <w:pPr>
              <w:spacing w:line="360" w:lineRule="auto"/>
              <w:jc w:val="both"/>
              <w:rPr>
                <w:rFonts w:ascii="Arial" w:hAnsi="Arial" w:cs="Arial"/>
                <w:bCs/>
                <w:color w:val="auto"/>
                <w:sz w:val="20"/>
                <w:szCs w:val="20"/>
              </w:rPr>
            </w:pPr>
          </w:p>
          <w:p w14:paraId="0C7E22BF" w14:textId="77777777" w:rsidR="00047C36" w:rsidRPr="005C048D" w:rsidRDefault="00047C36" w:rsidP="00047C36">
            <w:pPr>
              <w:spacing w:line="360" w:lineRule="auto"/>
              <w:jc w:val="both"/>
              <w:rPr>
                <w:rFonts w:ascii="Arial" w:hAnsi="Arial" w:cs="Arial"/>
                <w:bCs/>
                <w:color w:val="auto"/>
                <w:sz w:val="20"/>
                <w:szCs w:val="20"/>
              </w:rPr>
            </w:pPr>
            <w:r w:rsidRPr="005C048D">
              <w:rPr>
                <w:rFonts w:ascii="Arial" w:hAnsi="Arial" w:cs="Arial"/>
                <w:bCs/>
                <w:color w:val="auto"/>
                <w:sz w:val="20"/>
                <w:szCs w:val="20"/>
              </w:rPr>
              <w:t>Dále jsou uvedeny některé změny, které mohou být relevantní pro činnost ČEPRO, a.s.</w:t>
            </w:r>
          </w:p>
          <w:p w14:paraId="184EAE1C" w14:textId="77777777" w:rsidR="00047C36" w:rsidRPr="005C048D" w:rsidRDefault="00047C36" w:rsidP="00047C36">
            <w:pPr>
              <w:pStyle w:val="Odstavecseseznamem"/>
              <w:numPr>
                <w:ilvl w:val="0"/>
                <w:numId w:val="48"/>
              </w:numPr>
              <w:spacing w:line="360" w:lineRule="auto"/>
              <w:jc w:val="both"/>
              <w:rPr>
                <w:rFonts w:ascii="Arial" w:hAnsi="Arial" w:cs="Arial"/>
                <w:bCs/>
                <w:sz w:val="20"/>
                <w:szCs w:val="20"/>
              </w:rPr>
            </w:pPr>
            <w:r w:rsidRPr="005C048D">
              <w:rPr>
                <w:rFonts w:ascii="Arial" w:hAnsi="Arial" w:cs="Arial"/>
                <w:bCs/>
                <w:sz w:val="20"/>
                <w:szCs w:val="20"/>
              </w:rPr>
              <w:t>Zrušuje se dosavadní dvousložková definice skutečného majitele spočívající na pojmech koncového příjemce a osoby s koncovým vlivem. Zásadní změna spočívá v zavedení jednotné materiální charakteristiky skutečného majitele. Ta spočívá v tom, že skutečný majitel právnickou osobou nebo právní uspořádání vlastní nebo kontroluje.</w:t>
            </w:r>
          </w:p>
          <w:p w14:paraId="685CAED5" w14:textId="77777777" w:rsidR="00047C36" w:rsidRPr="005C048D" w:rsidRDefault="00047C36" w:rsidP="00047C36">
            <w:pPr>
              <w:pStyle w:val="Odstavecseseznamem"/>
              <w:numPr>
                <w:ilvl w:val="0"/>
                <w:numId w:val="48"/>
              </w:numPr>
              <w:spacing w:line="360" w:lineRule="auto"/>
              <w:jc w:val="both"/>
              <w:rPr>
                <w:rFonts w:ascii="Arial" w:hAnsi="Arial" w:cs="Arial"/>
                <w:bCs/>
                <w:sz w:val="20"/>
                <w:szCs w:val="20"/>
              </w:rPr>
            </w:pPr>
            <w:r w:rsidRPr="005C048D">
              <w:rPr>
                <w:rFonts w:ascii="Arial" w:hAnsi="Arial" w:cs="Arial"/>
                <w:bCs/>
                <w:sz w:val="20"/>
                <w:szCs w:val="20"/>
              </w:rPr>
              <w:t xml:space="preserve">Nový § 4 zákona o ESM konkrétně stanoví, že korporaci v konečném důsledku vlastní nebo kontroluje každá fyzická osoba, která přímo nebo nepřímo prostřednictvím jiné osoby nebo právního uspořádání: a) má podíl v korporaci nebo podíl na hlasovacích právech větší než 25 %, b) má právo na podíl na zisku, jiných vlastních zdrojích nebo likvidačním zůstatku větší než 25 %, c) uplatňuje rozhodující vliv v korporaci nebo korporacích, které mají v dané korporaci samostatně nebo společně podíl větší než 25 %, nebo d) uplatňuje rozhodující vliv v korporaci jinými prostředky. Rozhodující vliv v korporaci podle novelizovaného ustanovení zákona uplatňuje ten, kdo na základě vlastního uvážení, bez ohledu na to, zda a na základě jaké právní skutečnosti může přímo nebo nepřímo prostřednictvím jiné osoby nebo právního uspořádání dosáhnout toho, že rozhodování nejvyššího orgánu korporace odpovídá jeho vůli. Má se za to, že rozhodující vliv v korporaci uplatňuje ten, kdo může jmenovat nebo odvolat většinu osob, které jsou členy statutárního orgánu korporace. Rozhodující vliv v jiné než obchodní korporaci, v bytovém nebo sociálním družstvu nebo v investičním fondu v právní formě akciové společnosti s proměnným základním kapitálem uplatňuje každá fyzická osoba, která je členem jejich statutárního orgánu nebo osobou v obdobném postavení nebo osobou zastupující právnickou osobu v tomto orgánu. Pro účely výpočtu výše nepřímého podílu v korporaci se v případě řetězení podíly, které mají navázané osoby nebo právní uspořádání, násobí; v případě větvení se součiny podílů z jednotlivých řetězení sčítají. Pro účely určení skutečného majitele investičního fondu v právní formě akciové společnosti s proměnným základním kapitálem se nepřihlíží k investičním akciím, ledaže stanovy s nimi spojují obdobné hlasovací právo jako u zakladatelských akcií. </w:t>
            </w:r>
          </w:p>
          <w:p w14:paraId="73AA92B2" w14:textId="77777777" w:rsidR="00047C36" w:rsidRPr="005C048D" w:rsidRDefault="00047C36" w:rsidP="00047C36">
            <w:pPr>
              <w:pStyle w:val="Odstavecseseznamem"/>
              <w:numPr>
                <w:ilvl w:val="0"/>
                <w:numId w:val="48"/>
              </w:numPr>
              <w:spacing w:line="360" w:lineRule="auto"/>
              <w:jc w:val="both"/>
              <w:rPr>
                <w:rFonts w:ascii="Arial" w:hAnsi="Arial" w:cs="Arial"/>
                <w:bCs/>
                <w:sz w:val="20"/>
                <w:szCs w:val="20"/>
              </w:rPr>
            </w:pPr>
            <w:r w:rsidRPr="005C048D">
              <w:rPr>
                <w:rFonts w:ascii="Arial" w:hAnsi="Arial" w:cs="Arial"/>
                <w:bCs/>
                <w:sz w:val="20"/>
                <w:szCs w:val="20"/>
              </w:rPr>
              <w:t>V rámci § 7 zákona o ESM byly provedeny dvě hlavní změny. Jednak jde o vypuštění části stávajících výjimek, jednak o doplnění obecného materiálního testu, na základě kterého lze shledat, že právnická osoba nemá skutečného majitele.</w:t>
            </w:r>
          </w:p>
          <w:p w14:paraId="4351F0E6" w14:textId="1F1B4173" w:rsidR="00047C36" w:rsidRPr="005C048D" w:rsidRDefault="00047C36" w:rsidP="00047C36">
            <w:pPr>
              <w:pStyle w:val="Odstavecseseznamem"/>
              <w:numPr>
                <w:ilvl w:val="0"/>
                <w:numId w:val="48"/>
              </w:numPr>
              <w:spacing w:line="360" w:lineRule="auto"/>
              <w:jc w:val="both"/>
              <w:rPr>
                <w:rFonts w:ascii="Arial" w:hAnsi="Arial" w:cs="Arial"/>
                <w:bCs/>
                <w:sz w:val="20"/>
                <w:szCs w:val="20"/>
              </w:rPr>
            </w:pPr>
            <w:r w:rsidRPr="005C048D">
              <w:rPr>
                <w:rFonts w:ascii="Arial" w:hAnsi="Arial" w:cs="Arial"/>
                <w:bCs/>
                <w:sz w:val="20"/>
                <w:szCs w:val="20"/>
              </w:rPr>
              <w:t xml:space="preserve">Zavádí  se vyvratitelnou domněnku, které právnické osoby vyhovují materiálnímu testu. V praxi bude možné v případě uvedených právních forem předpokládat, že skutečného majitele nemají; nebude třeba zkoumat, zda je domněnka naplněna </w:t>
            </w:r>
          </w:p>
          <w:p w14:paraId="30585E5D" w14:textId="77777777" w:rsidR="00047C36" w:rsidRPr="005C048D" w:rsidRDefault="00047C36" w:rsidP="00047C36">
            <w:pPr>
              <w:pStyle w:val="text-large"/>
              <w:shd w:val="clear" w:color="auto" w:fill="F2F2F2" w:themeFill="background1" w:themeFillShade="F2"/>
              <w:spacing w:before="0" w:beforeAutospacing="0" w:after="0" w:afterAutospacing="0" w:line="360" w:lineRule="auto"/>
              <w:jc w:val="both"/>
              <w:rPr>
                <w:rFonts w:ascii="Arial" w:hAnsi="Arial" w:cs="Arial"/>
                <w:b/>
                <w:sz w:val="20"/>
                <w:szCs w:val="20"/>
              </w:rPr>
            </w:pPr>
            <w:r w:rsidRPr="005C048D">
              <w:rPr>
                <w:rFonts w:ascii="Arial" w:hAnsi="Arial" w:cs="Arial"/>
                <w:b/>
                <w:sz w:val="20"/>
                <w:szCs w:val="20"/>
              </w:rPr>
              <w:t>Věcné zhodnocení dopadů ze strany OPS:</w:t>
            </w:r>
          </w:p>
          <w:p w14:paraId="69B4E26D" w14:textId="66623C57" w:rsidR="00F2217C" w:rsidRPr="005C048D" w:rsidRDefault="00047C36" w:rsidP="00047C36">
            <w:pPr>
              <w:pStyle w:val="text-large"/>
              <w:shd w:val="clear" w:color="auto" w:fill="F2F2F2" w:themeFill="background1" w:themeFillShade="F2"/>
              <w:spacing w:before="0" w:beforeAutospacing="0" w:after="0" w:afterAutospacing="0" w:line="360" w:lineRule="auto"/>
              <w:jc w:val="both"/>
              <w:rPr>
                <w:rFonts w:ascii="Arial" w:hAnsi="Arial" w:cs="Arial"/>
                <w:bCs/>
                <w:sz w:val="20"/>
                <w:szCs w:val="20"/>
              </w:rPr>
            </w:pPr>
            <w:r w:rsidRPr="005C048D">
              <w:rPr>
                <w:rFonts w:ascii="Arial" w:hAnsi="Arial" w:cs="Arial"/>
                <w:bCs/>
                <w:sz w:val="20"/>
                <w:szCs w:val="20"/>
              </w:rPr>
              <w:t>Bez dopadu  na ČEPRO a jeho procesy (ČEPRO je nadále osobou bez skutečného majitele - § 7 odst. 2 písm. f) zákona ESM).</w:t>
            </w:r>
          </w:p>
          <w:p w14:paraId="61B1CA1E" w14:textId="7CA3CC0B" w:rsidR="00047C36" w:rsidRDefault="00047C36" w:rsidP="00047C36">
            <w:pPr>
              <w:pStyle w:val="text-large"/>
              <w:spacing w:before="0" w:beforeAutospacing="0" w:after="0" w:afterAutospacing="0" w:line="360" w:lineRule="auto"/>
              <w:jc w:val="both"/>
              <w:rPr>
                <w:rFonts w:ascii="Arial" w:hAnsi="Arial" w:cs="Arial"/>
                <w:bCs/>
                <w:color w:val="1B174A" w:themeColor="text1" w:themeTint="E6"/>
                <w:sz w:val="20"/>
                <w:szCs w:val="20"/>
              </w:rPr>
            </w:pPr>
          </w:p>
          <w:p w14:paraId="32D7B875" w14:textId="77777777" w:rsidR="00047C36" w:rsidRPr="006A2953" w:rsidRDefault="00047C36" w:rsidP="00047C36">
            <w:pPr>
              <w:pStyle w:val="text-large"/>
              <w:spacing w:before="0" w:beforeAutospacing="0" w:after="0" w:afterAutospacing="0" w:line="360" w:lineRule="auto"/>
              <w:jc w:val="both"/>
              <w:rPr>
                <w:rFonts w:ascii="Arial" w:hAnsi="Arial" w:cs="Arial"/>
                <w:bCs/>
                <w:color w:val="1B174A" w:themeColor="text1" w:themeTint="E6"/>
                <w:sz w:val="20"/>
                <w:szCs w:val="20"/>
              </w:rPr>
            </w:pPr>
          </w:p>
          <w:p w14:paraId="3EA2DB20" w14:textId="2A66C04E"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32EBEA1" w:rsidR="00C90A3E" w:rsidRPr="005078C0" w:rsidRDefault="00BA21D1"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BA21D1">
              <w:rPr>
                <w:rStyle w:val="Hypertextovodkaz"/>
                <w:rFonts w:ascii="Arial" w:eastAsia="Times New Roman" w:hAnsi="Arial" w:cs="Arial"/>
                <w:b/>
                <w:bCs/>
                <w:color w:val="0F0D29" w:themeColor="text1"/>
                <w:kern w:val="36"/>
                <w:sz w:val="24"/>
                <w:szCs w:val="20"/>
                <w:u w:val="none"/>
                <w:lang w:eastAsia="cs-CZ"/>
              </w:rPr>
              <w:t>Návrh zákona o hromadném řízení</w:t>
            </w:r>
            <w:r w:rsidR="009E03E7">
              <w:rPr>
                <w:rStyle w:val="Hypertextovodkaz"/>
                <w:rFonts w:ascii="Arial" w:eastAsia="Times New Roman" w:hAnsi="Arial" w:cs="Arial"/>
                <w:b/>
                <w:bCs/>
                <w:color w:val="0F0D29" w:themeColor="text1"/>
                <w:kern w:val="36"/>
                <w:sz w:val="24"/>
                <w:szCs w:val="24"/>
                <w:u w:val="none"/>
                <w:lang w:eastAsia="cs-CZ"/>
              </w:rPr>
              <w:pict w14:anchorId="32314C35">
                <v:rect id="_x0000_i1048" style="width:0;height:1.5pt" o:hralign="center" o:hrstd="t" o:hr="t" fillcolor="#a0a0a0" stroked="f"/>
              </w:pict>
            </w:r>
          </w:p>
          <w:p w14:paraId="0823C5D2" w14:textId="42C79969" w:rsidR="00C90A3E" w:rsidRDefault="00B14F5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00BA21D1">
              <w:t xml:space="preserve"> </w:t>
            </w:r>
            <w:r w:rsidR="00BA21D1" w:rsidRPr="00BA21D1">
              <w:rPr>
                <w:rStyle w:val="Hypertextovodkaz"/>
                <w:rFonts w:ascii="Arial" w:eastAsia="Times New Roman" w:hAnsi="Arial" w:cs="Arial"/>
                <w:bCs/>
                <w:color w:val="0F0D29" w:themeColor="text1"/>
                <w:kern w:val="36"/>
                <w:sz w:val="20"/>
                <w:szCs w:val="20"/>
                <w:u w:val="none"/>
                <w:lang w:eastAsia="cs-CZ"/>
              </w:rPr>
              <w:t>KORNCMALVTYM</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7686611D" w:rsidR="00C90A3E" w:rsidRDefault="00BA21D1" w:rsidP="00B14F5E">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C957C07" w14:textId="0A18CF28" w:rsidR="000B31AD" w:rsidRDefault="00BA21D1"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Ministerstvo spravedlnosti představilo nový návrh zákona o hromadném řízení.</w:t>
            </w:r>
          </w:p>
          <w:p w14:paraId="74CFDE56" w14:textId="65917AE8" w:rsidR="00BA21D1" w:rsidRDefault="00BA21D1"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251E7DFC" w14:textId="105A9E18" w:rsidR="00BA21D1" w:rsidRPr="00BA21D1"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BA21D1">
              <w:rPr>
                <w:rStyle w:val="Hypertextovodkaz"/>
                <w:rFonts w:asciiTheme="majorHAnsi" w:eastAsia="Times New Roman" w:hAnsiTheme="majorHAnsi" w:cstheme="majorHAnsi"/>
                <w:bCs/>
                <w:color w:val="0F0D29" w:themeColor="text1"/>
                <w:kern w:val="36"/>
                <w:sz w:val="20"/>
                <w:szCs w:val="20"/>
                <w:u w:val="none"/>
                <w:lang w:eastAsia="cs-CZ"/>
              </w:rPr>
              <w:t xml:space="preserve">Podstata navrhované hromadné žaloby spočívá v tom, že jednou žalobou jsou uplatněny všechny nároky vzniklé z jediné protiprávní činnosti, které tak lze vymoci v jednom soudním řízení. Jeden soudce se tedy zabývá společnými otázkami v jednom soudním řízení a celá kauza je vyřešena jediným rozsudkem. </w:t>
            </w:r>
          </w:p>
          <w:p w14:paraId="126B2301" w14:textId="77777777" w:rsidR="00BA21D1"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DD3E977" w14:textId="1D42D8AB" w:rsidR="00BA21D1" w:rsidRPr="00BA21D1"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BA21D1">
              <w:rPr>
                <w:rStyle w:val="Hypertextovodkaz"/>
                <w:rFonts w:asciiTheme="majorHAnsi" w:eastAsia="Times New Roman" w:hAnsiTheme="majorHAnsi" w:cstheme="majorHAnsi"/>
                <w:bCs/>
                <w:color w:val="0F0D29" w:themeColor="text1"/>
                <w:kern w:val="36"/>
                <w:sz w:val="20"/>
                <w:szCs w:val="20"/>
                <w:u w:val="none"/>
                <w:lang w:eastAsia="cs-CZ"/>
              </w:rPr>
              <w:t>V zákoně je působnost vymezena</w:t>
            </w:r>
            <w:r>
              <w:rPr>
                <w:rStyle w:val="Hypertextovodkaz"/>
                <w:rFonts w:asciiTheme="majorHAnsi" w:eastAsia="Times New Roman" w:hAnsiTheme="majorHAnsi" w:cstheme="majorHAnsi"/>
                <w:bCs/>
                <w:color w:val="0F0D29" w:themeColor="text1"/>
                <w:kern w:val="36"/>
                <w:sz w:val="20"/>
                <w:szCs w:val="20"/>
                <w:u w:val="none"/>
                <w:lang w:eastAsia="cs-CZ"/>
              </w:rPr>
              <w:t xml:space="preserve"> úzce</w:t>
            </w:r>
            <w:r w:rsidRPr="00BA21D1">
              <w:rPr>
                <w:rStyle w:val="Hypertextovodkaz"/>
                <w:rFonts w:asciiTheme="majorHAnsi" w:eastAsia="Times New Roman" w:hAnsiTheme="majorHAnsi" w:cstheme="majorHAnsi"/>
                <w:bCs/>
                <w:color w:val="0F0D29" w:themeColor="text1"/>
                <w:kern w:val="36"/>
                <w:sz w:val="20"/>
                <w:szCs w:val="20"/>
                <w:u w:val="none"/>
                <w:lang w:eastAsia="cs-CZ"/>
              </w:rPr>
              <w:t xml:space="preserve"> tak, že hromadnou žalobou lze uplatňovat nároky týkající se právních poměrů mezi podnikatelem a spotřebiteli. Jde tedy o nástroj k vymáhání práv osob, které jsou v pozici slabší strany, jimž dnes hmotné právo přiznává ochranu, avšak jejichž procesní postavení za touto hmotněprávní ochranou značně pokulhává.</w:t>
            </w:r>
          </w:p>
          <w:p w14:paraId="76ACF240" w14:textId="77777777" w:rsidR="00BA21D1"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65B0478E" w14:textId="096EEAF1" w:rsidR="00BA21D1"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BA21D1">
              <w:rPr>
                <w:rStyle w:val="Hypertextovodkaz"/>
                <w:rFonts w:asciiTheme="majorHAnsi" w:eastAsia="Times New Roman" w:hAnsiTheme="majorHAnsi" w:cstheme="majorHAnsi"/>
                <w:bCs/>
                <w:color w:val="0F0D29" w:themeColor="text1"/>
                <w:kern w:val="36"/>
                <w:sz w:val="20"/>
                <w:szCs w:val="20"/>
                <w:u w:val="none"/>
                <w:lang w:eastAsia="cs-CZ"/>
              </w:rPr>
              <w:t xml:space="preserve">Procesní legitimaci k podání hromadné žaloby bude mít v souladu s unijní regulací určená nezisková osoba (např. dTest, Sdružení českých spotřebitelů, </w:t>
            </w:r>
            <w:proofErr w:type="spellStart"/>
            <w:r w:rsidRPr="00BA21D1">
              <w:rPr>
                <w:rStyle w:val="Hypertextovodkaz"/>
                <w:rFonts w:asciiTheme="majorHAnsi" w:eastAsia="Times New Roman" w:hAnsiTheme="majorHAnsi" w:cstheme="majorHAnsi"/>
                <w:bCs/>
                <w:color w:val="0F0D29" w:themeColor="text1"/>
                <w:kern w:val="36"/>
                <w:sz w:val="20"/>
                <w:szCs w:val="20"/>
                <w:u w:val="none"/>
                <w:lang w:eastAsia="cs-CZ"/>
              </w:rPr>
              <w:t>z.ú</w:t>
            </w:r>
            <w:proofErr w:type="spellEnd"/>
            <w:r w:rsidRPr="00BA21D1">
              <w:rPr>
                <w:rStyle w:val="Hypertextovodkaz"/>
                <w:rFonts w:asciiTheme="majorHAnsi" w:eastAsia="Times New Roman" w:hAnsiTheme="majorHAnsi" w:cstheme="majorHAnsi"/>
                <w:bCs/>
                <w:color w:val="0F0D29" w:themeColor="text1"/>
                <w:kern w:val="36"/>
                <w:sz w:val="20"/>
                <w:szCs w:val="20"/>
                <w:u w:val="none"/>
                <w:lang w:eastAsia="cs-CZ"/>
              </w:rPr>
              <w:t>. apod.). Tyto neziskové osoby, tj. osoby v režimu připravované směrnice, které jsou zapsány na seznam vedený Evropskou komisí, mají přitom zvýhodněné postavení, neboť se jedná o požadavek směrnice o zástupných žalobách (srov. např. čl. 20 směrnice).</w:t>
            </w:r>
          </w:p>
          <w:p w14:paraId="7F37DDD0" w14:textId="77777777" w:rsidR="00932F08" w:rsidRPr="00BA21D1" w:rsidRDefault="00932F08"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9250541" w14:textId="0CD9AFAE" w:rsidR="00BA21D1" w:rsidRPr="00932F08" w:rsidRDefault="00BA21D1" w:rsidP="00BA21D1">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BA21D1">
              <w:rPr>
                <w:rStyle w:val="Hypertextovodkaz"/>
                <w:rFonts w:asciiTheme="majorHAnsi" w:eastAsia="Times New Roman" w:hAnsiTheme="majorHAnsi" w:cstheme="majorHAnsi"/>
                <w:bCs/>
                <w:color w:val="0F0D29" w:themeColor="text1"/>
                <w:kern w:val="36"/>
                <w:sz w:val="20"/>
                <w:szCs w:val="20"/>
                <w:u w:val="none"/>
                <w:lang w:eastAsia="cs-CZ"/>
              </w:rPr>
              <w:t xml:space="preserve">Postavení členů skupiny, jejichž nárok je v řízení projednáván – tj. tzv. zúčastněných členů skupiny, bude omezené. Základním právem členů skupiny je možnost volby, zda se chtějí hromadného řízení účastnit či nikoliv. Pokud se pro tuto možnost rozhodnou, stávají se tzv. zúčastněnými členy skupiny. Jedná se o procesní </w:t>
            </w:r>
            <w:r w:rsidRPr="00932F08">
              <w:rPr>
                <w:rStyle w:val="Hypertextovodkaz"/>
                <w:rFonts w:asciiTheme="majorHAnsi" w:eastAsia="Times New Roman" w:hAnsiTheme="majorHAnsi" w:cstheme="majorHAnsi"/>
                <w:bCs/>
                <w:color w:val="0F0D29" w:themeColor="text1"/>
                <w:kern w:val="36"/>
                <w:sz w:val="20"/>
                <w:szCs w:val="20"/>
                <w:u w:val="none"/>
                <w:lang w:eastAsia="cs-CZ"/>
              </w:rPr>
              <w:t xml:space="preserve">postavení </w:t>
            </w:r>
            <w:proofErr w:type="spellStart"/>
            <w:r w:rsidRPr="00932F08">
              <w:rPr>
                <w:rStyle w:val="Hypertextovodkaz"/>
                <w:rFonts w:asciiTheme="majorHAnsi" w:eastAsia="Times New Roman" w:hAnsiTheme="majorHAnsi" w:cstheme="majorHAnsi"/>
                <w:bCs/>
                <w:color w:val="0F0D29" w:themeColor="text1"/>
                <w:kern w:val="36"/>
                <w:sz w:val="20"/>
                <w:szCs w:val="20"/>
                <w:u w:val="none"/>
                <w:lang w:eastAsia="cs-CZ"/>
              </w:rPr>
              <w:t>sui</w:t>
            </w:r>
            <w:proofErr w:type="spellEnd"/>
            <w:r w:rsidRPr="00932F08">
              <w:rPr>
                <w:rStyle w:val="Hypertextovodkaz"/>
                <w:rFonts w:asciiTheme="majorHAnsi" w:eastAsia="Times New Roman" w:hAnsiTheme="majorHAnsi" w:cstheme="majorHAnsi"/>
                <w:bCs/>
                <w:color w:val="0F0D29" w:themeColor="text1"/>
                <w:kern w:val="36"/>
                <w:sz w:val="20"/>
                <w:szCs w:val="20"/>
                <w:u w:val="none"/>
                <w:lang w:eastAsia="cs-CZ"/>
              </w:rPr>
              <w:t xml:space="preserve"> generis. Tito členové skupiny nejsou považováni za účastníky řízení, mají nicméně v řízení několik práv. </w:t>
            </w:r>
          </w:p>
          <w:p w14:paraId="77BA3598" w14:textId="4C793974" w:rsidR="000B31AD" w:rsidRPr="00932F08"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27102B98" w14:textId="79263C5E" w:rsidR="00932F08" w:rsidRPr="00932F08" w:rsidRDefault="00932F08" w:rsidP="00932F08">
            <w:pPr>
              <w:spacing w:line="360" w:lineRule="auto"/>
              <w:jc w:val="both"/>
              <w:rPr>
                <w:rFonts w:ascii="Arial" w:hAnsi="Arial" w:cs="Arial"/>
                <w:b w:val="0"/>
                <w:bCs/>
                <w:color w:val="1B174A" w:themeColor="text1" w:themeTint="E6"/>
                <w:sz w:val="20"/>
                <w:szCs w:val="20"/>
              </w:rPr>
            </w:pPr>
            <w:r w:rsidRPr="00932F08">
              <w:rPr>
                <w:rStyle w:val="Hypertextovodkaz"/>
                <w:rFonts w:asciiTheme="majorHAnsi" w:eastAsia="Times New Roman" w:hAnsiTheme="majorHAnsi" w:cstheme="majorHAnsi"/>
                <w:b w:val="0"/>
                <w:bCs/>
                <w:color w:val="0F0D29" w:themeColor="text1"/>
                <w:kern w:val="36"/>
                <w:sz w:val="20"/>
                <w:szCs w:val="20"/>
                <w:u w:val="none"/>
                <w:lang w:eastAsia="cs-CZ"/>
              </w:rPr>
              <w:t xml:space="preserve">Spolu </w:t>
            </w:r>
            <w:r w:rsidRPr="00932F08">
              <w:rPr>
                <w:rFonts w:ascii="Arial" w:hAnsi="Arial" w:cs="Arial"/>
                <w:b w:val="0"/>
                <w:bCs/>
                <w:color w:val="1B174A" w:themeColor="text1" w:themeTint="E6"/>
                <w:sz w:val="20"/>
                <w:szCs w:val="20"/>
              </w:rPr>
              <w:t>s návrhem zákona byl předložen doprovodný zákona, kterým se mění některé zákony v souvislosti s přijetím zákona o hromadném řízení.</w:t>
            </w:r>
          </w:p>
          <w:p w14:paraId="619E02A9" w14:textId="32652FE0" w:rsidR="00932F08" w:rsidRDefault="00932F08"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D09A34F" w14:textId="2FB650F0"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B31AD">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8E8BD21"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B31AD">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91C67">
              <w:rPr>
                <w:rStyle w:val="Hypertextovodkaz"/>
                <w:rFonts w:ascii="Arial" w:eastAsia="Times New Roman" w:hAnsi="Arial" w:cs="Arial"/>
                <w:b/>
                <w:bCs/>
                <w:i/>
                <w:color w:val="0F0D29" w:themeColor="text1"/>
                <w:kern w:val="36"/>
                <w:sz w:val="20"/>
                <w:szCs w:val="20"/>
                <w:u w:val="none"/>
                <w:lang w:eastAsia="cs-CZ"/>
              </w:rPr>
              <w:t>3</w:t>
            </w:r>
            <w:r w:rsidR="00932F08">
              <w:rPr>
                <w:rStyle w:val="Hypertextovodkaz"/>
                <w:rFonts w:ascii="Arial" w:eastAsia="Times New Roman" w:hAnsi="Arial" w:cs="Arial"/>
                <w:b/>
                <w:bCs/>
                <w:i/>
                <w:color w:val="0F0D29" w:themeColor="text1"/>
                <w:kern w:val="36"/>
                <w:sz w:val="20"/>
                <w:szCs w:val="20"/>
                <w:u w:val="none"/>
                <w:lang w:eastAsia="cs-CZ"/>
              </w:rPr>
              <w:t>1.3.2023</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8577E8D" w14:textId="77777777" w:rsidR="00932F08" w:rsidRPr="005078C0" w:rsidRDefault="00932F08" w:rsidP="00932F0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7F9ECBC6" w14:textId="66515352" w:rsidR="00932F08" w:rsidRPr="005078C0" w:rsidRDefault="006E225F" w:rsidP="00932F08">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E225F">
              <w:rPr>
                <w:rStyle w:val="Hypertextovodkaz"/>
                <w:rFonts w:ascii="Arial" w:eastAsia="Times New Roman" w:hAnsi="Arial" w:cs="Arial"/>
                <w:b/>
                <w:bCs/>
                <w:color w:val="0F0D29" w:themeColor="text1"/>
                <w:kern w:val="36"/>
                <w:sz w:val="24"/>
                <w:szCs w:val="20"/>
                <w:u w:val="none"/>
                <w:lang w:eastAsia="cs-CZ"/>
              </w:rPr>
              <w:t>Návrh vyhlášky, kterou se mění vyhláška č. 31/1995 Sb., kterou se provádí zákon č. 200/1994 Sb., o zeměměřictví a o změně a doplnění některých zákonů souvisejících s jeho zavedením, ve znění pozdějších předpisů</w:t>
            </w:r>
            <w:r w:rsidR="009E03E7">
              <w:rPr>
                <w:rStyle w:val="Hypertextovodkaz"/>
                <w:rFonts w:ascii="Arial" w:eastAsia="Times New Roman" w:hAnsi="Arial" w:cs="Arial"/>
                <w:b/>
                <w:bCs/>
                <w:color w:val="0F0D29" w:themeColor="text1"/>
                <w:kern w:val="36"/>
                <w:sz w:val="24"/>
                <w:szCs w:val="24"/>
                <w:u w:val="none"/>
                <w:lang w:eastAsia="cs-CZ"/>
              </w:rPr>
              <w:pict w14:anchorId="4BDFEB6C">
                <v:rect id="_x0000_i1049" style="width:0;height:1.5pt" o:hralign="center" o:hrstd="t" o:hr="t" fillcolor="#a0a0a0" stroked="f"/>
              </w:pict>
            </w:r>
          </w:p>
          <w:p w14:paraId="09FC61FF" w14:textId="6E7D8006" w:rsidR="00932F08" w:rsidRDefault="00932F08" w:rsidP="00932F0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lastRenderedPageBreak/>
              <w:t xml:space="preserve">EKLEP </w:t>
            </w:r>
            <w:r>
              <w:t xml:space="preserve"> </w:t>
            </w:r>
            <w:r w:rsidR="006E225F" w:rsidRPr="006E225F">
              <w:rPr>
                <w:rStyle w:val="Hypertextovodkaz"/>
                <w:rFonts w:ascii="Arial" w:eastAsia="Times New Roman" w:hAnsi="Arial" w:cs="Arial"/>
                <w:bCs/>
                <w:color w:val="0F0D29" w:themeColor="text1"/>
                <w:kern w:val="36"/>
                <w:sz w:val="20"/>
                <w:szCs w:val="20"/>
                <w:u w:val="none"/>
                <w:lang w:eastAsia="cs-CZ"/>
              </w:rPr>
              <w:t>KORNCMCDV7EK</w:t>
            </w:r>
            <w:r>
              <w:rPr>
                <w:rStyle w:val="Hypertextovodkaz"/>
                <w:rFonts w:ascii="Arial" w:eastAsia="Times New Roman" w:hAnsi="Arial" w:cs="Arial"/>
                <w:bCs/>
                <w:color w:val="0F0D29" w:themeColor="text1"/>
                <w:kern w:val="36"/>
                <w:sz w:val="20"/>
                <w:szCs w:val="20"/>
                <w:u w:val="none"/>
                <w:lang w:eastAsia="cs-CZ"/>
              </w:rPr>
              <w:t xml:space="preserve">  </w:t>
            </w:r>
          </w:p>
          <w:p w14:paraId="324818E1" w14:textId="77777777" w:rsidR="00932F08" w:rsidRDefault="00932F08" w:rsidP="00932F08">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V mezirezortním připomínkovém řízení</w:t>
            </w:r>
          </w:p>
          <w:p w14:paraId="12EF2DC8" w14:textId="77777777" w:rsidR="00932F08" w:rsidRDefault="00932F08" w:rsidP="00932F0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FEFBFE9" w14:textId="77777777" w:rsidR="006E225F" w:rsidRDefault="006E225F"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56FF33A3" w14:textId="75A6864C" w:rsidR="006E225F" w:rsidRDefault="006E225F"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6E225F">
              <w:rPr>
                <w:rStyle w:val="Hypertextovodkaz"/>
                <w:rFonts w:asciiTheme="majorHAnsi" w:eastAsia="Times New Roman" w:hAnsiTheme="majorHAnsi" w:cstheme="majorHAnsi"/>
                <w:bCs/>
                <w:color w:val="0F0D29" w:themeColor="text1"/>
                <w:kern w:val="36"/>
                <w:sz w:val="20"/>
                <w:szCs w:val="20"/>
                <w:u w:val="none"/>
                <w:lang w:eastAsia="cs-CZ"/>
              </w:rPr>
              <w:t>Cílem návrhu je tedy především zajistit soulad předmětné vyhlášky s novelou zákona o zeměměřictví, zejména upravit náležitosti výsledků zeměměřických činností a stanovit podmínky a formy pro poskytování údajů z dokumentovaných výsledků zeměměřických činností a z databází spravovaných Zeměměřickým úřadem. Jelikož z důvodu zřízení profesní samosprávy v oblasti zeměměřictví již nebudou nadále výsledky zeměměřických činností ověřovány na základě úředního oprávnění udělovaného Českým úřadem zeměměřickým a katastrálním, nýbrž na základě autorizace udělované Českou komorou zeměměřičů, je nutné zrušit veškerá ustanovení vyhlášky týkající se problematiky udělování úředních oprávnění. Dále je třeba reagovat na elektronizaci postupů při výkonu některých činností, především činností při správě bodových polí.</w:t>
            </w:r>
          </w:p>
          <w:p w14:paraId="7CBC146A" w14:textId="50A5C085" w:rsidR="00932F08" w:rsidRDefault="00932F08"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36C1B6C9" w14:textId="77777777" w:rsidR="00932F08" w:rsidRDefault="00932F08"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408E1091" w14:textId="7777777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251E5276" w14:textId="7777777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4E2CCC" w14:textId="77777777" w:rsidR="00932F08" w:rsidRPr="005078C0" w:rsidRDefault="00932F08" w:rsidP="00932F0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31.3.2023</w:t>
            </w:r>
          </w:p>
          <w:p w14:paraId="46DC81AF" w14:textId="706FAEAF" w:rsidR="00A06F4B" w:rsidRDefault="00A06F4B" w:rsidP="00932F08">
            <w:pPr>
              <w:pStyle w:val="Bezmezer"/>
              <w:tabs>
                <w:tab w:val="left" w:pos="6360"/>
              </w:tabs>
              <w:spacing w:line="360" w:lineRule="auto"/>
              <w:rPr>
                <w:rStyle w:val="Hypertextovodkaz"/>
                <w:rFonts w:ascii="Arial" w:eastAsia="Times New Roman" w:hAnsi="Arial" w:cs="Arial"/>
                <w:b/>
                <w:color w:val="0F0D29" w:themeColor="text1"/>
                <w:kern w:val="36"/>
                <w:sz w:val="24"/>
                <w:szCs w:val="24"/>
                <w:u w:val="none"/>
                <w:lang w:eastAsia="cs-CZ"/>
              </w:rPr>
            </w:pPr>
          </w:p>
          <w:p w14:paraId="6F483DFC" w14:textId="5C4145A5" w:rsidR="00DA4CC0" w:rsidRPr="005078C0" w:rsidRDefault="00DA4CC0" w:rsidP="00DA4CC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A4CC0">
              <w:rPr>
                <w:rStyle w:val="Hypertextovodkaz"/>
                <w:rFonts w:ascii="Arial" w:eastAsia="Times New Roman" w:hAnsi="Arial" w:cs="Arial"/>
                <w:b/>
                <w:bCs/>
                <w:color w:val="0F0D29" w:themeColor="text1"/>
                <w:kern w:val="36"/>
                <w:sz w:val="24"/>
                <w:szCs w:val="20"/>
                <w:u w:val="none"/>
                <w:lang w:eastAsia="cs-CZ"/>
              </w:rPr>
              <w:t>Návrh vyhlášky, kterou se mění vyhláška Ministerstva dopravy a spojů č. 108/1997 Sb., kterou se provádí zákon č. 49/1997 Sb., o civilním letectví a o změně a doplnění zákona č. 455/1991 Sb., o živnostenském podnikání (živnostenský zákon), ve znění pozdějších předpisů</w:t>
            </w:r>
            <w:r w:rsidR="009E03E7">
              <w:rPr>
                <w:rStyle w:val="Hypertextovodkaz"/>
                <w:rFonts w:ascii="Arial" w:eastAsia="Times New Roman" w:hAnsi="Arial" w:cs="Arial"/>
                <w:b/>
                <w:bCs/>
                <w:color w:val="0F0D29" w:themeColor="text1"/>
                <w:kern w:val="36"/>
                <w:sz w:val="24"/>
                <w:szCs w:val="24"/>
                <w:u w:val="none"/>
                <w:lang w:eastAsia="cs-CZ"/>
              </w:rPr>
              <w:pict w14:anchorId="0712976F">
                <v:rect id="_x0000_i1050" style="width:0;height:1.5pt" o:hralign="center" o:hrstd="t" o:hr="t" fillcolor="#a0a0a0" stroked="f"/>
              </w:pict>
            </w:r>
          </w:p>
          <w:p w14:paraId="417EE362" w14:textId="2EBDE26E" w:rsidR="00DA4CC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t xml:space="preserve"> </w:t>
            </w:r>
            <w:r w:rsidRPr="00DA4CC0">
              <w:rPr>
                <w:rStyle w:val="Hypertextovodkaz"/>
                <w:rFonts w:ascii="Arial" w:eastAsia="Times New Roman" w:hAnsi="Arial" w:cs="Arial"/>
                <w:bCs/>
                <w:color w:val="0F0D29" w:themeColor="text1"/>
                <w:kern w:val="36"/>
                <w:sz w:val="20"/>
                <w:szCs w:val="20"/>
                <w:u w:val="none"/>
                <w:lang w:eastAsia="cs-CZ"/>
              </w:rPr>
              <w:t>KORNCMAEKQ7I</w:t>
            </w:r>
            <w:r>
              <w:rPr>
                <w:rStyle w:val="Hypertextovodkaz"/>
                <w:rFonts w:ascii="Arial" w:eastAsia="Times New Roman" w:hAnsi="Arial" w:cs="Arial"/>
                <w:bCs/>
                <w:color w:val="0F0D29" w:themeColor="text1"/>
                <w:kern w:val="36"/>
                <w:sz w:val="20"/>
                <w:szCs w:val="20"/>
                <w:u w:val="none"/>
                <w:lang w:eastAsia="cs-CZ"/>
              </w:rPr>
              <w:t xml:space="preserve">  </w:t>
            </w:r>
          </w:p>
          <w:p w14:paraId="3BE603BD" w14:textId="7F33D5AE" w:rsidR="00DA4CC0" w:rsidRDefault="00DA4CC0" w:rsidP="00DA4CC0">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 ukončeno</w:t>
            </w:r>
          </w:p>
          <w:p w14:paraId="022A3B09" w14:textId="77777777" w:rsidR="00DA4CC0" w:rsidRDefault="00DA4CC0"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92785CA" w14:textId="77777777" w:rsidR="00DA4CC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2C7151F3" w14:textId="3192A162" w:rsidR="00DA4CC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 xml:space="preserve">Do meziresortního připomínkového řízení </w:t>
            </w:r>
            <w:r>
              <w:rPr>
                <w:rStyle w:val="Hypertextovodkaz"/>
                <w:rFonts w:asciiTheme="majorHAnsi" w:eastAsia="Times New Roman" w:hAnsiTheme="majorHAnsi" w:cstheme="majorHAnsi"/>
                <w:bCs/>
                <w:color w:val="0F0D29" w:themeColor="text1"/>
                <w:kern w:val="36"/>
                <w:sz w:val="20"/>
                <w:szCs w:val="20"/>
                <w:u w:val="none"/>
                <w:lang w:eastAsia="cs-CZ"/>
              </w:rPr>
              <w:t>byl předložen</w:t>
            </w:r>
            <w:r w:rsidRPr="00DA4CC0">
              <w:rPr>
                <w:rStyle w:val="Hypertextovodkaz"/>
                <w:rFonts w:asciiTheme="majorHAnsi" w:eastAsia="Times New Roman" w:hAnsiTheme="majorHAnsi" w:cstheme="majorHAnsi"/>
                <w:bCs/>
                <w:color w:val="0F0D29" w:themeColor="text1"/>
                <w:kern w:val="36"/>
                <w:sz w:val="20"/>
                <w:szCs w:val="20"/>
                <w:u w:val="none"/>
                <w:lang w:eastAsia="cs-CZ"/>
              </w:rPr>
              <w:t xml:space="preserve"> návrh vyhlášky, kterou se mění vyhláška Ministerstva dopravy a spojů č. 108/1997 Sb., kterou se provádí zákon č. 49/1997 Sb., o civilním letectví a o změně a doplnění zákona č. 455/1991 Sb., o živnostenském podnikání (živnostenský zákon), ve znění pozdějších předpisů. Stěžejní část navrhovaných změn se týká oblasti provozu a řízení bezpilotních systémů.</w:t>
            </w:r>
          </w:p>
          <w:p w14:paraId="61460876" w14:textId="56BF8B3B" w:rsidR="00DA4CC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53B1FE21" w14:textId="77777777" w:rsidR="00DA4CC0" w:rsidRPr="00DA4CC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 xml:space="preserve">V rámci toho se do vyhlášky vkládají nová ustanovení, která provádějí novou zákonnou úpravu v dané oblasti a upravují </w:t>
            </w:r>
          </w:p>
          <w:p w14:paraId="63074C47"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 xml:space="preserve">údaje vedené v digitální mapě pro užívání vzdušného prostoru České republiky k létání bezpilotních letadel (dále jen „digitální mapa“), způsob jejich vedení a výměnný formát, </w:t>
            </w:r>
          </w:p>
          <w:p w14:paraId="5508092C"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minimální výši limitů pojistného plnění pro pojištění provozovatelů bezpilotních systémů v jednotlivých kategoriích a podkategoriích provozu bezpilotních systémů,</w:t>
            </w:r>
          </w:p>
          <w:p w14:paraId="067E022A"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vzor osvědčení o způsobilosti k řízení bezpilotního systému ve vybraných  podkategoriích otevřené kategorie provozu,</w:t>
            </w:r>
          </w:p>
          <w:p w14:paraId="29CF6669"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vzor potvrzení o způsobilosti k řízení bezpilotního systému ve specifické kategorii provozu,</w:t>
            </w:r>
          </w:p>
          <w:p w14:paraId="37DFA693"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lastRenderedPageBreak/>
              <w:t>délku školení k udržení teoretických znalostí potřebných k řízení bezpilotního systému pro podkategorie otevřené kategorie provozu nebo v souladu se standardním scénářem ve specifické kategorii provozu,</w:t>
            </w:r>
          </w:p>
          <w:p w14:paraId="01F6E462"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obsah, formu a průběh zkoušky, jíž se prokazuje odborná způsobilost k provádění školení k udržení teoretických znalostí potřebných k řízení bezpilotního systému pro podkategorie otevřené kategorie provozu nebo v souladu se standardním scénářem ve specifické kategorii provozu,</w:t>
            </w:r>
          </w:p>
          <w:p w14:paraId="428AC485"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obsah, formu a průběh zkoušky, jíž se prokazuje odborná způsobilost k uskutečňování spolupráce s provozovatelem bezpilotního systému při provádění školení ve specifické kategorii provozu,</w:t>
            </w:r>
          </w:p>
          <w:p w14:paraId="0EB0B7A7" w14:textId="77777777" w:rsid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témata, která musí zahrnovat školení k získání teoretických znalostí a praktických dovedností potřebných k řízení bezpilotního systému ve specifické kategorii provozu, a</w:t>
            </w:r>
          </w:p>
          <w:p w14:paraId="0D4D33A6" w14:textId="6496F7E3" w:rsidR="00DA4CC0" w:rsidRPr="00DA4CC0" w:rsidRDefault="00DA4CC0" w:rsidP="00DA4CC0">
            <w:pPr>
              <w:pStyle w:val="Bezmezer"/>
              <w:numPr>
                <w:ilvl w:val="0"/>
                <w:numId w:val="44"/>
              </w:numP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DA4CC0">
              <w:rPr>
                <w:rStyle w:val="Hypertextovodkaz"/>
                <w:rFonts w:asciiTheme="majorHAnsi" w:eastAsia="Times New Roman" w:hAnsiTheme="majorHAnsi" w:cstheme="majorHAnsi"/>
                <w:bCs/>
                <w:color w:val="0F0D29" w:themeColor="text1"/>
                <w:kern w:val="36"/>
                <w:sz w:val="20"/>
                <w:szCs w:val="20"/>
                <w:u w:val="none"/>
                <w:lang w:eastAsia="cs-CZ"/>
              </w:rPr>
              <w:t>údaje o způsobilosti k řízení bezpilotního systému vedené v registru dálkově řídících pilotů.</w:t>
            </w:r>
          </w:p>
          <w:p w14:paraId="5CCD7246" w14:textId="77777777" w:rsidR="00DA4CC0" w:rsidRDefault="00DA4CC0" w:rsidP="00DA4CC0">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261A641"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733D053"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CBC949" w14:textId="51230564" w:rsidR="00DA4CC0" w:rsidRPr="005078C0" w:rsidRDefault="00DA4CC0" w:rsidP="00DA4CC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28.2.2023</w:t>
            </w:r>
          </w:p>
          <w:p w14:paraId="078D6F1B" w14:textId="77777777" w:rsidR="00DA4CC0" w:rsidRPr="00DA4CC0" w:rsidRDefault="00DA4CC0"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53BDDEFC" w:rsidR="004646E1" w:rsidRPr="005078C0" w:rsidRDefault="008B28D1"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Jednání za právnickou osobu</w:t>
            </w:r>
            <w:r w:rsidR="009E03E7">
              <w:rPr>
                <w:rStyle w:val="Hypertextovodkaz"/>
                <w:rFonts w:ascii="Arial" w:eastAsia="Times New Roman" w:hAnsi="Arial" w:cs="Arial"/>
                <w:b/>
                <w:bCs/>
                <w:color w:val="0F0D29" w:themeColor="text1"/>
                <w:kern w:val="36"/>
                <w:sz w:val="24"/>
                <w:szCs w:val="24"/>
                <w:u w:val="none"/>
                <w:lang w:eastAsia="cs-CZ"/>
              </w:rPr>
              <w:pict w14:anchorId="27969687">
                <v:rect id="_x0000_i1051" style="width:0;height:1.5pt" o:hralign="center" o:hrstd="t" o:hr="t" fillcolor="#a0a0a0" stroked="f"/>
              </w:pict>
            </w:r>
          </w:p>
          <w:p w14:paraId="7D96919C" w14:textId="68FE997B"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00907BCC" w:rsidRPr="00907BCC">
              <w:rPr>
                <w:rStyle w:val="Hypertextovodkaz"/>
                <w:rFonts w:ascii="Arial" w:eastAsia="Times New Roman" w:hAnsi="Arial" w:cs="Arial"/>
                <w:bCs/>
                <w:color w:val="0F0D29" w:themeColor="text1"/>
                <w:kern w:val="36"/>
                <w:sz w:val="20"/>
                <w:szCs w:val="20"/>
                <w:u w:val="none"/>
                <w:lang w:eastAsia="cs-CZ"/>
              </w:rPr>
              <w:t xml:space="preserve">, </w:t>
            </w:r>
            <w:proofErr w:type="spellStart"/>
            <w:r w:rsidR="00907BCC" w:rsidRPr="00907BCC">
              <w:rPr>
                <w:rStyle w:val="Hypertextovodkaz"/>
                <w:rFonts w:ascii="Arial" w:eastAsia="Times New Roman" w:hAnsi="Arial" w:cs="Arial"/>
                <w:bCs/>
                <w:color w:val="0F0D29" w:themeColor="text1"/>
                <w:kern w:val="36"/>
                <w:sz w:val="20"/>
                <w:szCs w:val="20"/>
                <w:u w:val="none"/>
                <w:lang w:eastAsia="cs-CZ"/>
              </w:rPr>
              <w:t>sp</w:t>
            </w:r>
            <w:proofErr w:type="spellEnd"/>
            <w:r w:rsidR="00907BCC" w:rsidRPr="00907BCC">
              <w:rPr>
                <w:rStyle w:val="Hypertextovodkaz"/>
                <w:rFonts w:ascii="Arial" w:eastAsia="Times New Roman" w:hAnsi="Arial" w:cs="Arial"/>
                <w:bCs/>
                <w:color w:val="0F0D29" w:themeColor="text1"/>
                <w:kern w:val="36"/>
                <w:sz w:val="20"/>
                <w:szCs w:val="20"/>
                <w:u w:val="none"/>
                <w:lang w:eastAsia="cs-CZ"/>
              </w:rPr>
              <w:t xml:space="preserve">. zn. </w:t>
            </w:r>
            <w:r w:rsidR="008B28D1" w:rsidRPr="008B28D1">
              <w:rPr>
                <w:rStyle w:val="Hypertextovodkaz"/>
                <w:rFonts w:ascii="Arial" w:eastAsia="Times New Roman" w:hAnsi="Arial" w:cs="Arial"/>
                <w:bCs/>
                <w:color w:val="0F0D29" w:themeColor="text1"/>
                <w:kern w:val="36"/>
                <w:sz w:val="20"/>
                <w:szCs w:val="20"/>
                <w:u w:val="none"/>
                <w:lang w:eastAsia="cs-CZ"/>
              </w:rPr>
              <w:t xml:space="preserve"> 31 </w:t>
            </w:r>
            <w:proofErr w:type="spellStart"/>
            <w:r w:rsidR="008B28D1" w:rsidRPr="008B28D1">
              <w:rPr>
                <w:rStyle w:val="Hypertextovodkaz"/>
                <w:rFonts w:ascii="Arial" w:eastAsia="Times New Roman" w:hAnsi="Arial" w:cs="Arial"/>
                <w:bCs/>
                <w:color w:val="0F0D29" w:themeColor="text1"/>
                <w:kern w:val="36"/>
                <w:sz w:val="20"/>
                <w:szCs w:val="20"/>
                <w:u w:val="none"/>
                <w:lang w:eastAsia="cs-CZ"/>
              </w:rPr>
              <w:t>Cdo</w:t>
            </w:r>
            <w:proofErr w:type="spellEnd"/>
            <w:r w:rsidR="008B28D1" w:rsidRPr="008B28D1">
              <w:rPr>
                <w:rStyle w:val="Hypertextovodkaz"/>
                <w:rFonts w:ascii="Arial" w:eastAsia="Times New Roman" w:hAnsi="Arial" w:cs="Arial"/>
                <w:bCs/>
                <w:color w:val="0F0D29" w:themeColor="text1"/>
                <w:kern w:val="36"/>
                <w:sz w:val="20"/>
                <w:szCs w:val="20"/>
                <w:u w:val="none"/>
                <w:lang w:eastAsia="cs-CZ"/>
              </w:rPr>
              <w:t xml:space="preserve"> 1640/2022 </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673EA68E" w14:textId="0A5304F0" w:rsidR="002B714E" w:rsidRDefault="008B28D1"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B28D1">
              <w:rPr>
                <w:rStyle w:val="Hypertextovodkaz"/>
                <w:rFonts w:ascii="Arial" w:eastAsia="Times New Roman" w:hAnsi="Arial" w:cs="Arial"/>
                <w:bCs/>
                <w:color w:val="0F0D29" w:themeColor="text1"/>
                <w:kern w:val="36"/>
                <w:sz w:val="20"/>
                <w:szCs w:val="20"/>
                <w:u w:val="none"/>
                <w:lang w:eastAsia="cs-CZ"/>
              </w:rPr>
              <w:t xml:space="preserve">Jedná-li zástupce, jehož zájmy jsou ve střetu se zájmy zastoupeného, je tímto jednáním zastoupený vázán vždy, byla-li třetí osoba (s níž zástupce jednal) v dobré víře, že zástupci svědčí </w:t>
            </w:r>
            <w:proofErr w:type="spellStart"/>
            <w:r w:rsidRPr="008B28D1">
              <w:rPr>
                <w:rStyle w:val="Hypertextovodkaz"/>
                <w:rFonts w:ascii="Arial" w:eastAsia="Times New Roman" w:hAnsi="Arial" w:cs="Arial"/>
                <w:bCs/>
                <w:color w:val="0F0D29" w:themeColor="text1"/>
                <w:kern w:val="36"/>
                <w:sz w:val="20"/>
                <w:szCs w:val="20"/>
                <w:u w:val="none"/>
                <w:lang w:eastAsia="cs-CZ"/>
              </w:rPr>
              <w:t>zástupčí</w:t>
            </w:r>
            <w:proofErr w:type="spellEnd"/>
            <w:r w:rsidRPr="008B28D1">
              <w:rPr>
                <w:rStyle w:val="Hypertextovodkaz"/>
                <w:rFonts w:ascii="Arial" w:eastAsia="Times New Roman" w:hAnsi="Arial" w:cs="Arial"/>
                <w:bCs/>
                <w:color w:val="0F0D29" w:themeColor="text1"/>
                <w:kern w:val="36"/>
                <w:sz w:val="20"/>
                <w:szCs w:val="20"/>
                <w:u w:val="none"/>
                <w:lang w:eastAsia="cs-CZ"/>
              </w:rPr>
              <w:t xml:space="preserve"> oprávnění (že mezi zájmy zástupce a zájmy zastoupeného není rozpor, popř. že existující rozpor neomezuje </w:t>
            </w:r>
            <w:proofErr w:type="spellStart"/>
            <w:r w:rsidRPr="008B28D1">
              <w:rPr>
                <w:rStyle w:val="Hypertextovodkaz"/>
                <w:rFonts w:ascii="Arial" w:eastAsia="Times New Roman" w:hAnsi="Arial" w:cs="Arial"/>
                <w:bCs/>
                <w:color w:val="0F0D29" w:themeColor="text1"/>
                <w:kern w:val="36"/>
                <w:sz w:val="20"/>
                <w:szCs w:val="20"/>
                <w:u w:val="none"/>
                <w:lang w:eastAsia="cs-CZ"/>
              </w:rPr>
              <w:t>zástupčí</w:t>
            </w:r>
            <w:proofErr w:type="spellEnd"/>
            <w:r w:rsidRPr="008B28D1">
              <w:rPr>
                <w:rStyle w:val="Hypertextovodkaz"/>
                <w:rFonts w:ascii="Arial" w:eastAsia="Times New Roman" w:hAnsi="Arial" w:cs="Arial"/>
                <w:bCs/>
                <w:color w:val="0F0D29" w:themeColor="text1"/>
                <w:kern w:val="36"/>
                <w:sz w:val="20"/>
                <w:szCs w:val="20"/>
                <w:u w:val="none"/>
                <w:lang w:eastAsia="cs-CZ"/>
              </w:rPr>
              <w:t xml:space="preserve"> oprávnění zástupce). Není-li třetí osoba v dobré víře, není zastoupený jednáním zástupce vázán; může je však v souladu s § 440 o. z. dodatečně schválit (</w:t>
            </w:r>
            <w:proofErr w:type="spellStart"/>
            <w:r w:rsidRPr="008B28D1">
              <w:rPr>
                <w:rStyle w:val="Hypertextovodkaz"/>
                <w:rFonts w:ascii="Arial" w:eastAsia="Times New Roman" w:hAnsi="Arial" w:cs="Arial"/>
                <w:bCs/>
                <w:color w:val="0F0D29" w:themeColor="text1"/>
                <w:kern w:val="36"/>
                <w:sz w:val="20"/>
                <w:szCs w:val="20"/>
                <w:u w:val="none"/>
                <w:lang w:eastAsia="cs-CZ"/>
              </w:rPr>
              <w:t>ratihabovat</w:t>
            </w:r>
            <w:proofErr w:type="spellEnd"/>
            <w:r w:rsidRPr="008B28D1">
              <w:rPr>
                <w:rStyle w:val="Hypertextovodkaz"/>
                <w:rFonts w:ascii="Arial" w:eastAsia="Times New Roman" w:hAnsi="Arial" w:cs="Arial"/>
                <w:bCs/>
                <w:color w:val="0F0D29" w:themeColor="text1"/>
                <w:kern w:val="36"/>
                <w:sz w:val="20"/>
                <w:szCs w:val="20"/>
                <w:u w:val="none"/>
                <w:lang w:eastAsia="cs-CZ"/>
              </w:rPr>
              <w:t xml:space="preserve">). Nedostatku </w:t>
            </w:r>
            <w:proofErr w:type="spellStart"/>
            <w:r w:rsidRPr="008B28D1">
              <w:rPr>
                <w:rStyle w:val="Hypertextovodkaz"/>
                <w:rFonts w:ascii="Arial" w:eastAsia="Times New Roman" w:hAnsi="Arial" w:cs="Arial"/>
                <w:bCs/>
                <w:color w:val="0F0D29" w:themeColor="text1"/>
                <w:kern w:val="36"/>
                <w:sz w:val="20"/>
                <w:szCs w:val="20"/>
                <w:u w:val="none"/>
                <w:lang w:eastAsia="cs-CZ"/>
              </w:rPr>
              <w:t>zástupčího</w:t>
            </w:r>
            <w:proofErr w:type="spellEnd"/>
            <w:r w:rsidRPr="008B28D1">
              <w:rPr>
                <w:rStyle w:val="Hypertextovodkaz"/>
                <w:rFonts w:ascii="Arial" w:eastAsia="Times New Roman" w:hAnsi="Arial" w:cs="Arial"/>
                <w:bCs/>
                <w:color w:val="0F0D29" w:themeColor="text1"/>
                <w:kern w:val="36"/>
                <w:sz w:val="20"/>
                <w:szCs w:val="20"/>
                <w:u w:val="none"/>
                <w:lang w:eastAsia="cs-CZ"/>
              </w:rPr>
              <w:t xml:space="preserve"> oprávnění zástupce (způsobeného nedovoleným střetem zájmů) se zastoupený dovolá ve smyslu § 437 odst. 2 věty první o. z. tím, že právní jednání bez zbytečného odkladu dodatečně neschválí</w:t>
            </w:r>
            <w:r>
              <w:rPr>
                <w:rStyle w:val="Hypertextovodkaz"/>
                <w:rFonts w:ascii="Arial" w:eastAsia="Times New Roman" w:hAnsi="Arial" w:cs="Arial"/>
                <w:bCs/>
                <w:color w:val="0F0D29" w:themeColor="text1"/>
                <w:kern w:val="36"/>
                <w:sz w:val="20"/>
                <w:szCs w:val="20"/>
                <w:u w:val="none"/>
                <w:lang w:eastAsia="cs-CZ"/>
              </w:rPr>
              <w:t>.</w:t>
            </w:r>
          </w:p>
          <w:p w14:paraId="156DF538" w14:textId="366512D3" w:rsidR="002B714E"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7800EA" w14:textId="72B33F36" w:rsidR="00B83E90" w:rsidRDefault="004646E1" w:rsidP="00701CC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D55A3F">
              <w:rPr>
                <w:rStyle w:val="Hypertextovodkaz"/>
                <w:rFonts w:ascii="Arial" w:eastAsia="Times New Roman" w:hAnsi="Arial" w:cs="Arial"/>
                <w:bCs/>
                <w:i/>
                <w:color w:val="0F0D29" w:themeColor="text1"/>
                <w:kern w:val="36"/>
                <w:sz w:val="20"/>
                <w:szCs w:val="20"/>
                <w:u w:val="none"/>
                <w:lang w:eastAsia="cs-CZ"/>
              </w:rPr>
              <w:t xml:space="preserve">. </w:t>
            </w:r>
            <w:r w:rsidR="00907BCC">
              <w:rPr>
                <w:rStyle w:val="Hypertextovodkaz"/>
                <w:rFonts w:ascii="Arial" w:eastAsia="Times New Roman" w:hAnsi="Arial" w:cs="Arial"/>
                <w:bCs/>
                <w:i/>
                <w:color w:val="0F0D29" w:themeColor="text1"/>
                <w:kern w:val="36"/>
                <w:sz w:val="20"/>
                <w:szCs w:val="20"/>
                <w:u w:val="none"/>
                <w:lang w:eastAsia="cs-CZ"/>
              </w:rPr>
              <w:t>.</w:t>
            </w:r>
          </w:p>
          <w:p w14:paraId="1A1732DF" w14:textId="2308E8D8" w:rsidR="00B83E90" w:rsidRDefault="00B83E90" w:rsidP="00B83E90">
            <w:pPr>
              <w:pStyle w:val="Bezmezer"/>
              <w:spacing w:line="276" w:lineRule="auto"/>
              <w:jc w:val="both"/>
              <w:rPr>
                <w:rFonts w:ascii="Arial" w:eastAsia="Times New Roman" w:hAnsi="Arial" w:cs="Arial"/>
                <w:bCs/>
                <w:i/>
                <w:color w:val="0F0D29" w:themeColor="text1"/>
                <w:kern w:val="36"/>
                <w:sz w:val="20"/>
                <w:szCs w:val="20"/>
                <w:lang w:eastAsia="cs-CZ"/>
              </w:rPr>
            </w:pPr>
          </w:p>
          <w:p w14:paraId="59A98982" w14:textId="580D1C9D" w:rsidR="008B28D1" w:rsidRDefault="008B28D1" w:rsidP="00B83E90">
            <w:pPr>
              <w:pStyle w:val="Bezmezer"/>
              <w:spacing w:line="276" w:lineRule="auto"/>
              <w:jc w:val="both"/>
            </w:pPr>
          </w:p>
          <w:p w14:paraId="0F507EC6" w14:textId="108FE1F0" w:rsidR="006A4E78" w:rsidRPr="005078C0" w:rsidRDefault="006A4E78" w:rsidP="006A4E7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A4E78">
              <w:rPr>
                <w:rStyle w:val="Hypertextovodkaz"/>
                <w:rFonts w:ascii="Arial" w:eastAsia="Times New Roman" w:hAnsi="Arial" w:cs="Arial"/>
                <w:b/>
                <w:bCs/>
                <w:color w:val="0F0D29" w:themeColor="text1"/>
                <w:kern w:val="36"/>
                <w:sz w:val="24"/>
                <w:szCs w:val="20"/>
                <w:u w:val="none"/>
                <w:lang w:eastAsia="cs-CZ"/>
              </w:rPr>
              <w:t>Nemajetková újma právnické osoby způsobená nezákonně zahájeným trestním stíháním</w:t>
            </w:r>
            <w:r w:rsidR="009E03E7">
              <w:rPr>
                <w:rStyle w:val="Hypertextovodkaz"/>
                <w:rFonts w:ascii="Arial" w:eastAsia="Times New Roman" w:hAnsi="Arial" w:cs="Arial"/>
                <w:b/>
                <w:bCs/>
                <w:color w:val="0F0D29" w:themeColor="text1"/>
                <w:kern w:val="36"/>
                <w:sz w:val="24"/>
                <w:szCs w:val="24"/>
                <w:u w:val="none"/>
                <w:lang w:eastAsia="cs-CZ"/>
              </w:rPr>
              <w:pict w14:anchorId="3F2BD328">
                <v:rect id="_x0000_i1052" style="width:0;height:1.5pt" o:hralign="center" o:hrstd="t" o:hr="t" fillcolor="#a0a0a0" stroked="f"/>
              </w:pict>
            </w:r>
          </w:p>
          <w:p w14:paraId="3ABF6257" w14:textId="5D724138" w:rsidR="006A4E78" w:rsidRDefault="006A4E78" w:rsidP="006A4E7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6A4E78">
              <w:rPr>
                <w:rStyle w:val="Hypertextovodkaz"/>
                <w:rFonts w:ascii="Arial" w:eastAsia="Times New Roman" w:hAnsi="Arial" w:cs="Arial"/>
                <w:bCs/>
                <w:color w:val="0F0D29" w:themeColor="text1"/>
                <w:kern w:val="36"/>
                <w:sz w:val="20"/>
                <w:szCs w:val="20"/>
                <w:u w:val="none"/>
                <w:lang w:eastAsia="cs-CZ"/>
              </w:rPr>
              <w:t xml:space="preserve">Rozsudek Nejvyššího soudu ze dne 24. 2. 2022, č. j.: 30 </w:t>
            </w:r>
            <w:proofErr w:type="spellStart"/>
            <w:r w:rsidRPr="006A4E78">
              <w:rPr>
                <w:rStyle w:val="Hypertextovodkaz"/>
                <w:rFonts w:ascii="Arial" w:eastAsia="Times New Roman" w:hAnsi="Arial" w:cs="Arial"/>
                <w:bCs/>
                <w:color w:val="0F0D29" w:themeColor="text1"/>
                <w:kern w:val="36"/>
                <w:sz w:val="20"/>
                <w:szCs w:val="20"/>
                <w:u w:val="none"/>
                <w:lang w:eastAsia="cs-CZ"/>
              </w:rPr>
              <w:t>Cdo</w:t>
            </w:r>
            <w:proofErr w:type="spellEnd"/>
            <w:r w:rsidRPr="006A4E78">
              <w:rPr>
                <w:rStyle w:val="Hypertextovodkaz"/>
                <w:rFonts w:ascii="Arial" w:eastAsia="Times New Roman" w:hAnsi="Arial" w:cs="Arial"/>
                <w:bCs/>
                <w:color w:val="0F0D29" w:themeColor="text1"/>
                <w:kern w:val="36"/>
                <w:sz w:val="20"/>
                <w:szCs w:val="20"/>
                <w:u w:val="none"/>
                <w:lang w:eastAsia="cs-CZ"/>
              </w:rPr>
              <w:t xml:space="preserve"> 3274/2021</w:t>
            </w:r>
          </w:p>
          <w:p w14:paraId="033CE2C1" w14:textId="77777777" w:rsidR="006A4E78" w:rsidRPr="005078C0" w:rsidRDefault="006A4E78" w:rsidP="006A4E78">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2A4C94E" w14:textId="51D3BEAF" w:rsidR="006A4E78" w:rsidRDefault="006A4E78" w:rsidP="006A4E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A4E78">
              <w:rPr>
                <w:rStyle w:val="Hypertextovodkaz"/>
                <w:rFonts w:ascii="Arial" w:eastAsia="Times New Roman" w:hAnsi="Arial" w:cs="Arial"/>
                <w:bCs/>
                <w:color w:val="0F0D29" w:themeColor="text1"/>
                <w:kern w:val="36"/>
                <w:sz w:val="20"/>
                <w:szCs w:val="20"/>
                <w:u w:val="none"/>
                <w:lang w:eastAsia="cs-CZ"/>
              </w:rPr>
              <w:t xml:space="preserve">Nejvyšší soud ČR </w:t>
            </w:r>
            <w:r>
              <w:rPr>
                <w:rStyle w:val="Hypertextovodkaz"/>
                <w:rFonts w:ascii="Arial" w:eastAsia="Times New Roman" w:hAnsi="Arial" w:cs="Arial"/>
                <w:bCs/>
                <w:color w:val="0F0D29" w:themeColor="text1"/>
                <w:kern w:val="36"/>
                <w:sz w:val="20"/>
                <w:szCs w:val="20"/>
                <w:u w:val="none"/>
                <w:lang w:eastAsia="cs-CZ"/>
              </w:rPr>
              <w:t xml:space="preserve">vydal </w:t>
            </w:r>
            <w:r w:rsidRPr="006A4E78">
              <w:rPr>
                <w:rStyle w:val="Hypertextovodkaz"/>
                <w:rFonts w:ascii="Arial" w:eastAsia="Times New Roman" w:hAnsi="Arial" w:cs="Arial"/>
                <w:bCs/>
                <w:color w:val="0F0D29" w:themeColor="text1"/>
                <w:kern w:val="36"/>
                <w:sz w:val="20"/>
                <w:szCs w:val="20"/>
                <w:u w:val="none"/>
                <w:lang w:eastAsia="cs-CZ"/>
              </w:rPr>
              <w:t>rozhodnutí, ve kterém odůvodnil nárok právnické osoby na zadostiučinění za nemajetkovou újmu způsobenou jí nezákonně zahájeným trestním stíháním.</w:t>
            </w:r>
          </w:p>
          <w:p w14:paraId="43471EBC" w14:textId="1A72F701" w:rsidR="006A4E78" w:rsidRDefault="006A4E78" w:rsidP="006A4E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77A99A2" w14:textId="057971FB" w:rsidR="006A4E78" w:rsidRDefault="006A4E78" w:rsidP="006A4E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A4E78">
              <w:rPr>
                <w:rStyle w:val="Hypertextovodkaz"/>
                <w:rFonts w:ascii="Arial" w:eastAsia="Times New Roman" w:hAnsi="Arial" w:cs="Arial"/>
                <w:bCs/>
                <w:color w:val="0F0D29" w:themeColor="text1"/>
                <w:kern w:val="36"/>
                <w:sz w:val="20"/>
                <w:szCs w:val="20"/>
                <w:u w:val="none"/>
                <w:lang w:eastAsia="cs-CZ"/>
              </w:rPr>
              <w:t xml:space="preserve">Nejvyšší soud dovodil, že spojuje-li již dlouhodobě ustálená judikatura s nepřiměřenou délkou řízení závěr o vzniku nemajetkové újmy na straně právnických osob, je třeba dle pravidla a </w:t>
            </w:r>
            <w:proofErr w:type="spellStart"/>
            <w:r w:rsidRPr="006A4E78">
              <w:rPr>
                <w:rStyle w:val="Hypertextovodkaz"/>
                <w:rFonts w:ascii="Arial" w:eastAsia="Times New Roman" w:hAnsi="Arial" w:cs="Arial"/>
                <w:bCs/>
                <w:color w:val="0F0D29" w:themeColor="text1"/>
                <w:kern w:val="36"/>
                <w:sz w:val="20"/>
                <w:szCs w:val="20"/>
                <w:u w:val="none"/>
                <w:lang w:eastAsia="cs-CZ"/>
              </w:rPr>
              <w:t>minori</w:t>
            </w:r>
            <w:proofErr w:type="spellEnd"/>
            <w:r w:rsidRPr="006A4E78">
              <w:rPr>
                <w:rStyle w:val="Hypertextovodkaz"/>
                <w:rFonts w:ascii="Arial" w:eastAsia="Times New Roman" w:hAnsi="Arial" w:cs="Arial"/>
                <w:bCs/>
                <w:color w:val="0F0D29" w:themeColor="text1"/>
                <w:kern w:val="36"/>
                <w:sz w:val="20"/>
                <w:szCs w:val="20"/>
                <w:u w:val="none"/>
                <w:lang w:eastAsia="cs-CZ"/>
              </w:rPr>
              <w:t xml:space="preserve"> ad </w:t>
            </w:r>
            <w:proofErr w:type="spellStart"/>
            <w:r w:rsidRPr="006A4E78">
              <w:rPr>
                <w:rStyle w:val="Hypertextovodkaz"/>
                <w:rFonts w:ascii="Arial" w:eastAsia="Times New Roman" w:hAnsi="Arial" w:cs="Arial"/>
                <w:bCs/>
                <w:color w:val="0F0D29" w:themeColor="text1"/>
                <w:kern w:val="36"/>
                <w:sz w:val="20"/>
                <w:szCs w:val="20"/>
                <w:u w:val="none"/>
                <w:lang w:eastAsia="cs-CZ"/>
              </w:rPr>
              <w:t>maius</w:t>
            </w:r>
            <w:proofErr w:type="spellEnd"/>
            <w:r w:rsidRPr="006A4E78">
              <w:rPr>
                <w:rStyle w:val="Hypertextovodkaz"/>
                <w:rFonts w:ascii="Arial" w:eastAsia="Times New Roman" w:hAnsi="Arial" w:cs="Arial"/>
                <w:bCs/>
                <w:color w:val="0F0D29" w:themeColor="text1"/>
                <w:kern w:val="36"/>
                <w:sz w:val="20"/>
                <w:szCs w:val="20"/>
                <w:u w:val="none"/>
                <w:lang w:eastAsia="cs-CZ"/>
              </w:rPr>
              <w:t xml:space="preserve"> odvodit též možnost </w:t>
            </w:r>
            <w:r w:rsidRPr="006A4E78">
              <w:rPr>
                <w:rStyle w:val="Hypertextovodkaz"/>
                <w:rFonts w:ascii="Arial" w:eastAsia="Times New Roman" w:hAnsi="Arial" w:cs="Arial"/>
                <w:bCs/>
                <w:color w:val="0F0D29" w:themeColor="text1"/>
                <w:kern w:val="36"/>
                <w:sz w:val="20"/>
                <w:szCs w:val="20"/>
                <w:u w:val="none"/>
                <w:lang w:eastAsia="cs-CZ"/>
              </w:rPr>
              <w:lastRenderedPageBreak/>
              <w:t xml:space="preserve">vzniku nemajetkové újmy právnické osobě i v důsledku jiného projevu nesprávného úředního postupu, a to např. v důsledku nezákonného rozhodnutí, což s sebou nese obvykle ještě závažnější negativní následky pro právnickou osobu. Bylo by nesmyslné, aby se přiznalo právnické osobě zadostiučinění z titulu nezákonného rozhodnutí správního orgánu a naopak byla opomenuta situace, kdy újma vznikla právnické osobě v důsledku nezákonného rozhodnutí o zahájení trestního stíhání. </w:t>
            </w:r>
          </w:p>
          <w:p w14:paraId="21633016" w14:textId="75388259" w:rsidR="006A4E78" w:rsidRDefault="006A4E78" w:rsidP="006A4E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3ED7FAE" w14:textId="77777777" w:rsidR="006A4E78" w:rsidRDefault="006A4E78" w:rsidP="006A4E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6CB8CB5" w14:textId="7B7AE648" w:rsidR="006A4E78" w:rsidRDefault="006A4E78" w:rsidP="006A4E7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 .</w:t>
            </w:r>
          </w:p>
          <w:p w14:paraId="2AF8A274" w14:textId="07904BA7" w:rsidR="00651780" w:rsidRPr="005078C0" w:rsidRDefault="00651780" w:rsidP="0065178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Vysvětlení zadávací dokumentace</w:t>
            </w:r>
            <w:r w:rsidR="009E03E7">
              <w:rPr>
                <w:rStyle w:val="Hypertextovodkaz"/>
                <w:rFonts w:ascii="Arial" w:eastAsia="Times New Roman" w:hAnsi="Arial" w:cs="Arial"/>
                <w:b/>
                <w:bCs/>
                <w:color w:val="0F0D29" w:themeColor="text1"/>
                <w:kern w:val="36"/>
                <w:sz w:val="24"/>
                <w:szCs w:val="24"/>
                <w:u w:val="none"/>
                <w:lang w:eastAsia="cs-CZ"/>
              </w:rPr>
              <w:pict w14:anchorId="689B5AD6">
                <v:rect id="_x0000_i1053" style="width:0;height:1.5pt" o:hralign="center" o:hrstd="t" o:hr="t" fillcolor="#a0a0a0" stroked="f"/>
              </w:pict>
            </w:r>
          </w:p>
          <w:p w14:paraId="1A6B2AC2" w14:textId="3B50C669" w:rsidR="00651780" w:rsidRDefault="00651780" w:rsidP="0065178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651780">
              <w:rPr>
                <w:rStyle w:val="Hypertextovodkaz"/>
                <w:rFonts w:ascii="Arial" w:eastAsia="Times New Roman" w:hAnsi="Arial" w:cs="Arial"/>
                <w:bCs/>
                <w:color w:val="0F0D29" w:themeColor="text1"/>
                <w:kern w:val="36"/>
                <w:sz w:val="20"/>
                <w:szCs w:val="20"/>
                <w:u w:val="none"/>
                <w:lang w:eastAsia="cs-CZ"/>
              </w:rPr>
              <w:t xml:space="preserve">Rozsudek Krajského soudu v Brně ze dne 21. 4. 2022, čj. 62 </w:t>
            </w:r>
            <w:proofErr w:type="spellStart"/>
            <w:r w:rsidRPr="00651780">
              <w:rPr>
                <w:rStyle w:val="Hypertextovodkaz"/>
                <w:rFonts w:ascii="Arial" w:eastAsia="Times New Roman" w:hAnsi="Arial" w:cs="Arial"/>
                <w:bCs/>
                <w:color w:val="0F0D29" w:themeColor="text1"/>
                <w:kern w:val="36"/>
                <w:sz w:val="20"/>
                <w:szCs w:val="20"/>
                <w:u w:val="none"/>
                <w:lang w:eastAsia="cs-CZ"/>
              </w:rPr>
              <w:t>Af</w:t>
            </w:r>
            <w:proofErr w:type="spellEnd"/>
            <w:r w:rsidRPr="00651780">
              <w:rPr>
                <w:rStyle w:val="Hypertextovodkaz"/>
                <w:rFonts w:ascii="Arial" w:eastAsia="Times New Roman" w:hAnsi="Arial" w:cs="Arial"/>
                <w:bCs/>
                <w:color w:val="0F0D29" w:themeColor="text1"/>
                <w:kern w:val="36"/>
                <w:sz w:val="20"/>
                <w:szCs w:val="20"/>
                <w:u w:val="none"/>
                <w:lang w:eastAsia="cs-CZ"/>
              </w:rPr>
              <w:t xml:space="preserve"> 18/2020</w:t>
            </w:r>
          </w:p>
          <w:p w14:paraId="24D87EE4" w14:textId="77777777" w:rsidR="00651780" w:rsidRPr="005078C0" w:rsidRDefault="00651780" w:rsidP="0065178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0179A608" w14:textId="77777777" w:rsidR="00651780" w:rsidRPr="00651780" w:rsidRDefault="00651780" w:rsidP="0065178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51780">
              <w:rPr>
                <w:rStyle w:val="Hypertextovodkaz"/>
                <w:rFonts w:ascii="Arial" w:eastAsia="Times New Roman" w:hAnsi="Arial" w:cs="Arial"/>
                <w:bCs/>
                <w:color w:val="0F0D29" w:themeColor="text1"/>
                <w:kern w:val="36"/>
                <w:sz w:val="20"/>
                <w:szCs w:val="20"/>
                <w:u w:val="none"/>
                <w:lang w:eastAsia="cs-CZ"/>
              </w:rPr>
              <w:t>Je-li „vysvětlením“ zadávací dokumentace postupem podle § 98 zákona č. 134/2016 Sb., o zadávání veřejných zakázek, měněna řada dílčích údajů původně zadavatelem napevno stanovené technické specifikace předmětu plnění, tedy měněna charakteristika předmětu plnění, je třeba postupovat podle § 99 téhož zákona. V situaci, kdy k takovému „vysvětlení“ dochází na samotném konci lhůty pro podání nabídek, je nezbytné přiměřeně prodloužit lhůtu pro podání nabídek ve smyslu § 99 odst. 2 téhož zákona.</w:t>
            </w:r>
          </w:p>
          <w:p w14:paraId="4F70FDA1" w14:textId="77777777" w:rsidR="00651780" w:rsidRDefault="00651780" w:rsidP="0065178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CBEEFFE" w14:textId="77777777" w:rsidR="00651780" w:rsidRDefault="00651780" w:rsidP="0065178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 .</w:t>
            </w:r>
          </w:p>
          <w:p w14:paraId="34E163F9" w14:textId="6CD12E0F" w:rsidR="00651780" w:rsidRDefault="00651780" w:rsidP="00651780">
            <w:pPr>
              <w:pStyle w:val="Bezmezer"/>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C252536" w14:textId="00BEC06C" w:rsidR="00825113" w:rsidRPr="005078C0" w:rsidRDefault="00825113" w:rsidP="0082511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Nesplňování požadavků pro řádný výkon práce</w:t>
            </w:r>
            <w:r w:rsidR="009E03E7">
              <w:rPr>
                <w:rStyle w:val="Hypertextovodkaz"/>
                <w:rFonts w:ascii="Arial" w:eastAsia="Times New Roman" w:hAnsi="Arial" w:cs="Arial"/>
                <w:b/>
                <w:bCs/>
                <w:color w:val="0F0D29" w:themeColor="text1"/>
                <w:kern w:val="36"/>
                <w:sz w:val="24"/>
                <w:szCs w:val="24"/>
                <w:u w:val="none"/>
                <w:lang w:eastAsia="cs-CZ"/>
              </w:rPr>
              <w:pict w14:anchorId="602F282D">
                <v:rect id="_x0000_i1054" style="width:0;height:1.5pt" o:hralign="center" o:hrstd="t" o:hr="t" fillcolor="#a0a0a0" stroked="f"/>
              </w:pict>
            </w:r>
          </w:p>
          <w:p w14:paraId="08113A73" w14:textId="0A4125D8" w:rsidR="00825113" w:rsidRDefault="00825113" w:rsidP="0082511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825113">
              <w:rPr>
                <w:rStyle w:val="Hypertextovodkaz"/>
                <w:rFonts w:ascii="Arial" w:eastAsia="Times New Roman" w:hAnsi="Arial" w:cs="Arial"/>
                <w:bCs/>
                <w:color w:val="0F0D29" w:themeColor="text1"/>
                <w:kern w:val="36"/>
                <w:sz w:val="20"/>
                <w:szCs w:val="20"/>
                <w:u w:val="none"/>
                <w:lang w:eastAsia="cs-CZ"/>
              </w:rPr>
              <w:t xml:space="preserve">Rozsudek Nejvyššího soudu České republiky č.j. 21 </w:t>
            </w:r>
            <w:proofErr w:type="spellStart"/>
            <w:r w:rsidRPr="00825113">
              <w:rPr>
                <w:rStyle w:val="Hypertextovodkaz"/>
                <w:rFonts w:ascii="Arial" w:eastAsia="Times New Roman" w:hAnsi="Arial" w:cs="Arial"/>
                <w:bCs/>
                <w:color w:val="0F0D29" w:themeColor="text1"/>
                <w:kern w:val="36"/>
                <w:sz w:val="20"/>
                <w:szCs w:val="20"/>
                <w:u w:val="none"/>
                <w:lang w:eastAsia="cs-CZ"/>
              </w:rPr>
              <w:t>Cdo</w:t>
            </w:r>
            <w:proofErr w:type="spellEnd"/>
            <w:r w:rsidRPr="00825113">
              <w:rPr>
                <w:rStyle w:val="Hypertextovodkaz"/>
                <w:rFonts w:ascii="Arial" w:eastAsia="Times New Roman" w:hAnsi="Arial" w:cs="Arial"/>
                <w:bCs/>
                <w:color w:val="0F0D29" w:themeColor="text1"/>
                <w:kern w:val="36"/>
                <w:sz w:val="20"/>
                <w:szCs w:val="20"/>
                <w:u w:val="none"/>
                <w:lang w:eastAsia="cs-CZ"/>
              </w:rPr>
              <w:t xml:space="preserve"> 209/2021</w:t>
            </w:r>
            <w:r>
              <w:rPr>
                <w:rStyle w:val="Hypertextovodkaz"/>
                <w:rFonts w:ascii="Arial" w:eastAsia="Times New Roman" w:hAnsi="Arial" w:cs="Arial"/>
                <w:bCs/>
                <w:color w:val="0F0D29" w:themeColor="text1"/>
                <w:kern w:val="36"/>
                <w:sz w:val="20"/>
                <w:szCs w:val="20"/>
                <w:u w:val="none"/>
                <w:lang w:eastAsia="cs-CZ"/>
              </w:rPr>
              <w:t xml:space="preserve">  </w:t>
            </w:r>
          </w:p>
          <w:p w14:paraId="17FBF93D" w14:textId="77777777" w:rsidR="00825113" w:rsidRPr="005078C0" w:rsidRDefault="00825113" w:rsidP="0082511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4AF439B" w14:textId="4C72D054" w:rsidR="00825113" w:rsidRDefault="00825113" w:rsidP="0082511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5113">
              <w:rPr>
                <w:rStyle w:val="Hypertextovodkaz"/>
                <w:rFonts w:ascii="Arial" w:eastAsia="Times New Roman" w:hAnsi="Arial" w:cs="Arial"/>
                <w:bCs/>
                <w:color w:val="0F0D29" w:themeColor="text1"/>
                <w:kern w:val="36"/>
                <w:sz w:val="20"/>
                <w:szCs w:val="20"/>
                <w:u w:val="none"/>
                <w:lang w:eastAsia="cs-CZ"/>
              </w:rPr>
              <w:t>Zaměstnanec ve smyslu ustanovení § 52 písm. f) zák. práce nesplňuje požadavky pro řádný výkon práce jen tehdy, je-li dána absence kvality požadovaných skutečností po delší dobu. Tato podmínka se vztahuje též na požadavek spočívající v dosažení určitého stupně fyzické zdatnosti zaměstnance. Jen dočasná zdravotní indispozice způsobující, že zaměstnanec po přechodnou dobu požadované fyzické zdatnosti nedosahuje, proto závěr o nesplňování požadavku pro řádný výkon práce neopodstatňuje. Podstatné je, zda absence požadované fyzické zdatnosti je dána po delší dobu. Prokáže-li proto zaměstnanec (byť dodatečně), že důvodem byly zdravotní důvody, které po přechodnou dobu způsobovaly, že po tuto přechodnou dobu požadované fyzické zdatnosti nedosahoval, nelze na nesplnění uvedeného požadavku usuzovat.</w:t>
            </w:r>
          </w:p>
          <w:p w14:paraId="62C1842C" w14:textId="526B4E6D" w:rsidR="00825113" w:rsidRDefault="00825113" w:rsidP="0082511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 xml:space="preserve">. </w:t>
            </w:r>
          </w:p>
          <w:p w14:paraId="2FE0DA9B" w14:textId="77777777" w:rsidR="00825113" w:rsidRDefault="00825113" w:rsidP="00651780">
            <w:pPr>
              <w:pStyle w:val="Bezmezer"/>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3178018" w14:textId="21A16647" w:rsidR="00E04295" w:rsidRDefault="00E04295" w:rsidP="00E04295">
            <w:pPr>
              <w:pStyle w:val="Nadpis1"/>
              <w:shd w:val="clear" w:color="auto" w:fill="FDFDFD"/>
              <w:spacing w:before="300" w:after="300" w:line="312" w:lineRule="atLeast"/>
              <w:jc w:val="both"/>
              <w:rPr>
                <w:rStyle w:val="Hypertextovodkaz"/>
                <w:rFonts w:ascii="Arial" w:eastAsia="Times New Roman" w:hAnsi="Arial" w:cs="Arial"/>
                <w:bCs/>
                <w:color w:val="0F0D29" w:themeColor="text1"/>
                <w:kern w:val="36"/>
                <w:sz w:val="24"/>
                <w:szCs w:val="20"/>
                <w:u w:val="none"/>
                <w:lang w:eastAsia="cs-CZ"/>
              </w:rPr>
            </w:pPr>
            <w:r w:rsidRPr="00E04295">
              <w:rPr>
                <w:rStyle w:val="Hypertextovodkaz"/>
                <w:rFonts w:ascii="Arial" w:eastAsia="Times New Roman" w:hAnsi="Arial" w:cs="Arial"/>
                <w:bCs/>
                <w:color w:val="0F0D29" w:themeColor="text1"/>
                <w:kern w:val="36"/>
                <w:sz w:val="24"/>
                <w:szCs w:val="20"/>
                <w:u w:val="none"/>
                <w:lang w:eastAsia="cs-CZ"/>
              </w:rPr>
              <w:t>Výpověď pro nadbytečnost po předchozím neplatném skončení pracovního pomě</w:t>
            </w:r>
            <w:r>
              <w:rPr>
                <w:rStyle w:val="Hypertextovodkaz"/>
                <w:rFonts w:ascii="Arial" w:eastAsia="Times New Roman" w:hAnsi="Arial" w:cs="Arial"/>
                <w:bCs/>
                <w:color w:val="0F0D29" w:themeColor="text1"/>
                <w:kern w:val="36"/>
                <w:sz w:val="24"/>
                <w:szCs w:val="20"/>
                <w:u w:val="none"/>
                <w:lang w:eastAsia="cs-CZ"/>
              </w:rPr>
              <w:t>ru</w:t>
            </w:r>
          </w:p>
          <w:p w14:paraId="2BCFBF0E" w14:textId="55A82DA1" w:rsidR="00E04295" w:rsidRPr="00E04295" w:rsidRDefault="009E03E7" w:rsidP="00E04295">
            <w:pPr>
              <w:pStyle w:val="Nadpis1"/>
              <w:shd w:val="clear" w:color="auto" w:fill="FDFDFD"/>
              <w:spacing w:before="300" w:after="300" w:line="312" w:lineRule="atLeast"/>
              <w:jc w:val="both"/>
              <w:rPr>
                <w:rStyle w:val="Hypertextovodkaz"/>
                <w:rFonts w:ascii="Arial" w:hAnsi="Arial" w:cs="Arial"/>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4"/>
                <w:szCs w:val="24"/>
                <w:u w:val="none"/>
                <w:lang w:eastAsia="cs-CZ"/>
              </w:rPr>
              <w:pict w14:anchorId="20401667">
                <v:rect id="_x0000_i1055" style="width:0;height:1.5pt" o:hralign="center" o:hrstd="t" o:hr="t" fillcolor="#a0a0a0" stroked="f"/>
              </w:pict>
            </w:r>
          </w:p>
          <w:p w14:paraId="20123749" w14:textId="790C113F" w:rsidR="00825113" w:rsidRDefault="00E04295" w:rsidP="00E04295">
            <w:pPr>
              <w:pStyle w:val="Bezmezer"/>
              <w:spacing w:line="276" w:lineRule="auto"/>
              <w:jc w:val="right"/>
              <w:rPr>
                <w:rStyle w:val="Hypertextovodkaz"/>
                <w:rFonts w:ascii="Arial" w:eastAsia="Times New Roman" w:hAnsi="Arial" w:cs="Arial"/>
                <w:bCs/>
                <w:iCs/>
                <w:color w:val="0F0D29" w:themeColor="text1"/>
                <w:kern w:val="36"/>
                <w:sz w:val="20"/>
                <w:szCs w:val="20"/>
                <w:u w:val="none"/>
                <w:lang w:eastAsia="cs-CZ"/>
              </w:rPr>
            </w:pPr>
            <w:r>
              <w:rPr>
                <w:rStyle w:val="Hypertextovodkaz"/>
                <w:rFonts w:ascii="Arial" w:eastAsia="Times New Roman" w:hAnsi="Arial" w:cs="Arial"/>
                <w:bCs/>
                <w:iCs/>
                <w:color w:val="0F0D29" w:themeColor="text1"/>
                <w:kern w:val="36"/>
                <w:sz w:val="20"/>
                <w:szCs w:val="20"/>
                <w:u w:val="none"/>
                <w:lang w:eastAsia="cs-CZ"/>
              </w:rPr>
              <w:t>Rozsudek N</w:t>
            </w:r>
            <w:r w:rsidRPr="00E04295">
              <w:rPr>
                <w:rStyle w:val="Hypertextovodkaz"/>
                <w:rFonts w:ascii="Arial" w:eastAsia="Times New Roman" w:hAnsi="Arial" w:cs="Arial"/>
                <w:bCs/>
                <w:iCs/>
                <w:color w:val="0F0D29" w:themeColor="text1"/>
                <w:kern w:val="36"/>
                <w:sz w:val="20"/>
                <w:szCs w:val="20"/>
                <w:u w:val="none"/>
                <w:lang w:eastAsia="cs-CZ"/>
              </w:rPr>
              <w:t>ejvyšší</w:t>
            </w:r>
            <w:r>
              <w:rPr>
                <w:rStyle w:val="Hypertextovodkaz"/>
                <w:rFonts w:ascii="Arial" w:eastAsia="Times New Roman" w:hAnsi="Arial" w:cs="Arial"/>
                <w:bCs/>
                <w:iCs/>
                <w:color w:val="0F0D29" w:themeColor="text1"/>
                <w:kern w:val="36"/>
                <w:sz w:val="20"/>
                <w:szCs w:val="20"/>
                <w:u w:val="none"/>
                <w:lang w:eastAsia="cs-CZ"/>
              </w:rPr>
              <w:t>ho</w:t>
            </w:r>
            <w:r w:rsidRPr="00E04295">
              <w:rPr>
                <w:rStyle w:val="Hypertextovodkaz"/>
                <w:rFonts w:ascii="Arial" w:eastAsia="Times New Roman" w:hAnsi="Arial" w:cs="Arial"/>
                <w:bCs/>
                <w:iCs/>
                <w:color w:val="0F0D29" w:themeColor="text1"/>
                <w:kern w:val="36"/>
                <w:sz w:val="20"/>
                <w:szCs w:val="20"/>
                <w:u w:val="none"/>
                <w:lang w:eastAsia="cs-CZ"/>
              </w:rPr>
              <w:t xml:space="preserve"> soud</w:t>
            </w:r>
            <w:r>
              <w:rPr>
                <w:rStyle w:val="Hypertextovodkaz"/>
                <w:rFonts w:ascii="Arial" w:eastAsia="Times New Roman" w:hAnsi="Arial" w:cs="Arial"/>
                <w:bCs/>
                <w:iCs/>
                <w:color w:val="0F0D29" w:themeColor="text1"/>
                <w:kern w:val="36"/>
                <w:sz w:val="20"/>
                <w:szCs w:val="20"/>
                <w:u w:val="none"/>
                <w:lang w:eastAsia="cs-CZ"/>
              </w:rPr>
              <w:t xml:space="preserve">u, </w:t>
            </w:r>
            <w:proofErr w:type="spellStart"/>
            <w:r w:rsidRPr="00E04295">
              <w:rPr>
                <w:rStyle w:val="Hypertextovodkaz"/>
                <w:rFonts w:ascii="Arial" w:eastAsia="Times New Roman" w:hAnsi="Arial" w:cs="Arial"/>
                <w:bCs/>
                <w:iCs/>
                <w:color w:val="0F0D29" w:themeColor="text1"/>
                <w:kern w:val="36"/>
                <w:sz w:val="20"/>
                <w:szCs w:val="20"/>
                <w:u w:val="none"/>
                <w:lang w:eastAsia="cs-CZ"/>
              </w:rPr>
              <w:t>sp</w:t>
            </w:r>
            <w:proofErr w:type="spellEnd"/>
            <w:r w:rsidRPr="00E04295">
              <w:rPr>
                <w:rStyle w:val="Hypertextovodkaz"/>
                <w:rFonts w:ascii="Arial" w:eastAsia="Times New Roman" w:hAnsi="Arial" w:cs="Arial"/>
                <w:bCs/>
                <w:iCs/>
                <w:color w:val="0F0D29" w:themeColor="text1"/>
                <w:kern w:val="36"/>
                <w:sz w:val="20"/>
                <w:szCs w:val="20"/>
                <w:u w:val="none"/>
                <w:lang w:eastAsia="cs-CZ"/>
              </w:rPr>
              <w:t xml:space="preserve">. zn. 21 </w:t>
            </w:r>
            <w:proofErr w:type="spellStart"/>
            <w:r w:rsidRPr="00E04295">
              <w:rPr>
                <w:rStyle w:val="Hypertextovodkaz"/>
                <w:rFonts w:ascii="Arial" w:eastAsia="Times New Roman" w:hAnsi="Arial" w:cs="Arial"/>
                <w:bCs/>
                <w:iCs/>
                <w:color w:val="0F0D29" w:themeColor="text1"/>
                <w:kern w:val="36"/>
                <w:sz w:val="20"/>
                <w:szCs w:val="20"/>
                <w:u w:val="none"/>
                <w:lang w:eastAsia="cs-CZ"/>
              </w:rPr>
              <w:t>Cdo</w:t>
            </w:r>
            <w:proofErr w:type="spellEnd"/>
            <w:r w:rsidRPr="00E04295">
              <w:rPr>
                <w:rStyle w:val="Hypertextovodkaz"/>
                <w:rFonts w:ascii="Arial" w:eastAsia="Times New Roman" w:hAnsi="Arial" w:cs="Arial"/>
                <w:bCs/>
                <w:iCs/>
                <w:color w:val="0F0D29" w:themeColor="text1"/>
                <w:kern w:val="36"/>
                <w:sz w:val="20"/>
                <w:szCs w:val="20"/>
                <w:u w:val="none"/>
                <w:lang w:eastAsia="cs-CZ"/>
              </w:rPr>
              <w:t xml:space="preserve"> 1701/2022</w:t>
            </w:r>
          </w:p>
          <w:p w14:paraId="5EFEA02F" w14:textId="6954267B" w:rsidR="00E04295" w:rsidRDefault="00E04295" w:rsidP="00E04295">
            <w:pPr>
              <w:pStyle w:val="Bezmezer"/>
              <w:spacing w:line="276" w:lineRule="auto"/>
              <w:jc w:val="right"/>
              <w:rPr>
                <w:rStyle w:val="Hypertextovodkaz"/>
                <w:rFonts w:ascii="Arial" w:eastAsia="Times New Roman" w:hAnsi="Arial" w:cs="Arial"/>
                <w:bCs/>
                <w:iCs/>
                <w:color w:val="0F0D29" w:themeColor="text1"/>
                <w:kern w:val="36"/>
                <w:sz w:val="20"/>
                <w:szCs w:val="20"/>
                <w:u w:val="none"/>
                <w:lang w:eastAsia="cs-CZ"/>
              </w:rPr>
            </w:pPr>
          </w:p>
          <w:p w14:paraId="1458C628" w14:textId="77777777" w:rsid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p>
          <w:p w14:paraId="77B1C10A" w14:textId="28BF6AA7" w:rsid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r w:rsidRPr="00E04295">
              <w:rPr>
                <w:rStyle w:val="Hypertextovodkaz"/>
                <w:rFonts w:ascii="Arial" w:eastAsia="Times New Roman" w:hAnsi="Arial" w:cs="Arial"/>
                <w:bCs/>
                <w:iCs/>
                <w:color w:val="0F0D29" w:themeColor="text1"/>
                <w:kern w:val="36"/>
                <w:sz w:val="20"/>
                <w:szCs w:val="20"/>
                <w:u w:val="none"/>
                <w:lang w:eastAsia="cs-CZ"/>
              </w:rPr>
              <w:t>Nejvyšší soud se zabýval otázkou, za jakých podmínek může zaměstnavatel rozvázat pracovní poměr výpovědí p</w:t>
            </w:r>
            <w:r>
              <w:rPr>
                <w:rStyle w:val="Hypertextovodkaz"/>
                <w:rFonts w:ascii="Arial" w:eastAsia="Times New Roman" w:hAnsi="Arial" w:cs="Arial"/>
                <w:bCs/>
                <w:iCs/>
                <w:color w:val="0F0D29" w:themeColor="text1"/>
                <w:kern w:val="36"/>
                <w:sz w:val="20"/>
                <w:szCs w:val="20"/>
                <w:u w:val="none"/>
                <w:lang w:eastAsia="cs-CZ"/>
              </w:rPr>
              <w:t>ro nadbytečnost p</w:t>
            </w:r>
            <w:r w:rsidRPr="00E04295">
              <w:rPr>
                <w:rStyle w:val="Hypertextovodkaz"/>
                <w:rFonts w:ascii="Arial" w:eastAsia="Times New Roman" w:hAnsi="Arial" w:cs="Arial"/>
                <w:bCs/>
                <w:iCs/>
                <w:color w:val="0F0D29" w:themeColor="text1"/>
                <w:kern w:val="36"/>
                <w:sz w:val="20"/>
                <w:szCs w:val="20"/>
                <w:u w:val="none"/>
                <w:lang w:eastAsia="cs-CZ"/>
              </w:rPr>
              <w:t>odle § 52 písm. c) zákona č. 262/2006 Sb</w:t>
            </w:r>
            <w:r>
              <w:rPr>
                <w:rStyle w:val="Hypertextovodkaz"/>
                <w:rFonts w:ascii="Arial" w:eastAsia="Times New Roman" w:hAnsi="Arial" w:cs="Arial"/>
                <w:bCs/>
                <w:iCs/>
                <w:color w:val="0F0D29" w:themeColor="text1"/>
                <w:kern w:val="36"/>
                <w:sz w:val="20"/>
                <w:szCs w:val="20"/>
                <w:u w:val="none"/>
                <w:lang w:eastAsia="cs-CZ"/>
              </w:rPr>
              <w:t xml:space="preserve">. </w:t>
            </w:r>
            <w:r w:rsidRPr="00E04295">
              <w:rPr>
                <w:rStyle w:val="Hypertextovodkaz"/>
                <w:rFonts w:ascii="Arial" w:eastAsia="Times New Roman" w:hAnsi="Arial" w:cs="Arial"/>
                <w:bCs/>
                <w:iCs/>
                <w:color w:val="0F0D29" w:themeColor="text1"/>
                <w:kern w:val="36"/>
                <w:sz w:val="20"/>
                <w:szCs w:val="20"/>
                <w:u w:val="none"/>
                <w:lang w:eastAsia="cs-CZ"/>
              </w:rPr>
              <w:t>se zaměstnancem, se kterým již dříve neplatně rozvázal pracovní poměr.</w:t>
            </w:r>
          </w:p>
          <w:p w14:paraId="491109AB" w14:textId="77777777" w:rsid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p>
          <w:p w14:paraId="3EF10167" w14:textId="79478D9F" w:rsidR="00E04295" w:rsidRP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r w:rsidRPr="00E04295">
              <w:rPr>
                <w:rStyle w:val="Hypertextovodkaz"/>
                <w:rFonts w:ascii="Arial" w:eastAsia="Times New Roman" w:hAnsi="Arial" w:cs="Arial"/>
                <w:bCs/>
                <w:iCs/>
                <w:color w:val="0F0D29" w:themeColor="text1"/>
                <w:kern w:val="36"/>
                <w:sz w:val="20"/>
                <w:szCs w:val="20"/>
                <w:u w:val="none"/>
                <w:lang w:eastAsia="cs-CZ"/>
              </w:rPr>
              <w:t>Nejvyšší soud se zabýval obecnými předpoklady pro výpověď podle § 52 písm. c) zákoníku práce. Těmi jsou (i) přijetí rozhodnutí zaměstnavatele o změně jeho úkolů, technického vybavení, o snížení stavu zaměstnanců za účelem zvýšení efektivnosti práce nebo o jiných organizačních změnách, (</w:t>
            </w:r>
            <w:proofErr w:type="spellStart"/>
            <w:r w:rsidRPr="00E04295">
              <w:rPr>
                <w:rStyle w:val="Hypertextovodkaz"/>
                <w:rFonts w:ascii="Arial" w:eastAsia="Times New Roman" w:hAnsi="Arial" w:cs="Arial"/>
                <w:bCs/>
                <w:iCs/>
                <w:color w:val="0F0D29" w:themeColor="text1"/>
                <w:kern w:val="36"/>
                <w:sz w:val="20"/>
                <w:szCs w:val="20"/>
                <w:u w:val="none"/>
                <w:lang w:eastAsia="cs-CZ"/>
              </w:rPr>
              <w:t>ii</w:t>
            </w:r>
            <w:proofErr w:type="spellEnd"/>
            <w:r w:rsidRPr="00E04295">
              <w:rPr>
                <w:rStyle w:val="Hypertextovodkaz"/>
                <w:rFonts w:ascii="Arial" w:eastAsia="Times New Roman" w:hAnsi="Arial" w:cs="Arial"/>
                <w:bCs/>
                <w:iCs/>
                <w:color w:val="0F0D29" w:themeColor="text1"/>
                <w:kern w:val="36"/>
                <w:sz w:val="20"/>
                <w:szCs w:val="20"/>
                <w:u w:val="none"/>
                <w:lang w:eastAsia="cs-CZ"/>
              </w:rPr>
              <w:t>) nadbytečnost zaměstnance a (</w:t>
            </w:r>
            <w:proofErr w:type="spellStart"/>
            <w:r w:rsidRPr="00E04295">
              <w:rPr>
                <w:rStyle w:val="Hypertextovodkaz"/>
                <w:rFonts w:ascii="Arial" w:eastAsia="Times New Roman" w:hAnsi="Arial" w:cs="Arial"/>
                <w:bCs/>
                <w:iCs/>
                <w:color w:val="0F0D29" w:themeColor="text1"/>
                <w:kern w:val="36"/>
                <w:sz w:val="20"/>
                <w:szCs w:val="20"/>
                <w:u w:val="none"/>
                <w:lang w:eastAsia="cs-CZ"/>
              </w:rPr>
              <w:t>iii</w:t>
            </w:r>
            <w:proofErr w:type="spellEnd"/>
            <w:r w:rsidRPr="00E04295">
              <w:rPr>
                <w:rStyle w:val="Hypertextovodkaz"/>
                <w:rFonts w:ascii="Arial" w:eastAsia="Times New Roman" w:hAnsi="Arial" w:cs="Arial"/>
                <w:bCs/>
                <w:iCs/>
                <w:color w:val="0F0D29" w:themeColor="text1"/>
                <w:kern w:val="36"/>
                <w:sz w:val="20"/>
                <w:szCs w:val="20"/>
                <w:u w:val="none"/>
                <w:lang w:eastAsia="cs-CZ"/>
              </w:rPr>
              <w:t>) příčinná souvislost mezi nadbytečností a přijatými organizačními změnami. V takovém případě ani zpravidla nedochází k tomu, že by zaměstnavatel nemohl zaměstnanci přidělovat práci, avšak pro něj jeho práce není v dalším období potřebná. Tyto podmínky musí být splněny i v případě, že byl se zaměstnancem v minulosti neplatně zrušen pracovní poměr.</w:t>
            </w:r>
          </w:p>
          <w:p w14:paraId="3ECF9C84" w14:textId="77777777" w:rsidR="00E04295" w:rsidRP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p>
          <w:p w14:paraId="3DB45476" w14:textId="77777777" w:rsidR="00E04295" w:rsidRP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r w:rsidRPr="00E04295">
              <w:rPr>
                <w:rStyle w:val="Hypertextovodkaz"/>
                <w:rFonts w:ascii="Arial" w:eastAsia="Times New Roman" w:hAnsi="Arial" w:cs="Arial"/>
                <w:bCs/>
                <w:iCs/>
                <w:color w:val="0F0D29" w:themeColor="text1"/>
                <w:kern w:val="36"/>
                <w:sz w:val="20"/>
                <w:szCs w:val="20"/>
                <w:u w:val="none"/>
                <w:lang w:eastAsia="cs-CZ"/>
              </w:rPr>
              <w:t>Nejvyšší soud odkázal na svou dřívější ustálenou judikaturu, dle které může zaměstnavatel regulovat počet a kvalifikační složení svých zaměstnanců tak, aby odpovídaly jeho potřebám. Přitom o výběru konkrétního zaměstnance, který se stal nadbytečným, rozhoduje výlučně zaměstnavatel a soud není oprávněn toto jeho rozhodnutí přezkoumávat. Nejvyšší soud uvedl. že „podmínky rozvázání pracovního poměru podle ustanovení § 52 písm. c) zák. práce, jak jsou vyloženy v ustálené soudní judikatuře, se nepochybně vztahují i na zaměstnance, se kterým byl již dříve neplatně rozvázán pracovní poměr, a tedy i na žalobce.“</w:t>
            </w:r>
          </w:p>
          <w:p w14:paraId="4A190AE8" w14:textId="77777777" w:rsidR="00E04295" w:rsidRP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p>
          <w:p w14:paraId="5C551CBE" w14:textId="6B26043E" w:rsid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r w:rsidRPr="00E04295">
              <w:rPr>
                <w:rStyle w:val="Hypertextovodkaz"/>
                <w:rFonts w:ascii="Arial" w:eastAsia="Times New Roman" w:hAnsi="Arial" w:cs="Arial"/>
                <w:bCs/>
                <w:iCs/>
                <w:color w:val="0F0D29" w:themeColor="text1"/>
                <w:kern w:val="36"/>
                <w:sz w:val="20"/>
                <w:szCs w:val="20"/>
                <w:u w:val="none"/>
                <w:lang w:eastAsia="cs-CZ"/>
              </w:rPr>
              <w:t>Dle rozhodnutí Nejvyššího soudu se tedy žalobce mohl stát pro zaměstnavatele nadbytečným, přestože na jeho místo po okamžitém zrušení pracovního poměru z roku 2012 (později určeném neplatným) byl přijat zaměstnanec K.U. Tato okolnost nevylučuje příčinnou souvislost mezi nadbytečností žalobce a později přijatými organizačními změnami.</w:t>
            </w:r>
          </w:p>
          <w:p w14:paraId="6F8371E2" w14:textId="77777777" w:rsidR="00E04295" w:rsidRDefault="00E04295" w:rsidP="00E0429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 xml:space="preserve">. </w:t>
            </w:r>
          </w:p>
          <w:p w14:paraId="2C7DC1E0" w14:textId="77777777" w:rsidR="00E04295" w:rsidRPr="00E04295" w:rsidRDefault="00E04295" w:rsidP="00E04295">
            <w:pPr>
              <w:pStyle w:val="Bezmezer"/>
              <w:spacing w:line="360" w:lineRule="auto"/>
              <w:jc w:val="both"/>
              <w:rPr>
                <w:rStyle w:val="Hypertextovodkaz"/>
                <w:rFonts w:ascii="Arial" w:eastAsia="Times New Roman" w:hAnsi="Arial" w:cs="Arial"/>
                <w:bCs/>
                <w:iCs/>
                <w:color w:val="0F0D29" w:themeColor="text1"/>
                <w:kern w:val="36"/>
                <w:sz w:val="20"/>
                <w:szCs w:val="20"/>
                <w:u w:val="none"/>
                <w:lang w:eastAsia="cs-CZ"/>
              </w:rPr>
            </w:pPr>
          </w:p>
          <w:p w14:paraId="5A50DFA3" w14:textId="77777777" w:rsidR="00651780" w:rsidRDefault="00651780" w:rsidP="00651780">
            <w:pPr>
              <w:pStyle w:val="Bezmezer"/>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1EB6ECD" w14:textId="5572B309" w:rsidR="00B60730" w:rsidRPr="005078C0" w:rsidRDefault="00EE35D0" w:rsidP="00B6073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Style w:val="Hypertextovodkaz"/>
                <w:rFonts w:ascii="Arial" w:eastAsia="Times New Roman" w:hAnsi="Arial" w:cs="Arial"/>
                <w:bCs/>
                <w:color w:val="0F0D29" w:themeColor="text1"/>
                <w:kern w:val="36"/>
                <w:sz w:val="20"/>
                <w:szCs w:val="20"/>
                <w:u w:val="none"/>
                <w:lang w:eastAsia="cs-CZ"/>
              </w:rPr>
              <w:t xml:space="preserve"> </w:t>
            </w:r>
            <w:r w:rsidR="00B60730">
              <w:rPr>
                <w:rFonts w:ascii="Arial" w:hAnsi="Arial" w:cs="Arial"/>
                <w:b/>
                <w:color w:val="FFFFFF" w:themeColor="background1"/>
                <w:sz w:val="28"/>
                <w:szCs w:val="20"/>
              </w:rPr>
              <w:t xml:space="preserve"> Legislativní plán</w:t>
            </w:r>
          </w:p>
          <w:p w14:paraId="6DC0ADE3" w14:textId="77777777" w:rsidR="00B83E90" w:rsidRDefault="00B83E90" w:rsidP="004571BE">
            <w:pPr>
              <w:spacing w:line="360" w:lineRule="auto"/>
              <w:jc w:val="both"/>
              <w:rPr>
                <w:rFonts w:ascii="Arial" w:eastAsia="Times New Roman" w:hAnsi="Arial" w:cs="Arial"/>
                <w:bCs/>
                <w:i/>
                <w:color w:val="0F0D29" w:themeColor="text1"/>
                <w:kern w:val="36"/>
                <w:sz w:val="20"/>
                <w:szCs w:val="20"/>
                <w:lang w:eastAsia="cs-CZ"/>
              </w:rPr>
            </w:pPr>
          </w:p>
          <w:p w14:paraId="6579995D" w14:textId="25C0C350" w:rsidR="00902DCC" w:rsidRPr="00902DCC" w:rsidRDefault="00902DCC" w:rsidP="00902DCC">
            <w:pPr>
              <w:tabs>
                <w:tab w:val="left" w:pos="3696"/>
              </w:tabs>
              <w:rPr>
                <w:rFonts w:ascii="Arial" w:eastAsia="Times New Roman" w:hAnsi="Arial" w:cs="Arial"/>
                <w:sz w:val="20"/>
                <w:szCs w:val="20"/>
                <w:lang w:eastAsia="cs-CZ"/>
              </w:rPr>
            </w:pPr>
          </w:p>
          <w:tbl>
            <w:tblPr>
              <w:tblW w:w="9520" w:type="dxa"/>
              <w:tblCellMar>
                <w:left w:w="70" w:type="dxa"/>
                <w:right w:w="70" w:type="dxa"/>
              </w:tblCellMar>
              <w:tblLook w:val="04A0" w:firstRow="1" w:lastRow="0" w:firstColumn="1" w:lastColumn="0" w:noHBand="0" w:noVBand="1"/>
            </w:tblPr>
            <w:tblGrid>
              <w:gridCol w:w="2880"/>
              <w:gridCol w:w="960"/>
              <w:gridCol w:w="4660"/>
              <w:gridCol w:w="1020"/>
            </w:tblGrid>
            <w:tr w:rsidR="00902DCC" w:rsidRPr="00902DCC" w14:paraId="18D09394" w14:textId="77777777" w:rsidTr="00902DCC">
              <w:trPr>
                <w:trHeight w:val="288"/>
              </w:trPr>
              <w:tc>
                <w:tcPr>
                  <w:tcW w:w="2880" w:type="dxa"/>
                  <w:vMerge w:val="restart"/>
                  <w:tcBorders>
                    <w:top w:val="single" w:sz="4" w:space="0" w:color="auto"/>
                    <w:left w:val="single" w:sz="4" w:space="0" w:color="auto"/>
                    <w:bottom w:val="single" w:sz="8" w:space="0" w:color="000000"/>
                    <w:right w:val="single" w:sz="8" w:space="0" w:color="auto"/>
                  </w:tcBorders>
                  <w:shd w:val="clear" w:color="000000" w:fill="E0E0E0"/>
                  <w:vAlign w:val="center"/>
                  <w:hideMark/>
                </w:tcPr>
                <w:p w14:paraId="04FD7F5F"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auto"/>
                      <w:sz w:val="16"/>
                      <w:szCs w:val="16"/>
                      <w:lang w:eastAsia="cs-CZ"/>
                    </w:rPr>
                    <w:t>Název legislativního úkolu</w:t>
                  </w:r>
                </w:p>
              </w:tc>
              <w:tc>
                <w:tcPr>
                  <w:tcW w:w="960" w:type="dxa"/>
                  <w:vMerge w:val="restart"/>
                  <w:tcBorders>
                    <w:top w:val="single" w:sz="4" w:space="0" w:color="auto"/>
                    <w:left w:val="single" w:sz="8" w:space="0" w:color="auto"/>
                    <w:bottom w:val="single" w:sz="8" w:space="0" w:color="000000"/>
                    <w:right w:val="single" w:sz="8" w:space="0" w:color="auto"/>
                  </w:tcBorders>
                  <w:shd w:val="clear" w:color="000000" w:fill="E0E0E0"/>
                  <w:vAlign w:val="center"/>
                  <w:hideMark/>
                </w:tcPr>
                <w:p w14:paraId="0C0C1949"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auto"/>
                      <w:sz w:val="16"/>
                      <w:szCs w:val="16"/>
                      <w:lang w:eastAsia="cs-CZ"/>
                    </w:rPr>
                    <w:t>Stanovený termín předložení vládě</w:t>
                  </w:r>
                </w:p>
              </w:tc>
              <w:tc>
                <w:tcPr>
                  <w:tcW w:w="4660" w:type="dxa"/>
                  <w:vMerge w:val="restart"/>
                  <w:tcBorders>
                    <w:top w:val="single" w:sz="4" w:space="0" w:color="auto"/>
                    <w:left w:val="single" w:sz="8" w:space="0" w:color="auto"/>
                    <w:bottom w:val="single" w:sz="8" w:space="0" w:color="000000"/>
                    <w:right w:val="single" w:sz="8" w:space="0" w:color="auto"/>
                  </w:tcBorders>
                  <w:shd w:val="clear" w:color="000000" w:fill="E0E0E0"/>
                  <w:vAlign w:val="center"/>
                  <w:hideMark/>
                </w:tcPr>
                <w:p w14:paraId="4732BAB8"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auto"/>
                      <w:sz w:val="16"/>
                      <w:szCs w:val="16"/>
                      <w:lang w:eastAsia="cs-CZ"/>
                    </w:rPr>
                    <w:t>Cíl návrhu právního předpisu</w:t>
                  </w:r>
                </w:p>
              </w:tc>
              <w:tc>
                <w:tcPr>
                  <w:tcW w:w="1020" w:type="dxa"/>
                  <w:tcBorders>
                    <w:top w:val="single" w:sz="4" w:space="0" w:color="auto"/>
                    <w:left w:val="nil"/>
                    <w:bottom w:val="nil"/>
                    <w:right w:val="single" w:sz="4" w:space="0" w:color="auto"/>
                  </w:tcBorders>
                  <w:shd w:val="clear" w:color="000000" w:fill="E0E0E0"/>
                  <w:vAlign w:val="center"/>
                  <w:hideMark/>
                </w:tcPr>
                <w:p w14:paraId="0031FD57"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000000"/>
                      <w:sz w:val="16"/>
                      <w:szCs w:val="16"/>
                      <w:lang w:eastAsia="cs-CZ"/>
                    </w:rPr>
                    <w:t> </w:t>
                  </w:r>
                </w:p>
              </w:tc>
            </w:tr>
            <w:tr w:rsidR="00902DCC" w:rsidRPr="00902DCC" w14:paraId="45825F67" w14:textId="77777777" w:rsidTr="00902DCC">
              <w:trPr>
                <w:trHeight w:val="288"/>
              </w:trPr>
              <w:tc>
                <w:tcPr>
                  <w:tcW w:w="2880" w:type="dxa"/>
                  <w:vMerge/>
                  <w:tcBorders>
                    <w:top w:val="single" w:sz="4" w:space="0" w:color="auto"/>
                    <w:left w:val="single" w:sz="4" w:space="0" w:color="auto"/>
                    <w:bottom w:val="single" w:sz="8" w:space="0" w:color="000000"/>
                    <w:right w:val="single" w:sz="8" w:space="0" w:color="auto"/>
                  </w:tcBorders>
                  <w:vAlign w:val="center"/>
                  <w:hideMark/>
                </w:tcPr>
                <w:p w14:paraId="14BA454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48FF57B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4660" w:type="dxa"/>
                  <w:vMerge/>
                  <w:tcBorders>
                    <w:top w:val="single" w:sz="4" w:space="0" w:color="auto"/>
                    <w:left w:val="single" w:sz="8" w:space="0" w:color="auto"/>
                    <w:bottom w:val="single" w:sz="8" w:space="0" w:color="000000"/>
                    <w:right w:val="single" w:sz="8" w:space="0" w:color="auto"/>
                  </w:tcBorders>
                  <w:vAlign w:val="center"/>
                  <w:hideMark/>
                </w:tcPr>
                <w:p w14:paraId="06D5AF22"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1020" w:type="dxa"/>
                  <w:tcBorders>
                    <w:top w:val="nil"/>
                    <w:left w:val="nil"/>
                    <w:bottom w:val="nil"/>
                    <w:right w:val="single" w:sz="4" w:space="0" w:color="auto"/>
                  </w:tcBorders>
                  <w:shd w:val="clear" w:color="000000" w:fill="E0E0E0"/>
                  <w:vAlign w:val="center"/>
                  <w:hideMark/>
                </w:tcPr>
                <w:p w14:paraId="4EAC5D41"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000000"/>
                      <w:sz w:val="16"/>
                      <w:szCs w:val="16"/>
                      <w:lang w:eastAsia="cs-CZ"/>
                    </w:rPr>
                    <w:t> </w:t>
                  </w:r>
                </w:p>
              </w:tc>
            </w:tr>
            <w:tr w:rsidR="00902DCC" w:rsidRPr="00902DCC" w14:paraId="0324C7B6" w14:textId="77777777" w:rsidTr="00902DCC">
              <w:trPr>
                <w:trHeight w:val="300"/>
              </w:trPr>
              <w:tc>
                <w:tcPr>
                  <w:tcW w:w="2880" w:type="dxa"/>
                  <w:vMerge/>
                  <w:tcBorders>
                    <w:top w:val="single" w:sz="4" w:space="0" w:color="auto"/>
                    <w:left w:val="single" w:sz="4" w:space="0" w:color="auto"/>
                    <w:bottom w:val="single" w:sz="8" w:space="0" w:color="000000"/>
                    <w:right w:val="single" w:sz="8" w:space="0" w:color="auto"/>
                  </w:tcBorders>
                  <w:vAlign w:val="center"/>
                  <w:hideMark/>
                </w:tcPr>
                <w:p w14:paraId="3592D5A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960" w:type="dxa"/>
                  <w:vMerge/>
                  <w:tcBorders>
                    <w:top w:val="single" w:sz="4" w:space="0" w:color="auto"/>
                    <w:left w:val="single" w:sz="8" w:space="0" w:color="auto"/>
                    <w:bottom w:val="single" w:sz="8" w:space="0" w:color="000000"/>
                    <w:right w:val="single" w:sz="8" w:space="0" w:color="auto"/>
                  </w:tcBorders>
                  <w:vAlign w:val="center"/>
                  <w:hideMark/>
                </w:tcPr>
                <w:p w14:paraId="5D1A217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4660" w:type="dxa"/>
                  <w:vMerge/>
                  <w:tcBorders>
                    <w:top w:val="single" w:sz="4" w:space="0" w:color="auto"/>
                    <w:left w:val="single" w:sz="8" w:space="0" w:color="auto"/>
                    <w:bottom w:val="single" w:sz="8" w:space="0" w:color="000000"/>
                    <w:right w:val="single" w:sz="8" w:space="0" w:color="auto"/>
                  </w:tcBorders>
                  <w:vAlign w:val="center"/>
                  <w:hideMark/>
                </w:tcPr>
                <w:p w14:paraId="4E835B0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6"/>
                      <w:szCs w:val="16"/>
                      <w:lang w:eastAsia="cs-CZ"/>
                    </w:rPr>
                  </w:pPr>
                </w:p>
              </w:tc>
              <w:tc>
                <w:tcPr>
                  <w:tcW w:w="1020" w:type="dxa"/>
                  <w:tcBorders>
                    <w:top w:val="nil"/>
                    <w:left w:val="nil"/>
                    <w:bottom w:val="single" w:sz="8" w:space="0" w:color="auto"/>
                    <w:right w:val="single" w:sz="4" w:space="0" w:color="auto"/>
                  </w:tcBorders>
                  <w:shd w:val="clear" w:color="000000" w:fill="E0E0E0"/>
                  <w:vAlign w:val="center"/>
                  <w:hideMark/>
                </w:tcPr>
                <w:p w14:paraId="2047F23D"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6"/>
                      <w:szCs w:val="16"/>
                      <w:lang w:eastAsia="cs-CZ"/>
                    </w:rPr>
                  </w:pPr>
                  <w:r w:rsidRPr="00902DCC">
                    <w:rPr>
                      <w:rFonts w:ascii="Arial" w:eastAsia="Times New Roman" w:hAnsi="Arial" w:cs="Arial"/>
                      <w:b w:val="0"/>
                      <w:color w:val="auto"/>
                      <w:sz w:val="16"/>
                      <w:szCs w:val="16"/>
                      <w:lang w:eastAsia="cs-CZ"/>
                    </w:rPr>
                    <w:t>Odpovědný útvar</w:t>
                  </w:r>
                </w:p>
              </w:tc>
            </w:tr>
            <w:tr w:rsidR="00902DCC" w:rsidRPr="00902DCC" w14:paraId="6B2D14C3" w14:textId="77777777" w:rsidTr="00902DCC">
              <w:trPr>
                <w:trHeight w:val="288"/>
              </w:trPr>
              <w:tc>
                <w:tcPr>
                  <w:tcW w:w="2880" w:type="dxa"/>
                  <w:vMerge w:val="restart"/>
                  <w:tcBorders>
                    <w:top w:val="nil"/>
                    <w:left w:val="single" w:sz="4" w:space="0" w:color="auto"/>
                    <w:bottom w:val="single" w:sz="8" w:space="0" w:color="000000"/>
                    <w:right w:val="single" w:sz="8" w:space="0" w:color="auto"/>
                  </w:tcBorders>
                  <w:shd w:val="clear" w:color="auto" w:fill="auto"/>
                  <w:vAlign w:val="center"/>
                  <w:hideMark/>
                </w:tcPr>
                <w:p w14:paraId="350E316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o posuzování bezpečnostní spolehlivosti dodavatelů informačních a komunikačních technologií do strategicky významné infrastruktury České republiky</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8A6DFF"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V.23</w:t>
                  </w:r>
                </w:p>
              </w:tc>
              <w:tc>
                <w:tcPr>
                  <w:tcW w:w="4660" w:type="dxa"/>
                  <w:vMerge w:val="restart"/>
                  <w:tcBorders>
                    <w:top w:val="nil"/>
                    <w:left w:val="single" w:sz="8" w:space="0" w:color="auto"/>
                    <w:bottom w:val="single" w:sz="8" w:space="0" w:color="000000"/>
                    <w:right w:val="single" w:sz="8" w:space="0" w:color="auto"/>
                  </w:tcBorders>
                  <w:shd w:val="clear" w:color="auto" w:fill="auto"/>
                  <w:vAlign w:val="center"/>
                  <w:hideMark/>
                </w:tcPr>
                <w:p w14:paraId="65AAD33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Hlavním cílem návrhu zákona je omezit závislost strategicky významné infrastruktury České republiky na dodavatelích představujících strategickou hrozbu v oblasti kybernetické bezpečnosti a přispět tak k zajištění dlouhodobě udržitelné bezpečnosti a odolnosti této infrastruktury.</w:t>
                  </w:r>
                </w:p>
              </w:tc>
              <w:tc>
                <w:tcPr>
                  <w:tcW w:w="1020" w:type="dxa"/>
                  <w:tcBorders>
                    <w:top w:val="nil"/>
                    <w:left w:val="nil"/>
                    <w:bottom w:val="nil"/>
                    <w:right w:val="single" w:sz="4" w:space="0" w:color="auto"/>
                  </w:tcBorders>
                  <w:shd w:val="clear" w:color="auto" w:fill="auto"/>
                  <w:vAlign w:val="center"/>
                  <w:hideMark/>
                </w:tcPr>
                <w:p w14:paraId="657596F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r>
            <w:tr w:rsidR="00902DCC" w:rsidRPr="00902DCC" w14:paraId="76A448C9"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3B825BE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130D59E8"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023EE5B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nil"/>
                    <w:right w:val="single" w:sz="4" w:space="0" w:color="auto"/>
                  </w:tcBorders>
                  <w:shd w:val="clear" w:color="auto" w:fill="auto"/>
                  <w:vAlign w:val="center"/>
                  <w:hideMark/>
                </w:tcPr>
                <w:p w14:paraId="41FF351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r>
            <w:tr w:rsidR="00902DCC" w:rsidRPr="00902DCC" w14:paraId="738D0CFE"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178935E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05E62542"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693000E2"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nil"/>
                    <w:right w:val="single" w:sz="4" w:space="0" w:color="auto"/>
                  </w:tcBorders>
                  <w:shd w:val="clear" w:color="auto" w:fill="auto"/>
                  <w:vAlign w:val="center"/>
                  <w:hideMark/>
                </w:tcPr>
                <w:p w14:paraId="719EC8D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r>
            <w:tr w:rsidR="00902DCC" w:rsidRPr="00902DCC" w14:paraId="0199C1E5" w14:textId="77777777" w:rsidTr="00902DCC">
              <w:trPr>
                <w:trHeight w:val="468"/>
              </w:trPr>
              <w:tc>
                <w:tcPr>
                  <w:tcW w:w="2880" w:type="dxa"/>
                  <w:vMerge/>
                  <w:tcBorders>
                    <w:top w:val="nil"/>
                    <w:left w:val="single" w:sz="4" w:space="0" w:color="auto"/>
                    <w:bottom w:val="single" w:sz="8" w:space="0" w:color="000000"/>
                    <w:right w:val="single" w:sz="8" w:space="0" w:color="auto"/>
                  </w:tcBorders>
                  <w:vAlign w:val="center"/>
                  <w:hideMark/>
                </w:tcPr>
                <w:p w14:paraId="0538616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5EFCE93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278B72B8"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single" w:sz="8" w:space="0" w:color="auto"/>
                    <w:right w:val="single" w:sz="4" w:space="0" w:color="auto"/>
                  </w:tcBorders>
                  <w:shd w:val="clear" w:color="auto" w:fill="auto"/>
                  <w:vAlign w:val="center"/>
                  <w:hideMark/>
                </w:tcPr>
                <w:p w14:paraId="2BBCB5D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Manažer KB + OPS</w:t>
                  </w:r>
                </w:p>
              </w:tc>
            </w:tr>
            <w:tr w:rsidR="00902DCC" w:rsidRPr="00902DCC" w14:paraId="62E3E189" w14:textId="77777777" w:rsidTr="00902DCC">
              <w:trPr>
                <w:trHeight w:val="1152"/>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2B0232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nařízení vlády o Katalogu oblastí utajovaných informací</w:t>
                  </w:r>
                </w:p>
              </w:tc>
              <w:tc>
                <w:tcPr>
                  <w:tcW w:w="960" w:type="dxa"/>
                  <w:tcBorders>
                    <w:top w:val="nil"/>
                    <w:left w:val="nil"/>
                    <w:bottom w:val="single" w:sz="8" w:space="0" w:color="auto"/>
                    <w:right w:val="single" w:sz="8" w:space="0" w:color="auto"/>
                  </w:tcBorders>
                  <w:shd w:val="clear" w:color="auto" w:fill="auto"/>
                  <w:noWrap/>
                  <w:vAlign w:val="center"/>
                  <w:hideMark/>
                </w:tcPr>
                <w:p w14:paraId="3A41EC35"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XI.23</w:t>
                  </w:r>
                </w:p>
              </w:tc>
              <w:tc>
                <w:tcPr>
                  <w:tcW w:w="4660" w:type="dxa"/>
                  <w:tcBorders>
                    <w:top w:val="nil"/>
                    <w:left w:val="nil"/>
                    <w:bottom w:val="single" w:sz="8" w:space="0" w:color="auto"/>
                    <w:right w:val="single" w:sz="8" w:space="0" w:color="auto"/>
                  </w:tcBorders>
                  <w:shd w:val="clear" w:color="auto" w:fill="auto"/>
                  <w:vAlign w:val="center"/>
                  <w:hideMark/>
                </w:tcPr>
                <w:p w14:paraId="0E0F8C7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návrhu je vydat nařízení vlády, které bude v souladu s novou koncepcí, kterou by měla přinést novela zákona č. 412/2005 Sb., přičemž musí dojít ke změně i samotného názvu nařízení vlády (katalog oblastí utajovaných informací).</w:t>
                  </w:r>
                </w:p>
              </w:tc>
              <w:tc>
                <w:tcPr>
                  <w:tcW w:w="1020" w:type="dxa"/>
                  <w:tcBorders>
                    <w:top w:val="nil"/>
                    <w:left w:val="nil"/>
                    <w:bottom w:val="single" w:sz="8" w:space="0" w:color="auto"/>
                    <w:right w:val="single" w:sz="4" w:space="0" w:color="auto"/>
                  </w:tcBorders>
                  <w:shd w:val="clear" w:color="auto" w:fill="auto"/>
                  <w:vAlign w:val="center"/>
                  <w:hideMark/>
                </w:tcPr>
                <w:p w14:paraId="058BE52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OBIA</w:t>
                  </w:r>
                </w:p>
              </w:tc>
            </w:tr>
            <w:tr w:rsidR="00902DCC" w:rsidRPr="00902DCC" w14:paraId="0A6F670A" w14:textId="77777777" w:rsidTr="00902DCC">
              <w:trPr>
                <w:trHeight w:val="288"/>
              </w:trPr>
              <w:tc>
                <w:tcPr>
                  <w:tcW w:w="2880" w:type="dxa"/>
                  <w:vMerge w:val="restart"/>
                  <w:tcBorders>
                    <w:top w:val="nil"/>
                    <w:left w:val="single" w:sz="4" w:space="0" w:color="auto"/>
                    <w:bottom w:val="single" w:sz="8" w:space="0" w:color="000000"/>
                    <w:right w:val="single" w:sz="8" w:space="0" w:color="auto"/>
                  </w:tcBorders>
                  <w:shd w:val="clear" w:color="auto" w:fill="auto"/>
                  <w:vAlign w:val="center"/>
                  <w:hideMark/>
                </w:tcPr>
                <w:p w14:paraId="5B503E1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181/2014 Sb., o kybernetické bezpečnosti a o změně souvisejících zákonů (zákon o kybernetické bezpečnosti), ve znění pozdějších předpisů</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6A6207"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3F7B6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xml:space="preserve">Cílem návrhu zákona je komplexní novelizace zákona o kybernetické bezpečnosti a jeho prováděcích právních předpisů, která je nezbytná zejména z důvodu přijetí směrnice Evropského parlamentu a Rady o opatřeních k zajištění vysoké společenské úrovně kybernetické bezpečnosti v Unii a o zrušení směrnice (EU) 2016/1148, jež je plánováno na konec roku 2022, a která přináší významné změny v oblasti regulace kybernetické bezpečnosti. Stávající znění zákona o </w:t>
                  </w:r>
                  <w:r w:rsidRPr="00902DCC">
                    <w:rPr>
                      <w:rFonts w:ascii="Arial" w:eastAsia="Times New Roman" w:hAnsi="Arial" w:cs="Arial"/>
                      <w:b w:val="0"/>
                      <w:color w:val="000000"/>
                      <w:sz w:val="18"/>
                      <w:szCs w:val="18"/>
                      <w:lang w:eastAsia="cs-CZ"/>
                    </w:rPr>
                    <w:lastRenderedPageBreak/>
                    <w:t>kybernetické bezpečnosti a jeho prováděcí právní předpisy se s účinností této nové směrnice stanou zastaralými, nevyhovujícími a svým obsahem nesplňujícími stanovené požadavky.</w:t>
                  </w:r>
                </w:p>
              </w:tc>
              <w:tc>
                <w:tcPr>
                  <w:tcW w:w="1020" w:type="dxa"/>
                  <w:tcBorders>
                    <w:top w:val="nil"/>
                    <w:left w:val="nil"/>
                    <w:bottom w:val="nil"/>
                    <w:right w:val="single" w:sz="4" w:space="0" w:color="auto"/>
                  </w:tcBorders>
                  <w:shd w:val="clear" w:color="auto" w:fill="auto"/>
                  <w:vAlign w:val="center"/>
                  <w:hideMark/>
                </w:tcPr>
                <w:p w14:paraId="2A6F49D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lastRenderedPageBreak/>
                    <w:t> </w:t>
                  </w:r>
                </w:p>
              </w:tc>
            </w:tr>
            <w:tr w:rsidR="00902DCC" w:rsidRPr="00902DCC" w14:paraId="1AFFC86A"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6ED0A021"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549C065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00AC87F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nil"/>
                    <w:right w:val="single" w:sz="4" w:space="0" w:color="auto"/>
                  </w:tcBorders>
                  <w:shd w:val="clear" w:color="auto" w:fill="auto"/>
                  <w:vAlign w:val="center"/>
                  <w:hideMark/>
                </w:tcPr>
                <w:p w14:paraId="75E9877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r>
            <w:tr w:rsidR="00902DCC" w:rsidRPr="00902DCC" w14:paraId="5AB3AC2C"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61B84F3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76C3E079"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5387669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nil"/>
                    <w:right w:val="single" w:sz="4" w:space="0" w:color="auto"/>
                  </w:tcBorders>
                  <w:shd w:val="clear" w:color="auto" w:fill="auto"/>
                  <w:vAlign w:val="center"/>
                  <w:hideMark/>
                </w:tcPr>
                <w:p w14:paraId="0C77603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r>
            <w:tr w:rsidR="00902DCC" w:rsidRPr="00902DCC" w14:paraId="3F44AE39" w14:textId="77777777" w:rsidTr="00902DCC">
              <w:trPr>
                <w:trHeight w:val="468"/>
              </w:trPr>
              <w:tc>
                <w:tcPr>
                  <w:tcW w:w="2880" w:type="dxa"/>
                  <w:vMerge/>
                  <w:tcBorders>
                    <w:top w:val="nil"/>
                    <w:left w:val="single" w:sz="4" w:space="0" w:color="auto"/>
                    <w:bottom w:val="single" w:sz="8" w:space="0" w:color="000000"/>
                    <w:right w:val="single" w:sz="8" w:space="0" w:color="auto"/>
                  </w:tcBorders>
                  <w:vAlign w:val="center"/>
                  <w:hideMark/>
                </w:tcPr>
                <w:p w14:paraId="39E0EDA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050AC99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vMerge/>
                  <w:tcBorders>
                    <w:top w:val="nil"/>
                    <w:left w:val="single" w:sz="8" w:space="0" w:color="auto"/>
                    <w:bottom w:val="single" w:sz="8" w:space="0" w:color="000000"/>
                    <w:right w:val="single" w:sz="8" w:space="0" w:color="auto"/>
                  </w:tcBorders>
                  <w:vAlign w:val="center"/>
                  <w:hideMark/>
                </w:tcPr>
                <w:p w14:paraId="09E43AC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1020" w:type="dxa"/>
                  <w:tcBorders>
                    <w:top w:val="nil"/>
                    <w:left w:val="nil"/>
                    <w:bottom w:val="single" w:sz="8" w:space="0" w:color="auto"/>
                    <w:right w:val="single" w:sz="4" w:space="0" w:color="auto"/>
                  </w:tcBorders>
                  <w:shd w:val="clear" w:color="auto" w:fill="auto"/>
                  <w:vAlign w:val="center"/>
                  <w:hideMark/>
                </w:tcPr>
                <w:p w14:paraId="13AF1852"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Manažer KB + OPS</w:t>
                  </w:r>
                </w:p>
              </w:tc>
            </w:tr>
            <w:tr w:rsidR="00902DCC" w:rsidRPr="00902DCC" w14:paraId="47C123C1" w14:textId="77777777" w:rsidTr="00902DCC">
              <w:trPr>
                <w:trHeight w:val="2508"/>
              </w:trPr>
              <w:tc>
                <w:tcPr>
                  <w:tcW w:w="2880" w:type="dxa"/>
                  <w:vMerge w:val="restart"/>
                  <w:tcBorders>
                    <w:top w:val="nil"/>
                    <w:left w:val="single" w:sz="4" w:space="0" w:color="auto"/>
                    <w:bottom w:val="single" w:sz="8" w:space="0" w:color="000000"/>
                    <w:right w:val="single" w:sz="8" w:space="0" w:color="auto"/>
                  </w:tcBorders>
                  <w:shd w:val="clear" w:color="auto" w:fill="auto"/>
                  <w:vAlign w:val="center"/>
                  <w:hideMark/>
                </w:tcPr>
                <w:p w14:paraId="48DC8F88"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117/2001 Sb., o veřejných sbírkách a o změně některých zákonů (zákon o veřejných sbírkách), ve znění pozdějších předpisů</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7B318B"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X.23</w:t>
                  </w:r>
                </w:p>
              </w:tc>
              <w:tc>
                <w:tcPr>
                  <w:tcW w:w="4660" w:type="dxa"/>
                  <w:tcBorders>
                    <w:top w:val="nil"/>
                    <w:left w:val="nil"/>
                    <w:bottom w:val="nil"/>
                    <w:right w:val="single" w:sz="8" w:space="0" w:color="auto"/>
                  </w:tcBorders>
                  <w:shd w:val="clear" w:color="auto" w:fill="auto"/>
                  <w:vAlign w:val="center"/>
                  <w:hideMark/>
                </w:tcPr>
                <w:p w14:paraId="212872DF"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xml:space="preserve">Cílem návrhu zákona je úprava některých hmotně právních a procesních institutů zákona o veřejných sbírkách tak, aby právní úprava lépe odpovídala aktuální společenské situaci a aktuálním trendům v oblasti tzv. </w:t>
                  </w:r>
                  <w:proofErr w:type="spellStart"/>
                  <w:r w:rsidRPr="00902DCC">
                    <w:rPr>
                      <w:rFonts w:ascii="Arial" w:eastAsia="Times New Roman" w:hAnsi="Arial" w:cs="Arial"/>
                      <w:b w:val="0"/>
                      <w:color w:val="000000"/>
                      <w:sz w:val="18"/>
                      <w:szCs w:val="18"/>
                      <w:lang w:eastAsia="cs-CZ"/>
                    </w:rPr>
                    <w:t>fundrasingu</w:t>
                  </w:r>
                  <w:proofErr w:type="spellEnd"/>
                  <w:r w:rsidRPr="00902DCC">
                    <w:rPr>
                      <w:rFonts w:ascii="Arial" w:eastAsia="Times New Roman" w:hAnsi="Arial" w:cs="Arial"/>
                      <w:b w:val="0"/>
                      <w:color w:val="000000"/>
                      <w:sz w:val="18"/>
                      <w:szCs w:val="18"/>
                      <w:lang w:eastAsia="cs-CZ"/>
                    </w:rPr>
                    <w:t xml:space="preserve">. Návrh právní úpravy reaguje na poznatky z činnosti Ministerstva vnitra a krajských úřadů (potažmo Magistrátu hl. m. Prahy), které vykonávají působnost na tomto úseku státní správy, a zohledňuje rovněž aktuální poznatky odborné veřejnosti (tj. zejména nestátního neziskového sektoru) v této oblasti. </w:t>
                  </w:r>
                </w:p>
              </w:tc>
              <w:tc>
                <w:tcPr>
                  <w:tcW w:w="1020" w:type="dxa"/>
                  <w:vMerge w:val="restart"/>
                  <w:tcBorders>
                    <w:top w:val="nil"/>
                    <w:left w:val="single" w:sz="8" w:space="0" w:color="auto"/>
                    <w:bottom w:val="single" w:sz="8" w:space="0" w:color="000000"/>
                    <w:right w:val="single" w:sz="4" w:space="0" w:color="auto"/>
                  </w:tcBorders>
                  <w:shd w:val="clear" w:color="auto" w:fill="auto"/>
                  <w:vAlign w:val="center"/>
                  <w:hideMark/>
                </w:tcPr>
                <w:p w14:paraId="27CB9288"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OPS</w:t>
                  </w:r>
                </w:p>
              </w:tc>
            </w:tr>
            <w:tr w:rsidR="00902DCC" w:rsidRPr="00902DCC" w14:paraId="5F668126"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57856D5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34C1893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7FB9C331"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návrhu zákona je zejména:</w:t>
                  </w:r>
                </w:p>
              </w:tc>
              <w:tc>
                <w:tcPr>
                  <w:tcW w:w="1020" w:type="dxa"/>
                  <w:vMerge/>
                  <w:tcBorders>
                    <w:top w:val="nil"/>
                    <w:left w:val="single" w:sz="8" w:space="0" w:color="auto"/>
                    <w:bottom w:val="single" w:sz="8" w:space="0" w:color="000000"/>
                    <w:right w:val="single" w:sz="4" w:space="0" w:color="auto"/>
                  </w:tcBorders>
                  <w:vAlign w:val="center"/>
                  <w:hideMark/>
                </w:tcPr>
                <w:p w14:paraId="14822231"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61A97ED2" w14:textId="77777777" w:rsidTr="00902DCC">
              <w:trPr>
                <w:trHeight w:val="1140"/>
              </w:trPr>
              <w:tc>
                <w:tcPr>
                  <w:tcW w:w="2880" w:type="dxa"/>
                  <w:vMerge/>
                  <w:tcBorders>
                    <w:top w:val="nil"/>
                    <w:left w:val="single" w:sz="4" w:space="0" w:color="auto"/>
                    <w:bottom w:val="single" w:sz="8" w:space="0" w:color="000000"/>
                    <w:right w:val="single" w:sz="8" w:space="0" w:color="auto"/>
                  </w:tcBorders>
                  <w:vAlign w:val="center"/>
                  <w:hideMark/>
                </w:tcPr>
                <w:p w14:paraId="7A75765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074A5BF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4AB6397E"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zefektivnit výběr finančních příspěvků prostřednictvím veřejných sbírek (formou zavedení nových způsobů výběru finančních prostředků a  úpravou podmínek některých metod sběru finančních prostředků),</w:t>
                  </w:r>
                </w:p>
              </w:tc>
              <w:tc>
                <w:tcPr>
                  <w:tcW w:w="1020" w:type="dxa"/>
                  <w:vMerge/>
                  <w:tcBorders>
                    <w:top w:val="nil"/>
                    <w:left w:val="single" w:sz="8" w:space="0" w:color="auto"/>
                    <w:bottom w:val="single" w:sz="8" w:space="0" w:color="000000"/>
                    <w:right w:val="single" w:sz="4" w:space="0" w:color="auto"/>
                  </w:tcBorders>
                  <w:vAlign w:val="center"/>
                  <w:hideMark/>
                </w:tcPr>
                <w:p w14:paraId="4BC863C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549A3D2A" w14:textId="77777777" w:rsidTr="00902DCC">
              <w:trPr>
                <w:trHeight w:val="912"/>
              </w:trPr>
              <w:tc>
                <w:tcPr>
                  <w:tcW w:w="2880" w:type="dxa"/>
                  <w:vMerge/>
                  <w:tcBorders>
                    <w:top w:val="nil"/>
                    <w:left w:val="single" w:sz="4" w:space="0" w:color="auto"/>
                    <w:bottom w:val="single" w:sz="8" w:space="0" w:color="000000"/>
                    <w:right w:val="single" w:sz="8" w:space="0" w:color="auto"/>
                  </w:tcBorders>
                  <w:vAlign w:val="center"/>
                  <w:hideMark/>
                </w:tcPr>
                <w:p w14:paraId="3E7325D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627F83F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50F78DC6"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zefektivnit výkon státní správy a zajistit přehlednější evidenci veřejných sbírek (formou nahrazení zastaralé centrální evidence veřejných sbírek nově zřízeným registrem veřejných sbírek),</w:t>
                  </w:r>
                </w:p>
              </w:tc>
              <w:tc>
                <w:tcPr>
                  <w:tcW w:w="1020" w:type="dxa"/>
                  <w:vMerge/>
                  <w:tcBorders>
                    <w:top w:val="nil"/>
                    <w:left w:val="single" w:sz="8" w:space="0" w:color="auto"/>
                    <w:bottom w:val="single" w:sz="8" w:space="0" w:color="000000"/>
                    <w:right w:val="single" w:sz="4" w:space="0" w:color="auto"/>
                  </w:tcBorders>
                  <w:vAlign w:val="center"/>
                  <w:hideMark/>
                </w:tcPr>
                <w:p w14:paraId="4406D15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1FEEDFF1" w14:textId="77777777" w:rsidTr="00902DCC">
              <w:trPr>
                <w:trHeight w:val="1152"/>
              </w:trPr>
              <w:tc>
                <w:tcPr>
                  <w:tcW w:w="2880" w:type="dxa"/>
                  <w:vMerge/>
                  <w:tcBorders>
                    <w:top w:val="nil"/>
                    <w:left w:val="single" w:sz="4" w:space="0" w:color="auto"/>
                    <w:bottom w:val="single" w:sz="8" w:space="0" w:color="000000"/>
                    <w:right w:val="single" w:sz="8" w:space="0" w:color="auto"/>
                  </w:tcBorders>
                  <w:vAlign w:val="center"/>
                  <w:hideMark/>
                </w:tcPr>
                <w:p w14:paraId="3C295B6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19A58FB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single" w:sz="8" w:space="0" w:color="auto"/>
                    <w:right w:val="single" w:sz="8" w:space="0" w:color="auto"/>
                  </w:tcBorders>
                  <w:shd w:val="clear" w:color="auto" w:fill="auto"/>
                  <w:vAlign w:val="center"/>
                  <w:hideMark/>
                </w:tcPr>
                <w:p w14:paraId="7F87F40A"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optimalizovat proces provádění následných kontrol veřejných sbírek (odstraněním nadbytečné administrativní zátěže jak pro pořadatele veřejných sbírek, tak pro správní orgány, které kontroly provádějí).</w:t>
                  </w:r>
                </w:p>
              </w:tc>
              <w:tc>
                <w:tcPr>
                  <w:tcW w:w="1020" w:type="dxa"/>
                  <w:vMerge/>
                  <w:tcBorders>
                    <w:top w:val="nil"/>
                    <w:left w:val="single" w:sz="8" w:space="0" w:color="auto"/>
                    <w:bottom w:val="single" w:sz="8" w:space="0" w:color="000000"/>
                    <w:right w:val="single" w:sz="4" w:space="0" w:color="auto"/>
                  </w:tcBorders>
                  <w:vAlign w:val="center"/>
                  <w:hideMark/>
                </w:tcPr>
                <w:p w14:paraId="1DAA0E2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131C0152" w14:textId="77777777" w:rsidTr="00902DCC">
              <w:trPr>
                <w:trHeight w:val="2520"/>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2A11E33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240/2000 Sb., o krizovém řízení a o změně některých zákonů (krizový zákon), ve znění pozdějších předpisů, a další související zákony</w:t>
                  </w:r>
                </w:p>
              </w:tc>
              <w:tc>
                <w:tcPr>
                  <w:tcW w:w="960" w:type="dxa"/>
                  <w:tcBorders>
                    <w:top w:val="nil"/>
                    <w:left w:val="nil"/>
                    <w:bottom w:val="single" w:sz="8" w:space="0" w:color="auto"/>
                    <w:right w:val="single" w:sz="8" w:space="0" w:color="auto"/>
                  </w:tcBorders>
                  <w:shd w:val="clear" w:color="auto" w:fill="auto"/>
                  <w:noWrap/>
                  <w:vAlign w:val="center"/>
                  <w:hideMark/>
                </w:tcPr>
                <w:p w14:paraId="0B4767F7"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tcBorders>
                    <w:top w:val="nil"/>
                    <w:left w:val="nil"/>
                    <w:bottom w:val="single" w:sz="8" w:space="0" w:color="auto"/>
                    <w:right w:val="single" w:sz="8" w:space="0" w:color="auto"/>
                  </w:tcBorders>
                  <w:shd w:val="clear" w:color="auto" w:fill="auto"/>
                  <w:vAlign w:val="center"/>
                  <w:hideMark/>
                </w:tcPr>
                <w:p w14:paraId="4D6C292D"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zákona je odstranit nedostatky související s nedostatečnou právní úpravou obecných krizových stavů, kdy například nedávné zkušenosti související s vyhlášením nouzového stavu z důvodu epidemie koronaviru ukázaly, že současné nastavení řešení krizových situací nemusí být zcela adekvátní. V rámci novelizace právní úpravy bude zpřesněn sankční mechanismus při porušení povinností uložených krizovými opatřeními u právnických a podnikajících fyzických osob a i samotná výše uložených sankcí.</w:t>
                  </w:r>
                </w:p>
              </w:tc>
              <w:tc>
                <w:tcPr>
                  <w:tcW w:w="1020" w:type="dxa"/>
                  <w:tcBorders>
                    <w:top w:val="nil"/>
                    <w:left w:val="nil"/>
                    <w:bottom w:val="single" w:sz="8" w:space="0" w:color="auto"/>
                    <w:right w:val="single" w:sz="4" w:space="0" w:color="auto"/>
                  </w:tcBorders>
                  <w:shd w:val="clear" w:color="auto" w:fill="auto"/>
                  <w:vAlign w:val="center"/>
                  <w:hideMark/>
                </w:tcPr>
                <w:p w14:paraId="497470E6" w14:textId="77777777" w:rsidR="00902DCC" w:rsidRPr="00902DCC" w:rsidRDefault="00902DCC" w:rsidP="009E03E7">
                  <w:pPr>
                    <w:framePr w:hSpace="141" w:wrap="around" w:vAnchor="text" w:hAnchor="text" w:y="1"/>
                    <w:spacing w:line="240" w:lineRule="auto"/>
                    <w:suppressOverlap/>
                    <w:jc w:val="both"/>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OPS</w:t>
                  </w:r>
                </w:p>
              </w:tc>
            </w:tr>
            <w:tr w:rsidR="00902DCC" w:rsidRPr="00902DCC" w14:paraId="6E8F28C0" w14:textId="77777777" w:rsidTr="00902DCC">
              <w:trPr>
                <w:trHeight w:val="924"/>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346B717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262/2006 Sb., zákoník práce,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18EDCC49"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I.23</w:t>
                  </w:r>
                </w:p>
              </w:tc>
              <w:tc>
                <w:tcPr>
                  <w:tcW w:w="4660" w:type="dxa"/>
                  <w:tcBorders>
                    <w:top w:val="nil"/>
                    <w:left w:val="nil"/>
                    <w:bottom w:val="single" w:sz="8" w:space="0" w:color="auto"/>
                    <w:right w:val="single" w:sz="8" w:space="0" w:color="auto"/>
                  </w:tcBorders>
                  <w:shd w:val="clear" w:color="auto" w:fill="auto"/>
                  <w:vAlign w:val="center"/>
                  <w:hideMark/>
                </w:tcPr>
                <w:p w14:paraId="75C2DA5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Cílem je zavedení automatického valorizačního mechanismu minimální mzdy a v návaznosti i nejnižších úrovní zaručené mzdy.</w:t>
                  </w:r>
                </w:p>
              </w:tc>
              <w:tc>
                <w:tcPr>
                  <w:tcW w:w="1020" w:type="dxa"/>
                  <w:tcBorders>
                    <w:top w:val="nil"/>
                    <w:left w:val="nil"/>
                    <w:bottom w:val="single" w:sz="8" w:space="0" w:color="auto"/>
                    <w:right w:val="single" w:sz="4" w:space="0" w:color="auto"/>
                  </w:tcBorders>
                  <w:shd w:val="clear" w:color="auto" w:fill="auto"/>
                  <w:vAlign w:val="center"/>
                  <w:hideMark/>
                </w:tcPr>
                <w:p w14:paraId="4F403DC9"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OŘLZ</w:t>
                  </w:r>
                </w:p>
              </w:tc>
            </w:tr>
            <w:tr w:rsidR="00902DCC" w:rsidRPr="00902DCC" w14:paraId="3F9C94F0" w14:textId="77777777" w:rsidTr="00902DCC">
              <w:trPr>
                <w:trHeight w:val="1608"/>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51B3AB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435/2004 Sb., o zaměstnanosti,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00A79CB4"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VI.23</w:t>
                  </w:r>
                </w:p>
              </w:tc>
              <w:tc>
                <w:tcPr>
                  <w:tcW w:w="4660" w:type="dxa"/>
                  <w:tcBorders>
                    <w:top w:val="nil"/>
                    <w:left w:val="nil"/>
                    <w:bottom w:val="single" w:sz="8" w:space="0" w:color="auto"/>
                    <w:right w:val="single" w:sz="8" w:space="0" w:color="auto"/>
                  </w:tcBorders>
                  <w:shd w:val="clear" w:color="auto" w:fill="auto"/>
                  <w:vAlign w:val="center"/>
                  <w:hideMark/>
                </w:tcPr>
                <w:p w14:paraId="3933574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Reforma pracovní migrace, její zaměření na získávání kvalifikovaných pracovníků v oborech potřebných na tuzemském trhu práce a lákání talentů prostřednictvím bodového systému, který umožní vybírat pracovníky s nejvyšším integračním potenciálem, zvýšení efektivity testování trhu práce a zrychlení administrativních procesů.</w:t>
                  </w:r>
                </w:p>
              </w:tc>
              <w:tc>
                <w:tcPr>
                  <w:tcW w:w="1020" w:type="dxa"/>
                  <w:tcBorders>
                    <w:top w:val="nil"/>
                    <w:left w:val="nil"/>
                    <w:bottom w:val="single" w:sz="8" w:space="0" w:color="auto"/>
                    <w:right w:val="single" w:sz="4" w:space="0" w:color="auto"/>
                  </w:tcBorders>
                  <w:shd w:val="clear" w:color="auto" w:fill="auto"/>
                  <w:vAlign w:val="center"/>
                  <w:hideMark/>
                </w:tcPr>
                <w:p w14:paraId="01A8B10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OŘLZ</w:t>
                  </w:r>
                </w:p>
              </w:tc>
            </w:tr>
            <w:tr w:rsidR="00902DCC" w:rsidRPr="00902DCC" w14:paraId="7603B5F0" w14:textId="77777777" w:rsidTr="00902DCC">
              <w:trPr>
                <w:trHeight w:val="525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750A9FE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lastRenderedPageBreak/>
                    <w:t xml:space="preserve">Návrh zákona, kterým se mění zákon č. 262/2006 Sb., zákoník práce, ve znění pozdějších předpisů, a další související zákony </w:t>
                  </w:r>
                </w:p>
              </w:tc>
              <w:tc>
                <w:tcPr>
                  <w:tcW w:w="960" w:type="dxa"/>
                  <w:tcBorders>
                    <w:top w:val="nil"/>
                    <w:left w:val="nil"/>
                    <w:bottom w:val="single" w:sz="8" w:space="0" w:color="auto"/>
                    <w:right w:val="single" w:sz="8" w:space="0" w:color="auto"/>
                  </w:tcBorders>
                  <w:shd w:val="clear" w:color="auto" w:fill="auto"/>
                  <w:noWrap/>
                  <w:vAlign w:val="center"/>
                  <w:hideMark/>
                </w:tcPr>
                <w:p w14:paraId="33A4D7ED"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VII.23</w:t>
                  </w:r>
                </w:p>
              </w:tc>
              <w:tc>
                <w:tcPr>
                  <w:tcW w:w="4660" w:type="dxa"/>
                  <w:tcBorders>
                    <w:top w:val="nil"/>
                    <w:left w:val="nil"/>
                    <w:bottom w:val="single" w:sz="8" w:space="0" w:color="auto"/>
                    <w:right w:val="single" w:sz="8" w:space="0" w:color="auto"/>
                  </w:tcBorders>
                  <w:shd w:val="clear" w:color="auto" w:fill="auto"/>
                  <w:vAlign w:val="center"/>
                  <w:hideMark/>
                </w:tcPr>
                <w:p w14:paraId="55FC80B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Smyslem navrhované právní úpravy je přijetí opatření, které se výlučně netýká jen nadnárodního poskytování služeb. Cílem je ukotvit režim společné a nerozdílné odpovědnosti mezi hlavní společností (dodavatelem/zhotovitelem) a subdodavatelem tak, aby zaměstnanec v oblasti stavebnictví mohl činit odpovědným vedle nebo místo svého zaměstnavatele i příjemce služby (objednatele). Navrhovaná právní úprava se bude týkat pouze činností uvedených v příloze směrnice Evropského parlamentu a Rady 96/71/ES ze dne 16. prosince 1996 o vysílání pracovníků v rámci poskytování služeb (dále jen „směrnice o vysílání“). Je žádoucí, aby na trhu působily subjekty, které dodržují zejména pracovněprávní předpisy, přičemž lze předpokládat, že velcí zhotovitelé na trhu mají zájem o spolupráci s takovými subjekty. Zákon má mít především preventivní charakter a jeho cílem je motivovat dodavatele k větší kontrole subdodavatelů, které najímají. Pokud si najímají neseriózní subdodavatele, riskují, že budou sami odpovědní za vyplácení mezd zaměstnanců svých subdodavatelů.</w:t>
                  </w:r>
                </w:p>
              </w:tc>
              <w:tc>
                <w:tcPr>
                  <w:tcW w:w="1020" w:type="dxa"/>
                  <w:tcBorders>
                    <w:top w:val="nil"/>
                    <w:left w:val="nil"/>
                    <w:bottom w:val="single" w:sz="8" w:space="0" w:color="auto"/>
                    <w:right w:val="single" w:sz="4" w:space="0" w:color="auto"/>
                  </w:tcBorders>
                  <w:shd w:val="clear" w:color="auto" w:fill="auto"/>
                  <w:vAlign w:val="center"/>
                  <w:hideMark/>
                </w:tcPr>
                <w:p w14:paraId="52E35369"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OPS</w:t>
                  </w:r>
                </w:p>
              </w:tc>
            </w:tr>
            <w:tr w:rsidR="00902DCC" w:rsidRPr="00902DCC" w14:paraId="3756692C" w14:textId="77777777" w:rsidTr="00902DCC">
              <w:trPr>
                <w:trHeight w:val="2064"/>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767AD61"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589/1992 Sb., o pojistném na sociální zabezpečení a příspěvku na státní politiku zaměstnanosti,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2F731903"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IX.23</w:t>
                  </w:r>
                </w:p>
              </w:tc>
              <w:tc>
                <w:tcPr>
                  <w:tcW w:w="4660" w:type="dxa"/>
                  <w:tcBorders>
                    <w:top w:val="nil"/>
                    <w:left w:val="nil"/>
                    <w:bottom w:val="single" w:sz="8" w:space="0" w:color="auto"/>
                    <w:right w:val="single" w:sz="8" w:space="0" w:color="auto"/>
                  </w:tcBorders>
                  <w:shd w:val="clear" w:color="auto" w:fill="auto"/>
                  <w:vAlign w:val="center"/>
                  <w:hideMark/>
                </w:tcPr>
                <w:p w14:paraId="6D93597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Novelizovat předpisy o pojistném na sociální zabezpečení v tom směru, aby každému pojištěnci, který je plátcem daně z příjmu fyzických osob v České republice, bylo stanoveno právo rozhodnout o tom, že část z jeho pojistného na sociální zabezpečení odpovídající výši 1 % jeho vyměřovacího základu bude přesměrována cíleně ve prospěch jeho rodičů nebo prarodičů, kteří jsou poživateli starobního důchodu.</w:t>
                  </w:r>
                </w:p>
              </w:tc>
              <w:tc>
                <w:tcPr>
                  <w:tcW w:w="1020" w:type="dxa"/>
                  <w:tcBorders>
                    <w:top w:val="nil"/>
                    <w:left w:val="nil"/>
                    <w:bottom w:val="single" w:sz="8" w:space="0" w:color="auto"/>
                    <w:right w:val="single" w:sz="4" w:space="0" w:color="auto"/>
                  </w:tcBorders>
                  <w:shd w:val="clear" w:color="auto" w:fill="auto"/>
                  <w:vAlign w:val="center"/>
                  <w:hideMark/>
                </w:tcPr>
                <w:p w14:paraId="48DBE7B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OŘLZ</w:t>
                  </w:r>
                </w:p>
              </w:tc>
            </w:tr>
            <w:tr w:rsidR="00902DCC" w:rsidRPr="00902DCC" w14:paraId="0DBA9687" w14:textId="77777777" w:rsidTr="00902DCC">
              <w:trPr>
                <w:trHeight w:val="2292"/>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90D8E3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187/2006, o nemocenském pojištění,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68155D32"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IX.23</w:t>
                  </w:r>
                </w:p>
              </w:tc>
              <w:tc>
                <w:tcPr>
                  <w:tcW w:w="4660" w:type="dxa"/>
                  <w:tcBorders>
                    <w:top w:val="nil"/>
                    <w:left w:val="nil"/>
                    <w:bottom w:val="single" w:sz="8" w:space="0" w:color="auto"/>
                    <w:right w:val="single" w:sz="8" w:space="0" w:color="auto"/>
                  </w:tcBorders>
                  <w:shd w:val="clear" w:color="auto" w:fill="auto"/>
                  <w:vAlign w:val="center"/>
                  <w:hideMark/>
                </w:tcPr>
                <w:p w14:paraId="16A52E1E"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 xml:space="preserve">Cílem návrhu je pokračování v elektronizaci dávek nemocenského pojištění. Urychlení procesu administrace a výplaty dalších dávek nemocenského pojištění. Snížení administrativní zátěže zaměstnavatelů, lékařů, zaměstnanců a orgánů nemocenského pojištění prostřednictvím elektronického oběhu dokumentů a minimalizace „oběhu“ osob s papírovými dokumenty. Umožnit lékařům využití stejné míry automatizace jako u </w:t>
                  </w:r>
                  <w:proofErr w:type="spellStart"/>
                  <w:r w:rsidRPr="00902DCC">
                    <w:rPr>
                      <w:rFonts w:ascii="Arial" w:eastAsia="Times New Roman" w:hAnsi="Arial" w:cs="Arial"/>
                      <w:b w:val="0"/>
                      <w:bCs/>
                      <w:color w:val="000000"/>
                      <w:sz w:val="18"/>
                      <w:szCs w:val="18"/>
                      <w:lang w:eastAsia="cs-CZ"/>
                    </w:rPr>
                    <w:t>eNeschopenky</w:t>
                  </w:r>
                  <w:proofErr w:type="spellEnd"/>
                  <w:r w:rsidRPr="00902DCC">
                    <w:rPr>
                      <w:rFonts w:ascii="Arial" w:eastAsia="Times New Roman" w:hAnsi="Arial" w:cs="Arial"/>
                      <w:b w:val="0"/>
                      <w:bCs/>
                      <w:color w:val="000000"/>
                      <w:sz w:val="18"/>
                      <w:szCs w:val="18"/>
                      <w:lang w:eastAsia="cs-CZ"/>
                    </w:rPr>
                    <w:t>.</w:t>
                  </w:r>
                </w:p>
              </w:tc>
              <w:tc>
                <w:tcPr>
                  <w:tcW w:w="1020" w:type="dxa"/>
                  <w:tcBorders>
                    <w:top w:val="nil"/>
                    <w:left w:val="nil"/>
                    <w:bottom w:val="single" w:sz="8" w:space="0" w:color="auto"/>
                    <w:right w:val="single" w:sz="4" w:space="0" w:color="auto"/>
                  </w:tcBorders>
                  <w:shd w:val="clear" w:color="auto" w:fill="auto"/>
                  <w:vAlign w:val="center"/>
                  <w:hideMark/>
                </w:tcPr>
                <w:p w14:paraId="59E6FE6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w:t>
                  </w:r>
                  <w:r w:rsidRPr="00902DCC">
                    <w:rPr>
                      <w:rFonts w:ascii="Times New Roman" w:eastAsia="Times New Roman" w:hAnsi="Times New Roman" w:cs="Times New Roman"/>
                      <w:b w:val="0"/>
                      <w:color w:val="000000"/>
                      <w:sz w:val="24"/>
                      <w:szCs w:val="24"/>
                      <w:lang w:eastAsia="cs-CZ"/>
                    </w:rPr>
                    <w:t>ŘLZ</w:t>
                  </w:r>
                </w:p>
              </w:tc>
            </w:tr>
            <w:tr w:rsidR="00902DCC" w:rsidRPr="00902DCC" w14:paraId="23E26708" w14:textId="77777777" w:rsidTr="00902DCC">
              <w:trPr>
                <w:trHeight w:val="1824"/>
              </w:trPr>
              <w:tc>
                <w:tcPr>
                  <w:tcW w:w="2880" w:type="dxa"/>
                  <w:vMerge w:val="restart"/>
                  <w:tcBorders>
                    <w:top w:val="nil"/>
                    <w:left w:val="single" w:sz="4" w:space="0" w:color="auto"/>
                    <w:bottom w:val="single" w:sz="8" w:space="0" w:color="000000"/>
                    <w:right w:val="single" w:sz="8" w:space="0" w:color="auto"/>
                  </w:tcBorders>
                  <w:shd w:val="clear" w:color="auto" w:fill="auto"/>
                  <w:vAlign w:val="center"/>
                  <w:hideMark/>
                </w:tcPr>
                <w:p w14:paraId="4A2D7C1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FEE117"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X.23</w:t>
                  </w:r>
                </w:p>
              </w:tc>
              <w:tc>
                <w:tcPr>
                  <w:tcW w:w="4660" w:type="dxa"/>
                  <w:tcBorders>
                    <w:top w:val="nil"/>
                    <w:left w:val="nil"/>
                    <w:bottom w:val="nil"/>
                    <w:right w:val="single" w:sz="8" w:space="0" w:color="auto"/>
                  </w:tcBorders>
                  <w:shd w:val="clear" w:color="auto" w:fill="auto"/>
                  <w:vAlign w:val="center"/>
                  <w:hideMark/>
                </w:tcPr>
                <w:p w14:paraId="460DFB8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 xml:space="preserve">Práce se musí vyplatit a pracovat musí být výhodnější než pasivní pobírání sociálních dávek. Pracovní příjem zaměstnanců odměňovaných minimální mzdou by měl dosahovat takové úrovně, aby byl dostatečně motivační a zajistil alespoň základní životní potřeby bez závislosti na sociálních příjmech (zejména v podobě dodatečných sociálních dávek chránících před hmotnou nouzí). </w:t>
                  </w:r>
                </w:p>
              </w:tc>
              <w:tc>
                <w:tcPr>
                  <w:tcW w:w="1020" w:type="dxa"/>
                  <w:vMerge w:val="restart"/>
                  <w:tcBorders>
                    <w:top w:val="nil"/>
                    <w:left w:val="single" w:sz="8" w:space="0" w:color="auto"/>
                    <w:bottom w:val="single" w:sz="8" w:space="0" w:color="000000"/>
                    <w:right w:val="single" w:sz="4" w:space="0" w:color="auto"/>
                  </w:tcBorders>
                  <w:shd w:val="clear" w:color="auto" w:fill="auto"/>
                  <w:vAlign w:val="center"/>
                  <w:hideMark/>
                </w:tcPr>
                <w:p w14:paraId="21786C6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OŘLZ</w:t>
                  </w:r>
                </w:p>
              </w:tc>
            </w:tr>
            <w:tr w:rsidR="00902DCC" w:rsidRPr="00902DCC" w14:paraId="2BC86C81"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3F9774A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3063D15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00639F5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 </w:t>
                  </w:r>
                </w:p>
              </w:tc>
              <w:tc>
                <w:tcPr>
                  <w:tcW w:w="1020" w:type="dxa"/>
                  <w:vMerge/>
                  <w:tcBorders>
                    <w:top w:val="nil"/>
                    <w:left w:val="single" w:sz="8" w:space="0" w:color="auto"/>
                    <w:bottom w:val="single" w:sz="8" w:space="0" w:color="000000"/>
                    <w:right w:val="single" w:sz="4" w:space="0" w:color="auto"/>
                  </w:tcBorders>
                  <w:vAlign w:val="center"/>
                  <w:hideMark/>
                </w:tcPr>
                <w:p w14:paraId="08E3F20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06C8A059" w14:textId="77777777" w:rsidTr="00902DCC">
              <w:trPr>
                <w:trHeight w:val="684"/>
              </w:trPr>
              <w:tc>
                <w:tcPr>
                  <w:tcW w:w="2880" w:type="dxa"/>
                  <w:vMerge/>
                  <w:tcBorders>
                    <w:top w:val="nil"/>
                    <w:left w:val="single" w:sz="4" w:space="0" w:color="auto"/>
                    <w:bottom w:val="single" w:sz="8" w:space="0" w:color="000000"/>
                    <w:right w:val="single" w:sz="8" w:space="0" w:color="auto"/>
                  </w:tcBorders>
                  <w:vAlign w:val="center"/>
                  <w:hideMark/>
                </w:tcPr>
                <w:p w14:paraId="42F76C0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28F8AEC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6755390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Zvýšením minimální mzdy by mělo dojít k posílení jejích základních funkcí a kupní síly zaměstnanců odměňovaných minimální mzdou.</w:t>
                  </w:r>
                </w:p>
              </w:tc>
              <w:tc>
                <w:tcPr>
                  <w:tcW w:w="1020" w:type="dxa"/>
                  <w:vMerge/>
                  <w:tcBorders>
                    <w:top w:val="nil"/>
                    <w:left w:val="single" w:sz="8" w:space="0" w:color="auto"/>
                    <w:bottom w:val="single" w:sz="8" w:space="0" w:color="000000"/>
                    <w:right w:val="single" w:sz="4" w:space="0" w:color="auto"/>
                  </w:tcBorders>
                  <w:vAlign w:val="center"/>
                  <w:hideMark/>
                </w:tcPr>
                <w:p w14:paraId="4B7947E9"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1290A8C1"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59BC1C9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20A2D2A2"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217766A6"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 </w:t>
                  </w:r>
                </w:p>
              </w:tc>
              <w:tc>
                <w:tcPr>
                  <w:tcW w:w="1020" w:type="dxa"/>
                  <w:vMerge/>
                  <w:tcBorders>
                    <w:top w:val="nil"/>
                    <w:left w:val="single" w:sz="8" w:space="0" w:color="auto"/>
                    <w:bottom w:val="single" w:sz="8" w:space="0" w:color="000000"/>
                    <w:right w:val="single" w:sz="4" w:space="0" w:color="auto"/>
                  </w:tcBorders>
                  <w:vAlign w:val="center"/>
                  <w:hideMark/>
                </w:tcPr>
                <w:p w14:paraId="7CA9A0F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557AEA72" w14:textId="77777777" w:rsidTr="00902DCC">
              <w:trPr>
                <w:trHeight w:val="924"/>
              </w:trPr>
              <w:tc>
                <w:tcPr>
                  <w:tcW w:w="2880" w:type="dxa"/>
                  <w:vMerge/>
                  <w:tcBorders>
                    <w:top w:val="nil"/>
                    <w:left w:val="single" w:sz="4" w:space="0" w:color="auto"/>
                    <w:bottom w:val="single" w:sz="8" w:space="0" w:color="000000"/>
                    <w:right w:val="single" w:sz="8" w:space="0" w:color="auto"/>
                  </w:tcBorders>
                  <w:vAlign w:val="center"/>
                  <w:hideMark/>
                </w:tcPr>
                <w:p w14:paraId="52A6AE2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5F75122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single" w:sz="8" w:space="0" w:color="auto"/>
                    <w:right w:val="single" w:sz="8" w:space="0" w:color="auto"/>
                  </w:tcBorders>
                  <w:shd w:val="clear" w:color="auto" w:fill="auto"/>
                  <w:vAlign w:val="center"/>
                  <w:hideMark/>
                </w:tcPr>
                <w:p w14:paraId="294603D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 xml:space="preserve">Nařízením vlády by měla být dosažena cílená relace minimální mzdy k průměrné hrubé mzdě, která by se stala základem pro automatický valorizační mechanismus. </w:t>
                  </w:r>
                </w:p>
              </w:tc>
              <w:tc>
                <w:tcPr>
                  <w:tcW w:w="1020" w:type="dxa"/>
                  <w:vMerge/>
                  <w:tcBorders>
                    <w:top w:val="nil"/>
                    <w:left w:val="single" w:sz="8" w:space="0" w:color="auto"/>
                    <w:bottom w:val="single" w:sz="8" w:space="0" w:color="000000"/>
                    <w:right w:val="single" w:sz="4" w:space="0" w:color="auto"/>
                  </w:tcBorders>
                  <w:vAlign w:val="center"/>
                  <w:hideMark/>
                </w:tcPr>
                <w:p w14:paraId="7E0D0B64"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5AEBF29C" w14:textId="77777777" w:rsidTr="00902DCC">
              <w:trPr>
                <w:trHeight w:val="3432"/>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6780FFA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lastRenderedPageBreak/>
                    <w:t>Návrh nařízení vlády o úpravě náhrady za ztrátu na výdělku po skončení pracovní neschopnosti vzniklé pracovním úrazem nebo nemocí z povolání a o úpravě náhrady nákladů na výživu pozůstalých podle pracovněprávních předpisů (nařízení o úpravě náhrady)</w:t>
                  </w:r>
                </w:p>
              </w:tc>
              <w:tc>
                <w:tcPr>
                  <w:tcW w:w="960" w:type="dxa"/>
                  <w:tcBorders>
                    <w:top w:val="nil"/>
                    <w:left w:val="nil"/>
                    <w:bottom w:val="single" w:sz="8" w:space="0" w:color="auto"/>
                    <w:right w:val="single" w:sz="8" w:space="0" w:color="auto"/>
                  </w:tcBorders>
                  <w:shd w:val="clear" w:color="auto" w:fill="auto"/>
                  <w:noWrap/>
                  <w:vAlign w:val="center"/>
                  <w:hideMark/>
                </w:tcPr>
                <w:p w14:paraId="5ADC0374"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XI.23</w:t>
                  </w:r>
                </w:p>
              </w:tc>
              <w:tc>
                <w:tcPr>
                  <w:tcW w:w="4660" w:type="dxa"/>
                  <w:tcBorders>
                    <w:top w:val="nil"/>
                    <w:left w:val="nil"/>
                    <w:bottom w:val="single" w:sz="8" w:space="0" w:color="auto"/>
                    <w:right w:val="single" w:sz="8" w:space="0" w:color="auto"/>
                  </w:tcBorders>
                  <w:shd w:val="clear" w:color="auto" w:fill="auto"/>
                  <w:vAlign w:val="center"/>
                  <w:hideMark/>
                </w:tcPr>
                <w:p w14:paraId="457D60E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Zvýšit průměrný výdělek před vznikem škody rozhodný pro výpočet náhrady za ztrátu na výdělku a náhrady nákladů na výživu pozůstalých (zvýšený podle předchozích právních předpisů), do kterého je poskytována předmětná náhrada podle zákoníku práce tak, aby se zvýšení projevilo ve fakticky poskytované částce, kterou poškození a pozůstalí budou pobírat. Zvýšení uvedeného průměrného výdělku zohlední i změny, které nastaly ve vývoji mzdové úrovně a životních nákladů tak, že i u zaměstnanců, kteří z důvodu pracovního úrazu nebo nemoci z povolání pobírají náhradu za ztrátu na výdělku, nebo pozůstalých, kteří pobírají náhradu nákladů na výživu pozůstalých, dojde ke zvýšení fakticky pobírané částky.</w:t>
                  </w:r>
                </w:p>
              </w:tc>
              <w:tc>
                <w:tcPr>
                  <w:tcW w:w="1020" w:type="dxa"/>
                  <w:tcBorders>
                    <w:top w:val="nil"/>
                    <w:left w:val="nil"/>
                    <w:bottom w:val="single" w:sz="8" w:space="0" w:color="auto"/>
                    <w:right w:val="single" w:sz="4" w:space="0" w:color="auto"/>
                  </w:tcBorders>
                  <w:shd w:val="clear" w:color="auto" w:fill="auto"/>
                  <w:vAlign w:val="center"/>
                  <w:hideMark/>
                </w:tcPr>
                <w:p w14:paraId="75FBE0C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OŘLZ</w:t>
                  </w:r>
                </w:p>
              </w:tc>
            </w:tr>
            <w:tr w:rsidR="00902DCC" w:rsidRPr="00902DCC" w14:paraId="7A5ACBEE" w14:textId="77777777" w:rsidTr="00902DCC">
              <w:trPr>
                <w:trHeight w:val="4572"/>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28C7384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258/2000 Sb., o ochraně veřejného zdraví a o změně některých souvisejících zákonů,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7DC7651E"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I.23</w:t>
                  </w:r>
                </w:p>
              </w:tc>
              <w:tc>
                <w:tcPr>
                  <w:tcW w:w="4660" w:type="dxa"/>
                  <w:tcBorders>
                    <w:top w:val="nil"/>
                    <w:left w:val="nil"/>
                    <w:bottom w:val="single" w:sz="8" w:space="0" w:color="auto"/>
                    <w:right w:val="single" w:sz="8" w:space="0" w:color="auto"/>
                  </w:tcBorders>
                  <w:shd w:val="clear" w:color="auto" w:fill="auto"/>
                  <w:vAlign w:val="center"/>
                  <w:hideMark/>
                </w:tcPr>
                <w:p w14:paraId="657F21DD"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je implementace 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 nařízení Komise v přenesené pravomoci (EU) 2022/256 ze dne 22. února 2022, kterým se mění nařízení Evropského parlamentu a Rady (EU) 2021/953, pokud jde o vydávání certifikátů o zotavení na základě rychlých testů na antigen a nařízení Evropského parlamentu a Rady (EU) 2022/1034 ze dne 29. června 2022, kterým se mění nařízení (EU) 2021/953 o rámci pro vydávání, ověřování a uznávání interoperabilních certifikátů o očkování, o testu a o zotavení v souvislosti s onemocněním COVID-19 (digitální certifikát EU COVID) za účelem usnadnění volného pohybu během pandemie COVID-19</w:t>
                  </w:r>
                </w:p>
              </w:tc>
              <w:tc>
                <w:tcPr>
                  <w:tcW w:w="1020" w:type="dxa"/>
                  <w:tcBorders>
                    <w:top w:val="nil"/>
                    <w:left w:val="nil"/>
                    <w:bottom w:val="single" w:sz="8" w:space="0" w:color="auto"/>
                    <w:right w:val="single" w:sz="4" w:space="0" w:color="auto"/>
                  </w:tcBorders>
                  <w:shd w:val="clear" w:color="auto" w:fill="auto"/>
                  <w:vAlign w:val="center"/>
                  <w:hideMark/>
                </w:tcPr>
                <w:p w14:paraId="5942FFC3"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OHSE</w:t>
                  </w:r>
                </w:p>
              </w:tc>
            </w:tr>
            <w:tr w:rsidR="00902DCC" w:rsidRPr="00902DCC" w14:paraId="6CF5DE81" w14:textId="77777777" w:rsidTr="00902DCC">
              <w:trPr>
                <w:trHeight w:val="1152"/>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84E5F7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nařízení vlády, kterým se mění nařízení vlády č. 361/2007 Sb., kterým se stanoví podmínky ochrany zdraví při práci,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41B18218"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VIII.23</w:t>
                  </w:r>
                </w:p>
              </w:tc>
              <w:tc>
                <w:tcPr>
                  <w:tcW w:w="4660" w:type="dxa"/>
                  <w:tcBorders>
                    <w:top w:val="nil"/>
                    <w:left w:val="nil"/>
                    <w:bottom w:val="single" w:sz="8" w:space="0" w:color="auto"/>
                    <w:right w:val="single" w:sz="8" w:space="0" w:color="auto"/>
                  </w:tcBorders>
                  <w:shd w:val="clear" w:color="auto" w:fill="auto"/>
                  <w:vAlign w:val="center"/>
                  <w:hideMark/>
                </w:tcPr>
                <w:p w14:paraId="51D8A41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předloženého návrhu je zlepšit ochranu zdraví zaměstnanců snížením jejich vystavení se chemickým látkám a biologickým činitelům při práci.</w:t>
                  </w:r>
                </w:p>
              </w:tc>
              <w:tc>
                <w:tcPr>
                  <w:tcW w:w="1020" w:type="dxa"/>
                  <w:tcBorders>
                    <w:top w:val="nil"/>
                    <w:left w:val="nil"/>
                    <w:bottom w:val="single" w:sz="8" w:space="0" w:color="auto"/>
                    <w:right w:val="single" w:sz="4" w:space="0" w:color="auto"/>
                  </w:tcBorders>
                  <w:shd w:val="clear" w:color="auto" w:fill="auto"/>
                  <w:vAlign w:val="center"/>
                  <w:hideMark/>
                </w:tcPr>
                <w:p w14:paraId="7F1BEA3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w:t>
                  </w:r>
                  <w:r w:rsidRPr="00902DCC">
                    <w:rPr>
                      <w:rFonts w:ascii="Times New Roman" w:eastAsia="Times New Roman" w:hAnsi="Times New Roman" w:cs="Times New Roman"/>
                      <w:b w:val="0"/>
                      <w:color w:val="000000"/>
                      <w:sz w:val="24"/>
                      <w:szCs w:val="24"/>
                      <w:lang w:eastAsia="cs-CZ"/>
                    </w:rPr>
                    <w:t>HSE</w:t>
                  </w:r>
                </w:p>
              </w:tc>
            </w:tr>
            <w:tr w:rsidR="00902DCC" w:rsidRPr="00902DCC" w14:paraId="7DDD31C4" w14:textId="77777777" w:rsidTr="00902DCC">
              <w:trPr>
                <w:trHeight w:val="1824"/>
              </w:trPr>
              <w:tc>
                <w:tcPr>
                  <w:tcW w:w="2880" w:type="dxa"/>
                  <w:vMerge w:val="restart"/>
                  <w:tcBorders>
                    <w:top w:val="nil"/>
                    <w:left w:val="single" w:sz="4" w:space="0" w:color="auto"/>
                    <w:bottom w:val="single" w:sz="8" w:space="0" w:color="000000"/>
                    <w:right w:val="single" w:sz="8" w:space="0" w:color="auto"/>
                  </w:tcBorders>
                  <w:shd w:val="clear" w:color="auto" w:fill="auto"/>
                  <w:vAlign w:val="center"/>
                  <w:hideMark/>
                </w:tcPr>
                <w:p w14:paraId="2F65EB7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13/1997 Sb., o pozemních komunikacích, ve znění pozdějších předpisů</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07A7D2"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VI.23</w:t>
                  </w:r>
                </w:p>
              </w:tc>
              <w:tc>
                <w:tcPr>
                  <w:tcW w:w="4660" w:type="dxa"/>
                  <w:tcBorders>
                    <w:top w:val="nil"/>
                    <w:left w:val="nil"/>
                    <w:bottom w:val="nil"/>
                    <w:right w:val="single" w:sz="8" w:space="0" w:color="auto"/>
                  </w:tcBorders>
                  <w:shd w:val="clear" w:color="auto" w:fill="auto"/>
                  <w:vAlign w:val="center"/>
                  <w:hideMark/>
                </w:tcPr>
                <w:p w14:paraId="64BE10D5"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zamýšlených změn vnitrostátní právní úpravy je úprava podmínek, za kterých jsou vybírány poplatky za užití vybraných pozemních komunikací tak, aby výběr těchto poplatků byl v souladu s právem Evropské unie, které dosud především oblast časového zpoplatnění vozidel do 3,5 tuny neregulovalo, což se přijetím novely předmětné směrnice mění.</w:t>
                  </w:r>
                </w:p>
              </w:tc>
              <w:tc>
                <w:tcPr>
                  <w:tcW w:w="1020" w:type="dxa"/>
                  <w:vMerge w:val="restart"/>
                  <w:tcBorders>
                    <w:top w:val="nil"/>
                    <w:left w:val="single" w:sz="8" w:space="0" w:color="auto"/>
                    <w:bottom w:val="single" w:sz="8" w:space="0" w:color="000000"/>
                    <w:right w:val="single" w:sz="4" w:space="0" w:color="auto"/>
                  </w:tcBorders>
                  <w:shd w:val="clear" w:color="auto" w:fill="auto"/>
                  <w:vAlign w:val="center"/>
                  <w:hideMark/>
                </w:tcPr>
                <w:p w14:paraId="6A98AAC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PÚ</w:t>
                  </w:r>
                </w:p>
              </w:tc>
            </w:tr>
            <w:tr w:rsidR="00902DCC" w:rsidRPr="00902DCC" w14:paraId="2EB39768" w14:textId="77777777" w:rsidTr="00902DCC">
              <w:trPr>
                <w:trHeight w:val="288"/>
              </w:trPr>
              <w:tc>
                <w:tcPr>
                  <w:tcW w:w="2880" w:type="dxa"/>
                  <w:vMerge/>
                  <w:tcBorders>
                    <w:top w:val="nil"/>
                    <w:left w:val="single" w:sz="4" w:space="0" w:color="auto"/>
                    <w:bottom w:val="single" w:sz="8" w:space="0" w:color="000000"/>
                    <w:right w:val="single" w:sz="8" w:space="0" w:color="auto"/>
                  </w:tcBorders>
                  <w:vAlign w:val="center"/>
                  <w:hideMark/>
                </w:tcPr>
                <w:p w14:paraId="29CB2E5B"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72BE202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nil"/>
                    <w:right w:val="single" w:sz="8" w:space="0" w:color="auto"/>
                  </w:tcBorders>
                  <w:shd w:val="clear" w:color="auto" w:fill="auto"/>
                  <w:vAlign w:val="center"/>
                  <w:hideMark/>
                </w:tcPr>
                <w:p w14:paraId="02E4D39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w:t>
                  </w:r>
                </w:p>
              </w:tc>
              <w:tc>
                <w:tcPr>
                  <w:tcW w:w="1020" w:type="dxa"/>
                  <w:vMerge/>
                  <w:tcBorders>
                    <w:top w:val="nil"/>
                    <w:left w:val="single" w:sz="8" w:space="0" w:color="auto"/>
                    <w:bottom w:val="single" w:sz="8" w:space="0" w:color="000000"/>
                    <w:right w:val="single" w:sz="4" w:space="0" w:color="auto"/>
                  </w:tcBorders>
                  <w:vAlign w:val="center"/>
                  <w:hideMark/>
                </w:tcPr>
                <w:p w14:paraId="1F94E8C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46BAB3E6" w14:textId="77777777" w:rsidTr="00902DCC">
              <w:trPr>
                <w:trHeight w:val="1608"/>
              </w:trPr>
              <w:tc>
                <w:tcPr>
                  <w:tcW w:w="2880" w:type="dxa"/>
                  <w:vMerge/>
                  <w:tcBorders>
                    <w:top w:val="nil"/>
                    <w:left w:val="single" w:sz="4" w:space="0" w:color="auto"/>
                    <w:bottom w:val="single" w:sz="8" w:space="0" w:color="000000"/>
                    <w:right w:val="single" w:sz="8" w:space="0" w:color="auto"/>
                  </w:tcBorders>
                  <w:vAlign w:val="center"/>
                  <w:hideMark/>
                </w:tcPr>
                <w:p w14:paraId="3AC42B3A"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960" w:type="dxa"/>
                  <w:vMerge/>
                  <w:tcBorders>
                    <w:top w:val="nil"/>
                    <w:left w:val="single" w:sz="8" w:space="0" w:color="auto"/>
                    <w:bottom w:val="single" w:sz="8" w:space="0" w:color="000000"/>
                    <w:right w:val="single" w:sz="8" w:space="0" w:color="auto"/>
                  </w:tcBorders>
                  <w:vAlign w:val="center"/>
                  <w:hideMark/>
                </w:tcPr>
                <w:p w14:paraId="12BB1DA0"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c>
                <w:tcPr>
                  <w:tcW w:w="4660" w:type="dxa"/>
                  <w:tcBorders>
                    <w:top w:val="nil"/>
                    <w:left w:val="nil"/>
                    <w:bottom w:val="single" w:sz="8" w:space="0" w:color="auto"/>
                    <w:right w:val="single" w:sz="8" w:space="0" w:color="auto"/>
                  </w:tcBorders>
                  <w:shd w:val="clear" w:color="auto" w:fill="auto"/>
                  <w:vAlign w:val="center"/>
                  <w:hideMark/>
                </w:tcPr>
                <w:p w14:paraId="2F6C3687"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Dále nad rámec transpozice je cílem připravovaných změn zjednodušení výkonu vyjmenovaných agend a jejich digitalizace. Zvážena bude i změna výše poplatků za užití pozemních komunikací tak, aby zohledňovala potřebu dostupných finančních prostředků pro výstavbu a správu pozemních komunikací.</w:t>
                  </w:r>
                </w:p>
              </w:tc>
              <w:tc>
                <w:tcPr>
                  <w:tcW w:w="1020" w:type="dxa"/>
                  <w:vMerge/>
                  <w:tcBorders>
                    <w:top w:val="nil"/>
                    <w:left w:val="single" w:sz="8" w:space="0" w:color="auto"/>
                    <w:bottom w:val="single" w:sz="8" w:space="0" w:color="000000"/>
                    <w:right w:val="single" w:sz="4" w:space="0" w:color="auto"/>
                  </w:tcBorders>
                  <w:vAlign w:val="center"/>
                  <w:hideMark/>
                </w:tcPr>
                <w:p w14:paraId="6574A3BF"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p>
              </w:tc>
            </w:tr>
            <w:tr w:rsidR="00902DCC" w:rsidRPr="00902DCC" w14:paraId="4E9D60FC" w14:textId="77777777" w:rsidTr="00902DCC">
              <w:trPr>
                <w:trHeight w:val="1380"/>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3944C69"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o pojištění odpovědnosti z provozu vozidla</w:t>
                  </w:r>
                </w:p>
              </w:tc>
              <w:tc>
                <w:tcPr>
                  <w:tcW w:w="960" w:type="dxa"/>
                  <w:tcBorders>
                    <w:top w:val="nil"/>
                    <w:left w:val="nil"/>
                    <w:bottom w:val="single" w:sz="8" w:space="0" w:color="auto"/>
                    <w:right w:val="single" w:sz="8" w:space="0" w:color="auto"/>
                  </w:tcBorders>
                  <w:shd w:val="clear" w:color="auto" w:fill="auto"/>
                  <w:noWrap/>
                  <w:vAlign w:val="center"/>
                  <w:hideMark/>
                </w:tcPr>
                <w:p w14:paraId="6B44010E" w14:textId="77777777" w:rsidR="00902DCC" w:rsidRPr="00902DCC" w:rsidRDefault="00902DCC"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III.23</w:t>
                  </w:r>
                </w:p>
              </w:tc>
              <w:tc>
                <w:tcPr>
                  <w:tcW w:w="4660" w:type="dxa"/>
                  <w:tcBorders>
                    <w:top w:val="nil"/>
                    <w:left w:val="nil"/>
                    <w:bottom w:val="single" w:sz="8" w:space="0" w:color="auto"/>
                    <w:right w:val="single" w:sz="8" w:space="0" w:color="auto"/>
                  </w:tcBorders>
                  <w:shd w:val="clear" w:color="auto" w:fill="auto"/>
                  <w:vAlign w:val="center"/>
                  <w:hideMark/>
                </w:tcPr>
                <w:p w14:paraId="2AE956AC" w14:textId="77777777" w:rsidR="00902DCC" w:rsidRPr="00902DCC" w:rsidRDefault="00902DCC"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Transpozice směrnice Evropského parlamentu a Rady (EU) 2021/2118 ze dne 24. listopadu 2021, kterou se mění směrnice 2009/103/ES o pojištění občanskoprávní odpovědnosti z provozu motorových vozidel a kontrole povinnosti uzavřít pro případ takové odpovědnosti pojištění.</w:t>
                  </w:r>
                </w:p>
              </w:tc>
              <w:tc>
                <w:tcPr>
                  <w:tcW w:w="1020" w:type="dxa"/>
                  <w:tcBorders>
                    <w:top w:val="nil"/>
                    <w:left w:val="nil"/>
                    <w:bottom w:val="single" w:sz="8" w:space="0" w:color="auto"/>
                    <w:right w:val="single" w:sz="4" w:space="0" w:color="auto"/>
                  </w:tcBorders>
                  <w:shd w:val="clear" w:color="auto" w:fill="auto"/>
                  <w:vAlign w:val="center"/>
                  <w:hideMark/>
                </w:tcPr>
                <w:p w14:paraId="54AEBD34" w14:textId="289B6999" w:rsidR="00902DCC"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FÚ</w:t>
                  </w:r>
                </w:p>
              </w:tc>
            </w:tr>
            <w:tr w:rsidR="00B8664F" w:rsidRPr="00902DCC" w14:paraId="1C96A674" w14:textId="77777777" w:rsidTr="00902DCC">
              <w:trPr>
                <w:trHeight w:val="1380"/>
              </w:trPr>
              <w:tc>
                <w:tcPr>
                  <w:tcW w:w="2880" w:type="dxa"/>
                  <w:tcBorders>
                    <w:top w:val="nil"/>
                    <w:left w:val="single" w:sz="4" w:space="0" w:color="auto"/>
                    <w:bottom w:val="single" w:sz="8" w:space="0" w:color="auto"/>
                    <w:right w:val="single" w:sz="8" w:space="0" w:color="auto"/>
                  </w:tcBorders>
                  <w:shd w:val="clear" w:color="auto" w:fill="auto"/>
                  <w:vAlign w:val="center"/>
                </w:tcPr>
                <w:p w14:paraId="689DA6FC" w14:textId="011245BA"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lastRenderedPageBreak/>
                    <w:t>Návrh zákona, kterým se mění některé zákony v souvislosti s přijetím zákona o pojištění odpovědnosti z provozu vozidla</w:t>
                  </w:r>
                </w:p>
              </w:tc>
              <w:tc>
                <w:tcPr>
                  <w:tcW w:w="960" w:type="dxa"/>
                  <w:tcBorders>
                    <w:top w:val="nil"/>
                    <w:left w:val="nil"/>
                    <w:bottom w:val="single" w:sz="8" w:space="0" w:color="auto"/>
                    <w:right w:val="single" w:sz="8" w:space="0" w:color="auto"/>
                  </w:tcBorders>
                  <w:shd w:val="clear" w:color="auto" w:fill="auto"/>
                  <w:noWrap/>
                  <w:vAlign w:val="center"/>
                </w:tcPr>
                <w:p w14:paraId="031C041E" w14:textId="3509A0E6"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03.23</w:t>
                  </w:r>
                </w:p>
              </w:tc>
              <w:tc>
                <w:tcPr>
                  <w:tcW w:w="4660" w:type="dxa"/>
                  <w:tcBorders>
                    <w:top w:val="nil"/>
                    <w:left w:val="nil"/>
                    <w:bottom w:val="single" w:sz="8" w:space="0" w:color="auto"/>
                    <w:right w:val="single" w:sz="8" w:space="0" w:color="auto"/>
                  </w:tcBorders>
                  <w:shd w:val="clear" w:color="auto" w:fill="auto"/>
                  <w:vAlign w:val="center"/>
                </w:tcPr>
                <w:p w14:paraId="64D69BF5" w14:textId="4D6E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Uvést navazující zákony do souladu se zákonem o pojištění odpovědnosti z provozu vozidla.</w:t>
                  </w:r>
                </w:p>
              </w:tc>
              <w:tc>
                <w:tcPr>
                  <w:tcW w:w="1020" w:type="dxa"/>
                  <w:tcBorders>
                    <w:top w:val="nil"/>
                    <w:left w:val="nil"/>
                    <w:bottom w:val="single" w:sz="8" w:space="0" w:color="auto"/>
                    <w:right w:val="single" w:sz="4" w:space="0" w:color="auto"/>
                  </w:tcBorders>
                  <w:shd w:val="clear" w:color="auto" w:fill="auto"/>
                  <w:vAlign w:val="center"/>
                </w:tcPr>
                <w:p w14:paraId="1829F487" w14:textId="3A117559"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FÚ</w:t>
                  </w:r>
                </w:p>
              </w:tc>
            </w:tr>
            <w:tr w:rsidR="00B8664F" w:rsidRPr="00902DCC" w14:paraId="28D56A15" w14:textId="77777777" w:rsidTr="00902DCC">
              <w:trPr>
                <w:trHeight w:val="1608"/>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69E8F5F"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253/2004 Sb., o dani z přidané hodnoty,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0BEEF19A"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VI.23</w:t>
                  </w:r>
                </w:p>
              </w:tc>
              <w:tc>
                <w:tcPr>
                  <w:tcW w:w="4660" w:type="dxa"/>
                  <w:tcBorders>
                    <w:top w:val="nil"/>
                    <w:left w:val="nil"/>
                    <w:bottom w:val="single" w:sz="8" w:space="0" w:color="auto"/>
                    <w:right w:val="single" w:sz="8" w:space="0" w:color="auto"/>
                  </w:tcBorders>
                  <w:shd w:val="clear" w:color="auto" w:fill="auto"/>
                  <w:vAlign w:val="center"/>
                  <w:hideMark/>
                </w:tcPr>
                <w:p w14:paraId="68B75C5C"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xml:space="preserve">Cílem změny zákona o dani z přidané hodnoty je zjednodušení některých dosavadních ustanovení, dále úprava a doplnění z důvodu jejich jednoznačnosti a případné doladění textu některých ustanovení s ohledem na </w:t>
                  </w:r>
                  <w:proofErr w:type="spellStart"/>
                  <w:r w:rsidRPr="00902DCC">
                    <w:rPr>
                      <w:rFonts w:ascii="Arial" w:eastAsia="Times New Roman" w:hAnsi="Arial" w:cs="Arial"/>
                      <w:b w:val="0"/>
                      <w:color w:val="000000"/>
                      <w:sz w:val="18"/>
                      <w:szCs w:val="18"/>
                      <w:lang w:eastAsia="cs-CZ"/>
                    </w:rPr>
                    <w:t>judikatorní</w:t>
                  </w:r>
                  <w:proofErr w:type="spellEnd"/>
                  <w:r w:rsidRPr="00902DCC">
                    <w:rPr>
                      <w:rFonts w:ascii="Arial" w:eastAsia="Times New Roman" w:hAnsi="Arial" w:cs="Arial"/>
                      <w:b w:val="0"/>
                      <w:color w:val="000000"/>
                      <w:sz w:val="18"/>
                      <w:szCs w:val="18"/>
                      <w:lang w:eastAsia="cs-CZ"/>
                    </w:rPr>
                    <w:t xml:space="preserve"> vývoj a zkušenosti z praktické aplikace zákona o dani z přidané hodnoty.</w:t>
                  </w:r>
                </w:p>
              </w:tc>
              <w:tc>
                <w:tcPr>
                  <w:tcW w:w="1020" w:type="dxa"/>
                  <w:tcBorders>
                    <w:top w:val="nil"/>
                    <w:left w:val="nil"/>
                    <w:bottom w:val="single" w:sz="8" w:space="0" w:color="auto"/>
                    <w:right w:val="single" w:sz="4" w:space="0" w:color="auto"/>
                  </w:tcBorders>
                  <w:shd w:val="clear" w:color="auto" w:fill="auto"/>
                  <w:vAlign w:val="center"/>
                  <w:hideMark/>
                </w:tcPr>
                <w:p w14:paraId="5D5F3732"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FÚ</w:t>
                  </w:r>
                </w:p>
              </w:tc>
            </w:tr>
            <w:tr w:rsidR="00B8664F" w:rsidRPr="00902DCC" w14:paraId="1A851F1F" w14:textId="77777777" w:rsidTr="00902DCC">
              <w:trPr>
                <w:trHeight w:val="1608"/>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1E537735"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353/2003 Sb., o spotřebních daních, ve znění pozdějších předpisů, a některé další zákony</w:t>
                  </w:r>
                </w:p>
              </w:tc>
              <w:tc>
                <w:tcPr>
                  <w:tcW w:w="960" w:type="dxa"/>
                  <w:tcBorders>
                    <w:top w:val="nil"/>
                    <w:left w:val="nil"/>
                    <w:bottom w:val="single" w:sz="8" w:space="0" w:color="auto"/>
                    <w:right w:val="single" w:sz="8" w:space="0" w:color="auto"/>
                  </w:tcBorders>
                  <w:shd w:val="clear" w:color="auto" w:fill="auto"/>
                  <w:noWrap/>
                  <w:vAlign w:val="center"/>
                  <w:hideMark/>
                </w:tcPr>
                <w:p w14:paraId="0310DBFD"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X.23</w:t>
                  </w:r>
                </w:p>
              </w:tc>
              <w:tc>
                <w:tcPr>
                  <w:tcW w:w="4660" w:type="dxa"/>
                  <w:tcBorders>
                    <w:top w:val="nil"/>
                    <w:left w:val="nil"/>
                    <w:bottom w:val="single" w:sz="8" w:space="0" w:color="auto"/>
                    <w:right w:val="single" w:sz="8" w:space="0" w:color="auto"/>
                  </w:tcBorders>
                  <w:shd w:val="clear" w:color="auto" w:fill="auto"/>
                  <w:vAlign w:val="center"/>
                  <w:hideMark/>
                </w:tcPr>
                <w:p w14:paraId="38D42113"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je odstranění výkladových či jiných problémů spojených s praktickým uplatňováním zákona o spotřebních daních a zvýšení právní jistoty dotčených subjektů. Dalším cílem je snížení administrativních nákladů podnikatelské sféry a zefektivnění procesu výběru a správy spotřební daně.</w:t>
                  </w:r>
                </w:p>
              </w:tc>
              <w:tc>
                <w:tcPr>
                  <w:tcW w:w="1020" w:type="dxa"/>
                  <w:tcBorders>
                    <w:top w:val="nil"/>
                    <w:left w:val="nil"/>
                    <w:bottom w:val="single" w:sz="8" w:space="0" w:color="auto"/>
                    <w:right w:val="single" w:sz="4" w:space="0" w:color="auto"/>
                  </w:tcBorders>
                  <w:shd w:val="clear" w:color="auto" w:fill="auto"/>
                  <w:vAlign w:val="center"/>
                  <w:hideMark/>
                </w:tcPr>
                <w:p w14:paraId="3D05972B"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FÚ</w:t>
                  </w:r>
                </w:p>
              </w:tc>
            </w:tr>
            <w:tr w:rsidR="00B8664F" w:rsidRPr="00902DCC" w14:paraId="17F8C3E2" w14:textId="77777777" w:rsidTr="00902DCC">
              <w:trPr>
                <w:trHeight w:val="183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00079B38"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235/2004 Sb., o dani z přidané hodnoty,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3EDA543D"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tcBorders>
                    <w:top w:val="nil"/>
                    <w:left w:val="nil"/>
                    <w:bottom w:val="single" w:sz="8" w:space="0" w:color="auto"/>
                    <w:right w:val="single" w:sz="8" w:space="0" w:color="auto"/>
                  </w:tcBorders>
                  <w:shd w:val="clear" w:color="auto" w:fill="auto"/>
                  <w:vAlign w:val="center"/>
                  <w:hideMark/>
                </w:tcPr>
                <w:p w14:paraId="58DE7809"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 xml:space="preserve">Cílem změny zákona o dani z přidané hodnoty je implementovat unijní úpravu směrnice Rady (EU), kterými se mění směrnice 2006/112/ES o společném systému daně z přidané hodnoty. Jde o směrnici Rady (EU) 2020/285, která upravuje zvláštní režim pro malé podniky a směrnici Rady (EU) 2022/542, pokud jde o sazby daně z přidané hodnoty. </w:t>
                  </w:r>
                </w:p>
              </w:tc>
              <w:tc>
                <w:tcPr>
                  <w:tcW w:w="1020" w:type="dxa"/>
                  <w:tcBorders>
                    <w:top w:val="nil"/>
                    <w:left w:val="nil"/>
                    <w:bottom w:val="single" w:sz="8" w:space="0" w:color="auto"/>
                    <w:right w:val="single" w:sz="4" w:space="0" w:color="auto"/>
                  </w:tcBorders>
                  <w:shd w:val="clear" w:color="auto" w:fill="auto"/>
                  <w:vAlign w:val="center"/>
                  <w:hideMark/>
                </w:tcPr>
                <w:p w14:paraId="69AFCA82"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FÚ</w:t>
                  </w:r>
                </w:p>
              </w:tc>
            </w:tr>
            <w:tr w:rsidR="00B8664F" w:rsidRPr="00902DCC" w14:paraId="4FEA9CBF" w14:textId="77777777" w:rsidTr="00902DCC">
              <w:trPr>
                <w:trHeight w:val="297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3D7F62BC"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526/1990 Sb., o cenách, ve znění pozdějších předpisů, a zákon č. 265/1991 Sb., o působnosti orgánů České republiky v oblasti cen,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5AFB9186"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tcBorders>
                    <w:top w:val="nil"/>
                    <w:left w:val="nil"/>
                    <w:bottom w:val="single" w:sz="8" w:space="0" w:color="auto"/>
                    <w:right w:val="single" w:sz="8" w:space="0" w:color="auto"/>
                  </w:tcBorders>
                  <w:shd w:val="clear" w:color="auto" w:fill="auto"/>
                  <w:vAlign w:val="center"/>
                  <w:hideMark/>
                </w:tcPr>
                <w:p w14:paraId="000AA99C"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navrhovaného právního předpisu je odstranění stávajících nepřesností právní úpravy v některých ustanoveních. Stávající právní úprava obsahuje několik ustanovení, která již vyšla z užívání a pro lepší přehlednost je nutné je ze zákona vyřadit. Dále stávající právní úprava cenové agendy a regulace cen vykazuje nepřesnosti, které způsobují nejasnosti v aplikační praxi. Podle zákona o působnosti v oblasti cen dále existuje překrývající se působnost některých cenových orgánů a cenových kontrolních orgánů, což je jev, který je podle judikatury Nejvyššího správního soudu nutné označit za jev nežádoucí.</w:t>
                  </w:r>
                </w:p>
              </w:tc>
              <w:tc>
                <w:tcPr>
                  <w:tcW w:w="1020" w:type="dxa"/>
                  <w:tcBorders>
                    <w:top w:val="nil"/>
                    <w:left w:val="nil"/>
                    <w:bottom w:val="single" w:sz="8" w:space="0" w:color="auto"/>
                    <w:right w:val="single" w:sz="4" w:space="0" w:color="auto"/>
                  </w:tcBorders>
                  <w:shd w:val="clear" w:color="auto" w:fill="auto"/>
                  <w:vAlign w:val="center"/>
                  <w:hideMark/>
                </w:tcPr>
                <w:p w14:paraId="341976AD"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FÚ</w:t>
                  </w:r>
                </w:p>
              </w:tc>
            </w:tr>
            <w:tr w:rsidR="00B8664F" w:rsidRPr="00902DCC" w14:paraId="74725EC6" w14:textId="77777777" w:rsidTr="00902DCC">
              <w:trPr>
                <w:trHeight w:val="1608"/>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768C20F4"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480/2004 Sb., o některých službách informační společnosti a o změně některých zákonů (zákon o některých službách informační společnosti), ve znění pozdějších předpisů</w:t>
                  </w:r>
                </w:p>
              </w:tc>
              <w:tc>
                <w:tcPr>
                  <w:tcW w:w="960" w:type="dxa"/>
                  <w:tcBorders>
                    <w:top w:val="nil"/>
                    <w:left w:val="nil"/>
                    <w:bottom w:val="single" w:sz="8" w:space="0" w:color="auto"/>
                    <w:right w:val="single" w:sz="8" w:space="0" w:color="auto"/>
                  </w:tcBorders>
                  <w:shd w:val="clear" w:color="auto" w:fill="auto"/>
                  <w:noWrap/>
                  <w:vAlign w:val="center"/>
                  <w:hideMark/>
                </w:tcPr>
                <w:p w14:paraId="78D91B1C"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I.23</w:t>
                  </w:r>
                </w:p>
              </w:tc>
              <w:tc>
                <w:tcPr>
                  <w:tcW w:w="4660" w:type="dxa"/>
                  <w:tcBorders>
                    <w:top w:val="nil"/>
                    <w:left w:val="nil"/>
                    <w:bottom w:val="single" w:sz="8" w:space="0" w:color="auto"/>
                    <w:right w:val="single" w:sz="8" w:space="0" w:color="auto"/>
                  </w:tcBorders>
                  <w:shd w:val="clear" w:color="auto" w:fill="auto"/>
                  <w:vAlign w:val="center"/>
                  <w:hideMark/>
                </w:tcPr>
                <w:p w14:paraId="3BF205B8"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Cílem návrhu zákona je splnit požadavky na adaptací nařízení Evropského parlamentu a Rady (EU) 2022/868 ze dne 30. května 2022 o evropské správě dat a o změně nařízení (EU) 2018/1724 (akt o správě dat) do českého právního řádu.</w:t>
                  </w:r>
                </w:p>
              </w:tc>
              <w:tc>
                <w:tcPr>
                  <w:tcW w:w="1020" w:type="dxa"/>
                  <w:tcBorders>
                    <w:top w:val="nil"/>
                    <w:left w:val="nil"/>
                    <w:bottom w:val="single" w:sz="8" w:space="0" w:color="auto"/>
                    <w:right w:val="single" w:sz="4" w:space="0" w:color="auto"/>
                  </w:tcBorders>
                  <w:shd w:val="clear" w:color="auto" w:fill="auto"/>
                  <w:vAlign w:val="center"/>
                  <w:hideMark/>
                </w:tcPr>
                <w:p w14:paraId="4ED24A1F"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bCs/>
                      <w:color w:val="000000"/>
                      <w:sz w:val="18"/>
                      <w:szCs w:val="18"/>
                      <w:lang w:eastAsia="cs-CZ"/>
                    </w:rPr>
                    <w:t>OPS</w:t>
                  </w:r>
                </w:p>
              </w:tc>
            </w:tr>
            <w:tr w:rsidR="00B8664F" w:rsidRPr="00902DCC" w14:paraId="0325282F" w14:textId="77777777" w:rsidTr="00902DCC">
              <w:trPr>
                <w:trHeight w:val="69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62AAD820"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Věcný záměr zákona o působnosti Správy státních hmotných rezerv</w:t>
                  </w:r>
                </w:p>
              </w:tc>
              <w:tc>
                <w:tcPr>
                  <w:tcW w:w="960" w:type="dxa"/>
                  <w:tcBorders>
                    <w:top w:val="nil"/>
                    <w:left w:val="nil"/>
                    <w:bottom w:val="single" w:sz="8" w:space="0" w:color="auto"/>
                    <w:right w:val="single" w:sz="8" w:space="0" w:color="auto"/>
                  </w:tcBorders>
                  <w:shd w:val="clear" w:color="auto" w:fill="auto"/>
                  <w:noWrap/>
                  <w:vAlign w:val="center"/>
                  <w:hideMark/>
                </w:tcPr>
                <w:p w14:paraId="4F3229C0"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III.23</w:t>
                  </w:r>
                </w:p>
              </w:tc>
              <w:tc>
                <w:tcPr>
                  <w:tcW w:w="4660" w:type="dxa"/>
                  <w:tcBorders>
                    <w:top w:val="nil"/>
                    <w:left w:val="nil"/>
                    <w:bottom w:val="single" w:sz="8" w:space="0" w:color="auto"/>
                    <w:right w:val="single" w:sz="8" w:space="0" w:color="auto"/>
                  </w:tcBorders>
                  <w:shd w:val="clear" w:color="auto" w:fill="auto"/>
                  <w:vAlign w:val="center"/>
                  <w:hideMark/>
                </w:tcPr>
                <w:p w14:paraId="52789AB1"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úpravy je nastavit novou zákonnou úpravu pro fungování Správy státních hmotných rezerv a obecně i pro státní hmotné rezervy.</w:t>
                  </w:r>
                </w:p>
              </w:tc>
              <w:tc>
                <w:tcPr>
                  <w:tcW w:w="1020" w:type="dxa"/>
                  <w:tcBorders>
                    <w:top w:val="nil"/>
                    <w:left w:val="nil"/>
                    <w:bottom w:val="single" w:sz="8" w:space="0" w:color="auto"/>
                    <w:right w:val="single" w:sz="4" w:space="0" w:color="auto"/>
                  </w:tcBorders>
                  <w:shd w:val="clear" w:color="auto" w:fill="auto"/>
                  <w:vAlign w:val="center"/>
                  <w:hideMark/>
                </w:tcPr>
                <w:p w14:paraId="77D36060"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OPS + OÚ</w:t>
                  </w:r>
                </w:p>
              </w:tc>
            </w:tr>
            <w:tr w:rsidR="00B8664F" w:rsidRPr="00902DCC" w14:paraId="06BEE78C" w14:textId="77777777" w:rsidTr="00902DCC">
              <w:trPr>
                <w:trHeight w:val="1608"/>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4383365E"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nařízení vlády o stanovení prostředků státního rozpočtu podle § 28 odst. 3 zákona o podporovaných zdrojích energie pro rok 2024</w:t>
                  </w:r>
                </w:p>
              </w:tc>
              <w:tc>
                <w:tcPr>
                  <w:tcW w:w="960" w:type="dxa"/>
                  <w:tcBorders>
                    <w:top w:val="nil"/>
                    <w:left w:val="nil"/>
                    <w:bottom w:val="single" w:sz="8" w:space="0" w:color="auto"/>
                    <w:right w:val="single" w:sz="8" w:space="0" w:color="auto"/>
                  </w:tcBorders>
                  <w:shd w:val="clear" w:color="auto" w:fill="auto"/>
                  <w:noWrap/>
                  <w:vAlign w:val="center"/>
                  <w:hideMark/>
                </w:tcPr>
                <w:p w14:paraId="1BC97CD5"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VIII.23</w:t>
                  </w:r>
                </w:p>
              </w:tc>
              <w:tc>
                <w:tcPr>
                  <w:tcW w:w="4660" w:type="dxa"/>
                  <w:tcBorders>
                    <w:top w:val="nil"/>
                    <w:left w:val="nil"/>
                    <w:bottom w:val="single" w:sz="8" w:space="0" w:color="auto"/>
                    <w:right w:val="single" w:sz="8" w:space="0" w:color="auto"/>
                  </w:tcBorders>
                  <w:shd w:val="clear" w:color="auto" w:fill="auto"/>
                  <w:vAlign w:val="center"/>
                  <w:hideMark/>
                </w:tcPr>
                <w:p w14:paraId="1BC6C934"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Cílem návrhu je stanovení prostředků státního rozpočtu pro poskytnutí dotace na podporu elektřiny z obnovitelných zdrojů, druhotných zdrojů a vysokoúčinné kombinované výroby elektřiny a tepla na provozní podporu tepla na rok 2024. Cílem je zajištění financování provozní podpory pro uvedené podporované zdroje energie.</w:t>
                  </w:r>
                </w:p>
              </w:tc>
              <w:tc>
                <w:tcPr>
                  <w:tcW w:w="1020" w:type="dxa"/>
                  <w:tcBorders>
                    <w:top w:val="nil"/>
                    <w:left w:val="nil"/>
                    <w:bottom w:val="single" w:sz="8" w:space="0" w:color="auto"/>
                    <w:right w:val="single" w:sz="4" w:space="0" w:color="auto"/>
                  </w:tcBorders>
                  <w:shd w:val="clear" w:color="auto" w:fill="auto"/>
                  <w:vAlign w:val="center"/>
                  <w:hideMark/>
                </w:tcPr>
                <w:p w14:paraId="342190DB" w14:textId="76EF5384" w:rsidR="00B8664F" w:rsidRPr="00902DCC" w:rsidRDefault="00FF02DB"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OAE</w:t>
                  </w:r>
                </w:p>
              </w:tc>
            </w:tr>
            <w:tr w:rsidR="00B8664F" w:rsidRPr="00902DCC" w14:paraId="3042583B" w14:textId="77777777" w:rsidTr="00902DCC">
              <w:trPr>
                <w:trHeight w:val="69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64C58BFF"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energetického zákona</w:t>
                  </w:r>
                </w:p>
              </w:tc>
              <w:tc>
                <w:tcPr>
                  <w:tcW w:w="960" w:type="dxa"/>
                  <w:tcBorders>
                    <w:top w:val="nil"/>
                    <w:left w:val="nil"/>
                    <w:bottom w:val="single" w:sz="8" w:space="0" w:color="auto"/>
                    <w:right w:val="single" w:sz="8" w:space="0" w:color="auto"/>
                  </w:tcBorders>
                  <w:shd w:val="clear" w:color="auto" w:fill="auto"/>
                  <w:noWrap/>
                  <w:vAlign w:val="center"/>
                  <w:hideMark/>
                </w:tcPr>
                <w:p w14:paraId="0998A0F0"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tcBorders>
                    <w:top w:val="nil"/>
                    <w:left w:val="nil"/>
                    <w:bottom w:val="single" w:sz="8" w:space="0" w:color="auto"/>
                    <w:right w:val="single" w:sz="8" w:space="0" w:color="auto"/>
                  </w:tcBorders>
                  <w:shd w:val="clear" w:color="auto" w:fill="auto"/>
                  <w:vAlign w:val="center"/>
                  <w:hideMark/>
                </w:tcPr>
                <w:p w14:paraId="3F62CEDC"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Zakotvení komunitní energetiky v národní legislativě, posílení ochrany spotřebitelů a dohledu státu nad energetickým trhem.</w:t>
                  </w:r>
                </w:p>
              </w:tc>
              <w:tc>
                <w:tcPr>
                  <w:tcW w:w="1020" w:type="dxa"/>
                  <w:tcBorders>
                    <w:top w:val="nil"/>
                    <w:left w:val="nil"/>
                    <w:bottom w:val="single" w:sz="8" w:space="0" w:color="auto"/>
                    <w:right w:val="single" w:sz="4" w:space="0" w:color="auto"/>
                  </w:tcBorders>
                  <w:shd w:val="clear" w:color="auto" w:fill="auto"/>
                  <w:vAlign w:val="center"/>
                  <w:hideMark/>
                </w:tcPr>
                <w:p w14:paraId="4CA6A630" w14:textId="51E1BDE9" w:rsidR="00B8664F" w:rsidRPr="00902DCC" w:rsidRDefault="00FF02DB"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OEA</w:t>
                  </w:r>
                </w:p>
              </w:tc>
            </w:tr>
            <w:tr w:rsidR="00B8664F" w:rsidRPr="00902DCC" w14:paraId="724980EF" w14:textId="77777777" w:rsidTr="00902DCC">
              <w:trPr>
                <w:trHeight w:val="696"/>
              </w:trPr>
              <w:tc>
                <w:tcPr>
                  <w:tcW w:w="2880" w:type="dxa"/>
                  <w:tcBorders>
                    <w:top w:val="nil"/>
                    <w:left w:val="single" w:sz="4" w:space="0" w:color="auto"/>
                    <w:bottom w:val="single" w:sz="8" w:space="0" w:color="auto"/>
                    <w:right w:val="single" w:sz="8" w:space="0" w:color="auto"/>
                  </w:tcBorders>
                  <w:shd w:val="clear" w:color="auto" w:fill="auto"/>
                  <w:vAlign w:val="center"/>
                  <w:hideMark/>
                </w:tcPr>
                <w:p w14:paraId="7C3F8C46"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lastRenderedPageBreak/>
                    <w:t>Návrh klimatického zákona</w:t>
                  </w:r>
                </w:p>
              </w:tc>
              <w:tc>
                <w:tcPr>
                  <w:tcW w:w="960" w:type="dxa"/>
                  <w:tcBorders>
                    <w:top w:val="nil"/>
                    <w:left w:val="nil"/>
                    <w:bottom w:val="single" w:sz="8" w:space="0" w:color="auto"/>
                    <w:right w:val="single" w:sz="8" w:space="0" w:color="auto"/>
                  </w:tcBorders>
                  <w:shd w:val="clear" w:color="auto" w:fill="auto"/>
                  <w:noWrap/>
                  <w:vAlign w:val="center"/>
                  <w:hideMark/>
                </w:tcPr>
                <w:p w14:paraId="2CF54627"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XII.23</w:t>
                  </w:r>
                </w:p>
              </w:tc>
              <w:tc>
                <w:tcPr>
                  <w:tcW w:w="4660" w:type="dxa"/>
                  <w:tcBorders>
                    <w:top w:val="nil"/>
                    <w:left w:val="nil"/>
                    <w:bottom w:val="single" w:sz="8" w:space="0" w:color="auto"/>
                    <w:right w:val="single" w:sz="8" w:space="0" w:color="auto"/>
                  </w:tcBorders>
                  <w:shd w:val="clear" w:color="auto" w:fill="auto"/>
                  <w:vAlign w:val="center"/>
                  <w:hideMark/>
                </w:tcPr>
                <w:p w14:paraId="58910F39"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Zjednodušit a urychlit povolovací procesy v energetice s cílem zjednodušit přechod k nízkouhlíkové energetice.</w:t>
                  </w:r>
                </w:p>
              </w:tc>
              <w:tc>
                <w:tcPr>
                  <w:tcW w:w="1020" w:type="dxa"/>
                  <w:tcBorders>
                    <w:top w:val="nil"/>
                    <w:left w:val="nil"/>
                    <w:bottom w:val="single" w:sz="8" w:space="0" w:color="auto"/>
                    <w:right w:val="single" w:sz="4" w:space="0" w:color="auto"/>
                  </w:tcBorders>
                  <w:shd w:val="clear" w:color="auto" w:fill="auto"/>
                  <w:vAlign w:val="center"/>
                  <w:hideMark/>
                </w:tcPr>
                <w:p w14:paraId="5001DB5E" w14:textId="2AAE94C5" w:rsidR="00B8664F" w:rsidRPr="00902DCC" w:rsidRDefault="00FF02DB"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OEA</w:t>
                  </w:r>
                </w:p>
              </w:tc>
            </w:tr>
            <w:tr w:rsidR="00B8664F" w:rsidRPr="00902DCC" w14:paraId="072673DB" w14:textId="77777777" w:rsidTr="00902DCC">
              <w:trPr>
                <w:trHeight w:val="2280"/>
              </w:trPr>
              <w:tc>
                <w:tcPr>
                  <w:tcW w:w="2880" w:type="dxa"/>
                  <w:tcBorders>
                    <w:top w:val="nil"/>
                    <w:left w:val="single" w:sz="4" w:space="0" w:color="auto"/>
                    <w:bottom w:val="single" w:sz="4" w:space="0" w:color="auto"/>
                    <w:right w:val="single" w:sz="8" w:space="0" w:color="auto"/>
                  </w:tcBorders>
                  <w:shd w:val="clear" w:color="auto" w:fill="auto"/>
                  <w:vAlign w:val="center"/>
                </w:tcPr>
                <w:p w14:paraId="28C690BE" w14:textId="4D86113F"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Návrh zákona, kterým se mění zákon č. 150/2002 Sb., soudní řád správní, ve znění pozdějších předpisů</w:t>
                  </w:r>
                </w:p>
              </w:tc>
              <w:tc>
                <w:tcPr>
                  <w:tcW w:w="960" w:type="dxa"/>
                  <w:tcBorders>
                    <w:top w:val="nil"/>
                    <w:left w:val="nil"/>
                    <w:bottom w:val="single" w:sz="4" w:space="0" w:color="auto"/>
                    <w:right w:val="single" w:sz="8" w:space="0" w:color="auto"/>
                  </w:tcBorders>
                  <w:shd w:val="clear" w:color="auto" w:fill="auto"/>
                  <w:noWrap/>
                  <w:vAlign w:val="center"/>
                </w:tcPr>
                <w:p w14:paraId="64AB8603" w14:textId="2B508F8E"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12.23</w:t>
                  </w:r>
                </w:p>
              </w:tc>
              <w:tc>
                <w:tcPr>
                  <w:tcW w:w="4660" w:type="dxa"/>
                  <w:tcBorders>
                    <w:top w:val="nil"/>
                    <w:left w:val="nil"/>
                    <w:bottom w:val="single" w:sz="4" w:space="0" w:color="auto"/>
                    <w:right w:val="single" w:sz="8" w:space="0" w:color="auto"/>
                  </w:tcBorders>
                  <w:shd w:val="clear" w:color="auto" w:fill="auto"/>
                  <w:vAlign w:val="center"/>
                </w:tcPr>
                <w:p w14:paraId="23411BC0" w14:textId="4CA0031E"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 xml:space="preserve">Cílem předpisu je aktualizovat a zmodernizovat soudní řád správní tak, aby řízení ve správním soudnictví bylo efektivnější a došlo k odbřemenění správních soudů. </w:t>
                  </w:r>
                </w:p>
              </w:tc>
              <w:tc>
                <w:tcPr>
                  <w:tcW w:w="1020" w:type="dxa"/>
                  <w:tcBorders>
                    <w:top w:val="nil"/>
                    <w:left w:val="nil"/>
                    <w:bottom w:val="single" w:sz="4" w:space="0" w:color="auto"/>
                    <w:right w:val="single" w:sz="4" w:space="0" w:color="auto"/>
                  </w:tcBorders>
                  <w:shd w:val="clear" w:color="auto" w:fill="auto"/>
                  <w:vAlign w:val="center"/>
                </w:tcPr>
                <w:p w14:paraId="13D2557E" w14:textId="5D3D6AE3"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OPS</w:t>
                  </w:r>
                </w:p>
              </w:tc>
            </w:tr>
            <w:tr w:rsidR="00B8664F" w:rsidRPr="00902DCC" w14:paraId="0C011CCC" w14:textId="77777777" w:rsidTr="00B8664F">
              <w:trPr>
                <w:trHeight w:val="2280"/>
              </w:trPr>
              <w:tc>
                <w:tcPr>
                  <w:tcW w:w="2880" w:type="dxa"/>
                  <w:tcBorders>
                    <w:top w:val="nil"/>
                    <w:left w:val="single" w:sz="4" w:space="0" w:color="auto"/>
                    <w:bottom w:val="single" w:sz="4" w:space="0" w:color="auto"/>
                    <w:right w:val="single" w:sz="8" w:space="0" w:color="auto"/>
                  </w:tcBorders>
                  <w:shd w:val="clear" w:color="auto" w:fill="auto"/>
                  <w:vAlign w:val="center"/>
                  <w:hideMark/>
                </w:tcPr>
                <w:p w14:paraId="08E43E39"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Návrh zákona, kterým se mění zákon č. 201/2012 Sb., o ochraně ovzduší, ve znění pozdějších předpisů</w:t>
                  </w:r>
                </w:p>
              </w:tc>
              <w:tc>
                <w:tcPr>
                  <w:tcW w:w="960" w:type="dxa"/>
                  <w:tcBorders>
                    <w:top w:val="nil"/>
                    <w:left w:val="nil"/>
                    <w:bottom w:val="single" w:sz="4" w:space="0" w:color="auto"/>
                    <w:right w:val="single" w:sz="8" w:space="0" w:color="auto"/>
                  </w:tcBorders>
                  <w:shd w:val="clear" w:color="auto" w:fill="auto"/>
                  <w:noWrap/>
                  <w:vAlign w:val="center"/>
                  <w:hideMark/>
                </w:tcPr>
                <w:p w14:paraId="3733CBAD" w14:textId="77777777"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VI.23</w:t>
                  </w:r>
                </w:p>
              </w:tc>
              <w:tc>
                <w:tcPr>
                  <w:tcW w:w="4660" w:type="dxa"/>
                  <w:tcBorders>
                    <w:top w:val="nil"/>
                    <w:left w:val="nil"/>
                    <w:bottom w:val="single" w:sz="4" w:space="0" w:color="auto"/>
                    <w:right w:val="single" w:sz="8" w:space="0" w:color="auto"/>
                  </w:tcBorders>
                  <w:shd w:val="clear" w:color="auto" w:fill="auto"/>
                  <w:vAlign w:val="center"/>
                  <w:hideMark/>
                </w:tcPr>
                <w:p w14:paraId="591983D0"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Komplexní novela zákona o ochraně ovzduší je zpracována v návaznosti na usnesení vlády ze dne 16. prosince 2019 č. 917, kterým byla schválena aktualizace Národního programu snižování emisí České republiky. Kromě plnění úkolu ze zmíněného usnesení vlády bude jejím obsahem reakce na praktické poznatky z aplikace zákona (např. úprava přílohy č. 2 k zákonu) a na další potřeby v dané oblasti (např. snižování administrativní zátěže a digitalizace).</w:t>
                  </w:r>
                </w:p>
              </w:tc>
              <w:tc>
                <w:tcPr>
                  <w:tcW w:w="1020" w:type="dxa"/>
                  <w:tcBorders>
                    <w:top w:val="nil"/>
                    <w:left w:val="nil"/>
                    <w:bottom w:val="single" w:sz="4" w:space="0" w:color="auto"/>
                    <w:right w:val="single" w:sz="4" w:space="0" w:color="auto"/>
                  </w:tcBorders>
                  <w:shd w:val="clear" w:color="auto" w:fill="auto"/>
                  <w:vAlign w:val="center"/>
                  <w:hideMark/>
                </w:tcPr>
                <w:p w14:paraId="42E2A5D8" w14:textId="77777777"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902DCC">
                    <w:rPr>
                      <w:rFonts w:ascii="Arial" w:eastAsia="Times New Roman" w:hAnsi="Arial" w:cs="Arial"/>
                      <w:b w:val="0"/>
                      <w:color w:val="000000"/>
                      <w:sz w:val="18"/>
                      <w:szCs w:val="18"/>
                      <w:lang w:eastAsia="cs-CZ"/>
                    </w:rPr>
                    <w:t>OHSE</w:t>
                  </w:r>
                </w:p>
              </w:tc>
            </w:tr>
            <w:tr w:rsidR="00B8664F" w:rsidRPr="00902DCC" w14:paraId="05BF1E9F" w14:textId="77777777" w:rsidTr="00B8664F">
              <w:trPr>
                <w:trHeight w:val="228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622A508" w14:textId="561D2020"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Návrh nařízení vlády, kterým se mění nařízení vlády č. 307/2014 Sb., o stanovení podrobností evidence využití půdy podle uživatelských vztahů, ve znění pozdějších předpisů</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20012" w14:textId="36665D98" w:rsidR="00B8664F" w:rsidRPr="00902DCC"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03.23</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4569760D" w14:textId="10214E43"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Cílem návrhu nařízení vlády je úprava systému evidence využití půdy podle uživatelských vztahů (LPIS) vyplývající ze Strategického plánu Společné zemědělské politiky EU pro období let 2023 až 2027 v České republice a podle nových předpisů EU v této oblasti.</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9E29D72" w14:textId="691CC34A" w:rsidR="00B8664F" w:rsidRPr="00902DCC"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OESN</w:t>
                  </w:r>
                </w:p>
              </w:tc>
            </w:tr>
            <w:tr w:rsidR="00B8664F" w:rsidRPr="00902DCC" w14:paraId="40D43368" w14:textId="77777777" w:rsidTr="00B8664F">
              <w:trPr>
                <w:trHeight w:val="228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754D424" w14:textId="6F8C82D7" w:rsidR="00B8664F" w:rsidRPr="00B8664F"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Návrh nařízení vlády o stanovení geodetických referenčních systémů závazných na území státu, databází geodetických a geografických údajů a státních mapových děl vytvářených pro celé území státu a zásadách jejich používání</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46784" w14:textId="77777777" w:rsidR="00B8664F" w:rsidRPr="00B8664F" w:rsidRDefault="00B8664F" w:rsidP="009E03E7">
                  <w:pPr>
                    <w:framePr w:hSpace="141" w:wrap="around" w:vAnchor="text" w:hAnchor="text" w:y="1"/>
                    <w:suppressOverlap/>
                    <w:jc w:val="center"/>
                    <w:rPr>
                      <w:rFonts w:ascii="Arial" w:eastAsia="Times New Roman" w:hAnsi="Arial" w:cs="Arial"/>
                      <w:b w:val="0"/>
                      <w:color w:val="000000"/>
                      <w:sz w:val="18"/>
                      <w:szCs w:val="18"/>
                      <w:lang w:eastAsia="cs-CZ"/>
                    </w:rPr>
                  </w:pPr>
                </w:p>
                <w:p w14:paraId="7E842511" w14:textId="77777777" w:rsidR="00B8664F" w:rsidRPr="00B8664F" w:rsidRDefault="00B8664F" w:rsidP="009E03E7">
                  <w:pPr>
                    <w:framePr w:hSpace="141" w:wrap="around" w:vAnchor="text" w:hAnchor="text" w:y="1"/>
                    <w:suppressOverlap/>
                    <w:jc w:val="center"/>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04.23</w:t>
                  </w:r>
                </w:p>
                <w:p w14:paraId="7C5B2BC3" w14:textId="77777777" w:rsidR="00B8664F" w:rsidRPr="00B8664F" w:rsidRDefault="00B8664F" w:rsidP="009E03E7">
                  <w:pPr>
                    <w:framePr w:hSpace="141" w:wrap="around" w:vAnchor="text" w:hAnchor="text" w:y="1"/>
                    <w:spacing w:line="240" w:lineRule="auto"/>
                    <w:suppressOverlap/>
                    <w:jc w:val="center"/>
                    <w:rPr>
                      <w:rFonts w:ascii="Arial" w:eastAsia="Times New Roman" w:hAnsi="Arial" w:cs="Arial"/>
                      <w:b w:val="0"/>
                      <w:color w:val="000000"/>
                      <w:sz w:val="18"/>
                      <w:szCs w:val="18"/>
                      <w:lang w:eastAsia="cs-CZ"/>
                    </w:rPr>
                  </w:pP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14:paraId="50AACB01" w14:textId="2E8EEF98" w:rsidR="00B8664F" w:rsidRPr="00B8664F"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sidRPr="00B8664F">
                    <w:rPr>
                      <w:rFonts w:ascii="Arial" w:eastAsia="Times New Roman" w:hAnsi="Arial" w:cs="Arial"/>
                      <w:b w:val="0"/>
                      <w:color w:val="000000"/>
                      <w:sz w:val="18"/>
                      <w:szCs w:val="18"/>
                      <w:lang w:eastAsia="cs-CZ"/>
                    </w:rPr>
                    <w:t>Cílem návrhu je zejména stanovit databáze geodetických údajů a databáze geografických údajů vytvářené pro celé území státu, včetně zásad jejich používání, reagovat na vývoj v oblasti používaných geodetických referenčních systémů a upravit výčet státních mapových děl vytvářených pro celé území státu v souladu s projektem nového státního mapového díla.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33AC63F" w14:textId="259F7785" w:rsidR="00B8664F" w:rsidRDefault="00B8664F" w:rsidP="009E03E7">
                  <w:pPr>
                    <w:framePr w:hSpace="141" w:wrap="around" w:vAnchor="text" w:hAnchor="text" w:y="1"/>
                    <w:spacing w:line="240" w:lineRule="auto"/>
                    <w:suppressOverlap/>
                    <w:rPr>
                      <w:rFonts w:ascii="Arial" w:eastAsia="Times New Roman" w:hAnsi="Arial" w:cs="Arial"/>
                      <w:b w:val="0"/>
                      <w:color w:val="000000"/>
                      <w:sz w:val="18"/>
                      <w:szCs w:val="18"/>
                      <w:lang w:eastAsia="cs-CZ"/>
                    </w:rPr>
                  </w:pPr>
                  <w:r>
                    <w:rPr>
                      <w:rFonts w:ascii="Arial" w:eastAsia="Times New Roman" w:hAnsi="Arial" w:cs="Arial"/>
                      <w:b w:val="0"/>
                      <w:color w:val="000000"/>
                      <w:sz w:val="18"/>
                      <w:szCs w:val="18"/>
                      <w:lang w:eastAsia="cs-CZ"/>
                    </w:rPr>
                    <w:t>OESN</w:t>
                  </w:r>
                </w:p>
              </w:tc>
            </w:tr>
          </w:tbl>
          <w:p w14:paraId="710E2DBD" w14:textId="61A3D6F0" w:rsidR="00902DCC" w:rsidRPr="00902DCC" w:rsidRDefault="00902DCC" w:rsidP="00902DCC">
            <w:pPr>
              <w:tabs>
                <w:tab w:val="left" w:pos="3696"/>
              </w:tabs>
              <w:rPr>
                <w:rFonts w:ascii="Arial" w:eastAsia="Times New Roman" w:hAnsi="Arial" w:cs="Arial"/>
                <w:sz w:val="20"/>
                <w:szCs w:val="20"/>
                <w:lang w:eastAsia="cs-CZ"/>
              </w:rPr>
            </w:pPr>
          </w:p>
        </w:tc>
      </w:tr>
      <w:tr w:rsidR="00F75ED7" w:rsidRPr="005078C0" w14:paraId="68237412" w14:textId="77777777" w:rsidTr="00DA4CC0">
        <w:trPr>
          <w:trHeight w:val="5931"/>
        </w:trPr>
        <w:tc>
          <w:tcPr>
            <w:tcW w:w="9923" w:type="dxa"/>
            <w:shd w:val="clear" w:color="auto" w:fill="auto"/>
          </w:tcPr>
          <w:p w14:paraId="30AC96D7" w14:textId="4DDB4A6C" w:rsidR="00F75ED7" w:rsidRPr="005078C0" w:rsidRDefault="00F75ED7" w:rsidP="00DC282C">
            <w:pPr>
              <w:pStyle w:val="Bezmezer"/>
              <w:spacing w:line="360" w:lineRule="auto"/>
              <w:rPr>
                <w:rFonts w:ascii="Arial" w:hAnsi="Arial" w:cs="Arial"/>
                <w:b/>
                <w:color w:val="0F0D29" w:themeColor="text1"/>
              </w:rPr>
            </w:pP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36AC9AAC" w14:textId="7815864D"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5D3EB1F1"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64F25"/>
    <w:multiLevelType w:val="hybridMultilevel"/>
    <w:tmpl w:val="7BCCD07A"/>
    <w:lvl w:ilvl="0" w:tplc="6EDC5B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011B5"/>
    <w:multiLevelType w:val="hybridMultilevel"/>
    <w:tmpl w:val="F146A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83C3D"/>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01DD0"/>
    <w:multiLevelType w:val="hybridMultilevel"/>
    <w:tmpl w:val="72CC586C"/>
    <w:lvl w:ilvl="0" w:tplc="1F0688C0">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8271C7"/>
    <w:multiLevelType w:val="hybridMultilevel"/>
    <w:tmpl w:val="8364F42C"/>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B120CB"/>
    <w:multiLevelType w:val="hybridMultilevel"/>
    <w:tmpl w:val="AB3251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8C5629"/>
    <w:multiLevelType w:val="hybridMultilevel"/>
    <w:tmpl w:val="5B043B58"/>
    <w:lvl w:ilvl="0" w:tplc="3300FD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8D71E2"/>
    <w:multiLevelType w:val="hybridMultilevel"/>
    <w:tmpl w:val="F4E8EE3C"/>
    <w:lvl w:ilvl="0" w:tplc="E092C6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3082195"/>
    <w:multiLevelType w:val="hybridMultilevel"/>
    <w:tmpl w:val="3E163C2A"/>
    <w:lvl w:ilvl="0" w:tplc="4732BC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145A7"/>
    <w:multiLevelType w:val="hybridMultilevel"/>
    <w:tmpl w:val="11C07888"/>
    <w:lvl w:ilvl="0" w:tplc="F29CF5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9D745B"/>
    <w:multiLevelType w:val="hybridMultilevel"/>
    <w:tmpl w:val="781681D0"/>
    <w:lvl w:ilvl="0" w:tplc="96744BE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3D4966"/>
    <w:multiLevelType w:val="hybridMultilevel"/>
    <w:tmpl w:val="AB3251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784101"/>
    <w:multiLevelType w:val="hybridMultilevel"/>
    <w:tmpl w:val="AB3251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523A4C"/>
    <w:multiLevelType w:val="hybridMultilevel"/>
    <w:tmpl w:val="8C8ECFAC"/>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E11066"/>
    <w:multiLevelType w:val="hybridMultilevel"/>
    <w:tmpl w:val="A87299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043BD5"/>
    <w:multiLevelType w:val="hybridMultilevel"/>
    <w:tmpl w:val="98882F96"/>
    <w:lvl w:ilvl="0" w:tplc="C90C4C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6D6380"/>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FF516D"/>
    <w:multiLevelType w:val="hybridMultilevel"/>
    <w:tmpl w:val="FAC4C850"/>
    <w:lvl w:ilvl="0" w:tplc="38D0D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94622E"/>
    <w:multiLevelType w:val="hybridMultilevel"/>
    <w:tmpl w:val="891A4DF6"/>
    <w:lvl w:ilvl="0" w:tplc="2AB83078">
      <w:start w:val="1"/>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D14A67"/>
    <w:multiLevelType w:val="hybridMultilevel"/>
    <w:tmpl w:val="C5C0DDE0"/>
    <w:lvl w:ilvl="0" w:tplc="41968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03E65C8"/>
    <w:multiLevelType w:val="hybridMultilevel"/>
    <w:tmpl w:val="D83273B6"/>
    <w:lvl w:ilvl="0" w:tplc="2AB83078">
      <w:start w:val="1"/>
      <w:numFmt w:val="bullet"/>
      <w:lvlText w:val="-"/>
      <w:lvlJc w:val="left"/>
      <w:pPr>
        <w:ind w:left="107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183146"/>
    <w:multiLevelType w:val="hybridMultilevel"/>
    <w:tmpl w:val="409063F8"/>
    <w:lvl w:ilvl="0" w:tplc="9CEA5C82">
      <w:start w:val="1"/>
      <w:numFmt w:val="bullet"/>
      <w:lvlText w:val="-"/>
      <w:lvlJc w:val="left"/>
      <w:pPr>
        <w:ind w:left="720" w:hanging="360"/>
      </w:pPr>
      <w:rPr>
        <w:rFonts w:ascii="Verdana" w:eastAsia="Times New Roman" w:hAnsi="Verdana" w:cs="Times New Roman" w:hint="default"/>
        <w:color w:val="333333"/>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96922C8"/>
    <w:multiLevelType w:val="hybridMultilevel"/>
    <w:tmpl w:val="3BC8D28E"/>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DF59C7"/>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086D5E"/>
    <w:multiLevelType w:val="hybridMultilevel"/>
    <w:tmpl w:val="F1864140"/>
    <w:lvl w:ilvl="0" w:tplc="B29A3A5A">
      <w:start w:val="5"/>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8F3892"/>
    <w:multiLevelType w:val="hybridMultilevel"/>
    <w:tmpl w:val="50428228"/>
    <w:lvl w:ilvl="0" w:tplc="7D16485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6"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8" w15:restartNumberingAfterBreak="0">
    <w:nsid w:val="7773407F"/>
    <w:multiLevelType w:val="hybridMultilevel"/>
    <w:tmpl w:val="A0D0FA5E"/>
    <w:lvl w:ilvl="0" w:tplc="8118F1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32"/>
  </w:num>
  <w:num w:numId="2" w16cid:durableId="1234467224">
    <w:abstractNumId w:val="28"/>
  </w:num>
  <w:num w:numId="3" w16cid:durableId="1316882545">
    <w:abstractNumId w:val="1"/>
  </w:num>
  <w:num w:numId="4" w16cid:durableId="1408501083">
    <w:abstractNumId w:val="47"/>
  </w:num>
  <w:num w:numId="5" w16cid:durableId="1987006562">
    <w:abstractNumId w:val="45"/>
  </w:num>
  <w:num w:numId="6" w16cid:durableId="194774019">
    <w:abstractNumId w:val="23"/>
  </w:num>
  <w:num w:numId="7" w16cid:durableId="563491507">
    <w:abstractNumId w:val="26"/>
  </w:num>
  <w:num w:numId="8" w16cid:durableId="650792366">
    <w:abstractNumId w:val="49"/>
  </w:num>
  <w:num w:numId="9" w16cid:durableId="2007323265">
    <w:abstractNumId w:val="42"/>
  </w:num>
  <w:num w:numId="10" w16cid:durableId="1980718375">
    <w:abstractNumId w:val="25"/>
  </w:num>
  <w:num w:numId="11" w16cid:durableId="978419449">
    <w:abstractNumId w:val="10"/>
  </w:num>
  <w:num w:numId="12" w16cid:durableId="472135403">
    <w:abstractNumId w:val="33"/>
  </w:num>
  <w:num w:numId="13" w16cid:durableId="556088319">
    <w:abstractNumId w:val="13"/>
  </w:num>
  <w:num w:numId="14" w16cid:durableId="1766027537">
    <w:abstractNumId w:val="17"/>
  </w:num>
  <w:num w:numId="15" w16cid:durableId="940183316">
    <w:abstractNumId w:val="3"/>
  </w:num>
  <w:num w:numId="16" w16cid:durableId="791245005">
    <w:abstractNumId w:val="2"/>
  </w:num>
  <w:num w:numId="17" w16cid:durableId="1453746361">
    <w:abstractNumId w:val="46"/>
  </w:num>
  <w:num w:numId="18" w16cid:durableId="1291470168">
    <w:abstractNumId w:val="38"/>
  </w:num>
  <w:num w:numId="19" w16cid:durableId="349111393">
    <w:abstractNumId w:val="44"/>
  </w:num>
  <w:num w:numId="20" w16cid:durableId="1817524149">
    <w:abstractNumId w:val="9"/>
  </w:num>
  <w:num w:numId="21" w16cid:durableId="1706641567">
    <w:abstractNumId w:val="0"/>
  </w:num>
  <w:num w:numId="22" w16cid:durableId="168328497">
    <w:abstractNumId w:val="11"/>
  </w:num>
  <w:num w:numId="23" w16cid:durableId="400761697">
    <w:abstractNumId w:val="29"/>
  </w:num>
  <w:num w:numId="24" w16cid:durableId="1747528821">
    <w:abstractNumId w:val="43"/>
  </w:num>
  <w:num w:numId="25" w16cid:durableId="2087726795">
    <w:abstractNumId w:val="15"/>
  </w:num>
  <w:num w:numId="26" w16cid:durableId="76219148">
    <w:abstractNumId w:val="5"/>
  </w:num>
  <w:num w:numId="27" w16cid:durableId="404573108">
    <w:abstractNumId w:val="18"/>
  </w:num>
  <w:num w:numId="28" w16cid:durableId="440417914">
    <w:abstractNumId w:val="36"/>
  </w:num>
  <w:num w:numId="29" w16cid:durableId="1133518813">
    <w:abstractNumId w:val="14"/>
  </w:num>
  <w:num w:numId="30" w16cid:durableId="751005130">
    <w:abstractNumId w:val="35"/>
  </w:num>
  <w:num w:numId="31" w16cid:durableId="2070034236">
    <w:abstractNumId w:val="48"/>
  </w:num>
  <w:num w:numId="32" w16cid:durableId="420568948">
    <w:abstractNumId w:val="4"/>
  </w:num>
  <w:num w:numId="33" w16cid:durableId="1113595515">
    <w:abstractNumId w:val="7"/>
  </w:num>
  <w:num w:numId="34" w16cid:durableId="709300616">
    <w:abstractNumId w:val="19"/>
  </w:num>
  <w:num w:numId="35" w16cid:durableId="1891644881">
    <w:abstractNumId w:val="30"/>
  </w:num>
  <w:num w:numId="36" w16cid:durableId="88241283">
    <w:abstractNumId w:val="16"/>
  </w:num>
  <w:num w:numId="37" w16cid:durableId="1727559200">
    <w:abstractNumId w:val="40"/>
  </w:num>
  <w:num w:numId="38" w16cid:durableId="557472203">
    <w:abstractNumId w:val="6"/>
  </w:num>
  <w:num w:numId="39" w16cid:durableId="1692489572">
    <w:abstractNumId w:val="27"/>
  </w:num>
  <w:num w:numId="40" w16cid:durableId="1984768947">
    <w:abstractNumId w:val="31"/>
  </w:num>
  <w:num w:numId="41" w16cid:durableId="385224302">
    <w:abstractNumId w:val="34"/>
  </w:num>
  <w:num w:numId="42" w16cid:durableId="77020232">
    <w:abstractNumId w:val="39"/>
  </w:num>
  <w:num w:numId="43" w16cid:durableId="466315875">
    <w:abstractNumId w:val="22"/>
  </w:num>
  <w:num w:numId="44" w16cid:durableId="1434937938">
    <w:abstractNumId w:val="8"/>
  </w:num>
  <w:num w:numId="45" w16cid:durableId="1745879176">
    <w:abstractNumId w:val="12"/>
  </w:num>
  <w:num w:numId="46" w16cid:durableId="286939354">
    <w:abstractNumId w:val="21"/>
  </w:num>
  <w:num w:numId="47" w16cid:durableId="425998700">
    <w:abstractNumId w:val="20"/>
  </w:num>
  <w:num w:numId="48" w16cid:durableId="1275210103">
    <w:abstractNumId w:val="41"/>
  </w:num>
  <w:num w:numId="49" w16cid:durableId="435447365">
    <w:abstractNumId w:val="24"/>
  </w:num>
  <w:num w:numId="50" w16cid:durableId="21362138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21BDB"/>
    <w:rsid w:val="0002482E"/>
    <w:rsid w:val="000304BF"/>
    <w:rsid w:val="000340BB"/>
    <w:rsid w:val="00045505"/>
    <w:rsid w:val="00045D16"/>
    <w:rsid w:val="000472DA"/>
    <w:rsid w:val="00047C36"/>
    <w:rsid w:val="00050324"/>
    <w:rsid w:val="00057254"/>
    <w:rsid w:val="0007061F"/>
    <w:rsid w:val="0007093B"/>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6B8E"/>
    <w:rsid w:val="000C6CC9"/>
    <w:rsid w:val="000E1ADD"/>
    <w:rsid w:val="000E2BBE"/>
    <w:rsid w:val="000E63C9"/>
    <w:rsid w:val="000E795D"/>
    <w:rsid w:val="000F5AD4"/>
    <w:rsid w:val="000F5BA6"/>
    <w:rsid w:val="00101083"/>
    <w:rsid w:val="001168AA"/>
    <w:rsid w:val="00127DCB"/>
    <w:rsid w:val="00130E9D"/>
    <w:rsid w:val="00140D0B"/>
    <w:rsid w:val="00142E9F"/>
    <w:rsid w:val="00144F93"/>
    <w:rsid w:val="0014703E"/>
    <w:rsid w:val="00150A6D"/>
    <w:rsid w:val="001559DF"/>
    <w:rsid w:val="00160DC8"/>
    <w:rsid w:val="001625EE"/>
    <w:rsid w:val="0016474D"/>
    <w:rsid w:val="00170060"/>
    <w:rsid w:val="0018012A"/>
    <w:rsid w:val="001822B6"/>
    <w:rsid w:val="00185B35"/>
    <w:rsid w:val="00187880"/>
    <w:rsid w:val="00196F8A"/>
    <w:rsid w:val="00197363"/>
    <w:rsid w:val="001A0DC1"/>
    <w:rsid w:val="001B5353"/>
    <w:rsid w:val="001B54B1"/>
    <w:rsid w:val="001D7152"/>
    <w:rsid w:val="001E048A"/>
    <w:rsid w:val="001E4C6C"/>
    <w:rsid w:val="001E64EB"/>
    <w:rsid w:val="001F081B"/>
    <w:rsid w:val="001F2ABE"/>
    <w:rsid w:val="001F2BC8"/>
    <w:rsid w:val="001F5F6B"/>
    <w:rsid w:val="00201B03"/>
    <w:rsid w:val="002052FB"/>
    <w:rsid w:val="00220164"/>
    <w:rsid w:val="00220C5B"/>
    <w:rsid w:val="0022100C"/>
    <w:rsid w:val="00221893"/>
    <w:rsid w:val="002234C9"/>
    <w:rsid w:val="00226DB6"/>
    <w:rsid w:val="00234F1D"/>
    <w:rsid w:val="0023620D"/>
    <w:rsid w:val="00237420"/>
    <w:rsid w:val="00240052"/>
    <w:rsid w:val="002419B4"/>
    <w:rsid w:val="00243EBC"/>
    <w:rsid w:val="002452D2"/>
    <w:rsid w:val="00246A35"/>
    <w:rsid w:val="00261F3A"/>
    <w:rsid w:val="00262E16"/>
    <w:rsid w:val="002673EB"/>
    <w:rsid w:val="00270CA7"/>
    <w:rsid w:val="00283722"/>
    <w:rsid w:val="00284348"/>
    <w:rsid w:val="00285D32"/>
    <w:rsid w:val="002867AA"/>
    <w:rsid w:val="002A5582"/>
    <w:rsid w:val="002A7B59"/>
    <w:rsid w:val="002B714E"/>
    <w:rsid w:val="002E068A"/>
    <w:rsid w:val="002E61AB"/>
    <w:rsid w:val="002F0D61"/>
    <w:rsid w:val="002F51F5"/>
    <w:rsid w:val="002F6DF2"/>
    <w:rsid w:val="00310247"/>
    <w:rsid w:val="00312137"/>
    <w:rsid w:val="00313BA5"/>
    <w:rsid w:val="00330359"/>
    <w:rsid w:val="00333529"/>
    <w:rsid w:val="00334605"/>
    <w:rsid w:val="003369D3"/>
    <w:rsid w:val="0033762F"/>
    <w:rsid w:val="00337ABE"/>
    <w:rsid w:val="0034183A"/>
    <w:rsid w:val="00341F21"/>
    <w:rsid w:val="00355AF2"/>
    <w:rsid w:val="00360494"/>
    <w:rsid w:val="00361BA9"/>
    <w:rsid w:val="00366C7E"/>
    <w:rsid w:val="00366FC0"/>
    <w:rsid w:val="00372A73"/>
    <w:rsid w:val="00382E1F"/>
    <w:rsid w:val="00384EA3"/>
    <w:rsid w:val="003A39A1"/>
    <w:rsid w:val="003A3D7A"/>
    <w:rsid w:val="003C1F55"/>
    <w:rsid w:val="003C2191"/>
    <w:rsid w:val="003C4763"/>
    <w:rsid w:val="003C6F49"/>
    <w:rsid w:val="003D3863"/>
    <w:rsid w:val="003D5145"/>
    <w:rsid w:val="00404C9B"/>
    <w:rsid w:val="004110DE"/>
    <w:rsid w:val="00411A05"/>
    <w:rsid w:val="004325C8"/>
    <w:rsid w:val="00433509"/>
    <w:rsid w:val="004344BA"/>
    <w:rsid w:val="0043631E"/>
    <w:rsid w:val="0044085A"/>
    <w:rsid w:val="00444FD9"/>
    <w:rsid w:val="00454469"/>
    <w:rsid w:val="004571BE"/>
    <w:rsid w:val="00457844"/>
    <w:rsid w:val="004579C9"/>
    <w:rsid w:val="004646E1"/>
    <w:rsid w:val="004709CD"/>
    <w:rsid w:val="0047577B"/>
    <w:rsid w:val="00475E5C"/>
    <w:rsid w:val="0049783A"/>
    <w:rsid w:val="004B21A5"/>
    <w:rsid w:val="004B2C1D"/>
    <w:rsid w:val="004C05F3"/>
    <w:rsid w:val="004D39AC"/>
    <w:rsid w:val="004F0B76"/>
    <w:rsid w:val="004F5618"/>
    <w:rsid w:val="005037F0"/>
    <w:rsid w:val="005054D5"/>
    <w:rsid w:val="005078C0"/>
    <w:rsid w:val="00514577"/>
    <w:rsid w:val="00516A86"/>
    <w:rsid w:val="00521069"/>
    <w:rsid w:val="0052653B"/>
    <w:rsid w:val="005275F6"/>
    <w:rsid w:val="00532EB6"/>
    <w:rsid w:val="00537168"/>
    <w:rsid w:val="005412CE"/>
    <w:rsid w:val="00560334"/>
    <w:rsid w:val="005637F4"/>
    <w:rsid w:val="005700DE"/>
    <w:rsid w:val="00572102"/>
    <w:rsid w:val="005721FE"/>
    <w:rsid w:val="0058396E"/>
    <w:rsid w:val="0058525A"/>
    <w:rsid w:val="005A405A"/>
    <w:rsid w:val="005A623B"/>
    <w:rsid w:val="005B0434"/>
    <w:rsid w:val="005B3D0D"/>
    <w:rsid w:val="005C0086"/>
    <w:rsid w:val="005C048D"/>
    <w:rsid w:val="005C3DFE"/>
    <w:rsid w:val="005C72CD"/>
    <w:rsid w:val="005D3817"/>
    <w:rsid w:val="005E1BAB"/>
    <w:rsid w:val="005E4904"/>
    <w:rsid w:val="005F1BB0"/>
    <w:rsid w:val="005F4E93"/>
    <w:rsid w:val="00610BF6"/>
    <w:rsid w:val="006142F4"/>
    <w:rsid w:val="00616648"/>
    <w:rsid w:val="00617A67"/>
    <w:rsid w:val="0062116E"/>
    <w:rsid w:val="00623626"/>
    <w:rsid w:val="00625270"/>
    <w:rsid w:val="00630128"/>
    <w:rsid w:val="00642F78"/>
    <w:rsid w:val="00644DD2"/>
    <w:rsid w:val="00651663"/>
    <w:rsid w:val="00651780"/>
    <w:rsid w:val="00652171"/>
    <w:rsid w:val="00656C4D"/>
    <w:rsid w:val="00657864"/>
    <w:rsid w:val="00660E12"/>
    <w:rsid w:val="0069077B"/>
    <w:rsid w:val="00691C67"/>
    <w:rsid w:val="00694EBE"/>
    <w:rsid w:val="006A077B"/>
    <w:rsid w:val="006A21D5"/>
    <w:rsid w:val="006A2953"/>
    <w:rsid w:val="006A4215"/>
    <w:rsid w:val="006A4E78"/>
    <w:rsid w:val="006A5A4D"/>
    <w:rsid w:val="006B1771"/>
    <w:rsid w:val="006B33F6"/>
    <w:rsid w:val="006C147A"/>
    <w:rsid w:val="006C166A"/>
    <w:rsid w:val="006C458E"/>
    <w:rsid w:val="006D2230"/>
    <w:rsid w:val="006D5B87"/>
    <w:rsid w:val="006E225F"/>
    <w:rsid w:val="006E4475"/>
    <w:rsid w:val="006E530F"/>
    <w:rsid w:val="006E5716"/>
    <w:rsid w:val="006E5B8D"/>
    <w:rsid w:val="006E713B"/>
    <w:rsid w:val="006F0138"/>
    <w:rsid w:val="006F1F17"/>
    <w:rsid w:val="006F3D1A"/>
    <w:rsid w:val="006F41EA"/>
    <w:rsid w:val="006F790F"/>
    <w:rsid w:val="006F7A2A"/>
    <w:rsid w:val="006F7ADA"/>
    <w:rsid w:val="006F7E18"/>
    <w:rsid w:val="00701CC1"/>
    <w:rsid w:val="007055E5"/>
    <w:rsid w:val="00706AC0"/>
    <w:rsid w:val="0071777B"/>
    <w:rsid w:val="007237A1"/>
    <w:rsid w:val="007274B3"/>
    <w:rsid w:val="007302B3"/>
    <w:rsid w:val="00730733"/>
    <w:rsid w:val="00730C65"/>
    <w:rsid w:val="00730E3A"/>
    <w:rsid w:val="00735EAB"/>
    <w:rsid w:val="00736AAF"/>
    <w:rsid w:val="00742128"/>
    <w:rsid w:val="00756BA5"/>
    <w:rsid w:val="00765B2A"/>
    <w:rsid w:val="00770314"/>
    <w:rsid w:val="00780112"/>
    <w:rsid w:val="00782B2D"/>
    <w:rsid w:val="00783A34"/>
    <w:rsid w:val="0079780B"/>
    <w:rsid w:val="007A38DC"/>
    <w:rsid w:val="007A5D12"/>
    <w:rsid w:val="007B360B"/>
    <w:rsid w:val="007C6B52"/>
    <w:rsid w:val="007C7E90"/>
    <w:rsid w:val="007D083D"/>
    <w:rsid w:val="007D16C5"/>
    <w:rsid w:val="007E06C5"/>
    <w:rsid w:val="007E4EC7"/>
    <w:rsid w:val="008070BF"/>
    <w:rsid w:val="00810E13"/>
    <w:rsid w:val="00815900"/>
    <w:rsid w:val="00820160"/>
    <w:rsid w:val="00824CAE"/>
    <w:rsid w:val="00825113"/>
    <w:rsid w:val="00834F4E"/>
    <w:rsid w:val="00847AEC"/>
    <w:rsid w:val="008508DD"/>
    <w:rsid w:val="00862FE4"/>
    <w:rsid w:val="0086389A"/>
    <w:rsid w:val="00874D16"/>
    <w:rsid w:val="0087605E"/>
    <w:rsid w:val="00886540"/>
    <w:rsid w:val="008B1FEE"/>
    <w:rsid w:val="008B28D1"/>
    <w:rsid w:val="008B3184"/>
    <w:rsid w:val="008B68A9"/>
    <w:rsid w:val="008E3CAD"/>
    <w:rsid w:val="008E5AEF"/>
    <w:rsid w:val="008F5FFF"/>
    <w:rsid w:val="00901622"/>
    <w:rsid w:val="00902DCC"/>
    <w:rsid w:val="00903C32"/>
    <w:rsid w:val="00907BCC"/>
    <w:rsid w:val="00911671"/>
    <w:rsid w:val="00916B16"/>
    <w:rsid w:val="00916FC4"/>
    <w:rsid w:val="009173B9"/>
    <w:rsid w:val="009217FA"/>
    <w:rsid w:val="0092437E"/>
    <w:rsid w:val="00932282"/>
    <w:rsid w:val="00932F08"/>
    <w:rsid w:val="0093335D"/>
    <w:rsid w:val="0093613E"/>
    <w:rsid w:val="00943026"/>
    <w:rsid w:val="00945560"/>
    <w:rsid w:val="00953AD4"/>
    <w:rsid w:val="0096395A"/>
    <w:rsid w:val="009639B4"/>
    <w:rsid w:val="0096686C"/>
    <w:rsid w:val="00966B81"/>
    <w:rsid w:val="00977406"/>
    <w:rsid w:val="0098645D"/>
    <w:rsid w:val="009915F2"/>
    <w:rsid w:val="00995144"/>
    <w:rsid w:val="009974C0"/>
    <w:rsid w:val="009A17AB"/>
    <w:rsid w:val="009A2896"/>
    <w:rsid w:val="009B25AE"/>
    <w:rsid w:val="009C34EB"/>
    <w:rsid w:val="009C5F59"/>
    <w:rsid w:val="009C7720"/>
    <w:rsid w:val="009D3610"/>
    <w:rsid w:val="009D44EB"/>
    <w:rsid w:val="009E03E7"/>
    <w:rsid w:val="009E5DD7"/>
    <w:rsid w:val="009F2434"/>
    <w:rsid w:val="009F755C"/>
    <w:rsid w:val="00A00B09"/>
    <w:rsid w:val="00A02DB7"/>
    <w:rsid w:val="00A04739"/>
    <w:rsid w:val="00A0491A"/>
    <w:rsid w:val="00A06F4B"/>
    <w:rsid w:val="00A22382"/>
    <w:rsid w:val="00A23111"/>
    <w:rsid w:val="00A23AFA"/>
    <w:rsid w:val="00A31B3E"/>
    <w:rsid w:val="00A339D6"/>
    <w:rsid w:val="00A404F7"/>
    <w:rsid w:val="00A52014"/>
    <w:rsid w:val="00A532F3"/>
    <w:rsid w:val="00A617BF"/>
    <w:rsid w:val="00A6323B"/>
    <w:rsid w:val="00A76167"/>
    <w:rsid w:val="00A83FFF"/>
    <w:rsid w:val="00A8489E"/>
    <w:rsid w:val="00A85F53"/>
    <w:rsid w:val="00A90466"/>
    <w:rsid w:val="00A92FB5"/>
    <w:rsid w:val="00A9528D"/>
    <w:rsid w:val="00A97F50"/>
    <w:rsid w:val="00AA1760"/>
    <w:rsid w:val="00AB02A7"/>
    <w:rsid w:val="00AB143E"/>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60730"/>
    <w:rsid w:val="00B70AB7"/>
    <w:rsid w:val="00B83A09"/>
    <w:rsid w:val="00B83E90"/>
    <w:rsid w:val="00B85CCA"/>
    <w:rsid w:val="00B8664F"/>
    <w:rsid w:val="00B8759D"/>
    <w:rsid w:val="00B94457"/>
    <w:rsid w:val="00B96FB3"/>
    <w:rsid w:val="00BA07FC"/>
    <w:rsid w:val="00BA21D1"/>
    <w:rsid w:val="00BA34E1"/>
    <w:rsid w:val="00BA6DE3"/>
    <w:rsid w:val="00BB4079"/>
    <w:rsid w:val="00BB56EB"/>
    <w:rsid w:val="00BC09D9"/>
    <w:rsid w:val="00BC14C6"/>
    <w:rsid w:val="00BC347C"/>
    <w:rsid w:val="00BD3C9C"/>
    <w:rsid w:val="00BD3D60"/>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2B46"/>
    <w:rsid w:val="00C4086D"/>
    <w:rsid w:val="00C4335C"/>
    <w:rsid w:val="00C4729D"/>
    <w:rsid w:val="00C50C1A"/>
    <w:rsid w:val="00C64AAF"/>
    <w:rsid w:val="00C655D1"/>
    <w:rsid w:val="00C6736C"/>
    <w:rsid w:val="00C8218D"/>
    <w:rsid w:val="00C8555E"/>
    <w:rsid w:val="00C86B4C"/>
    <w:rsid w:val="00C90A3E"/>
    <w:rsid w:val="00CA1896"/>
    <w:rsid w:val="00CB5B28"/>
    <w:rsid w:val="00CC07C6"/>
    <w:rsid w:val="00CC5DA6"/>
    <w:rsid w:val="00CD40D6"/>
    <w:rsid w:val="00CF29B3"/>
    <w:rsid w:val="00CF5371"/>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70C7"/>
    <w:rsid w:val="00D80850"/>
    <w:rsid w:val="00D81550"/>
    <w:rsid w:val="00D81AA2"/>
    <w:rsid w:val="00D825F8"/>
    <w:rsid w:val="00D86945"/>
    <w:rsid w:val="00D90290"/>
    <w:rsid w:val="00D9076D"/>
    <w:rsid w:val="00D92996"/>
    <w:rsid w:val="00D95647"/>
    <w:rsid w:val="00D97B4A"/>
    <w:rsid w:val="00DA1D04"/>
    <w:rsid w:val="00DA4CC0"/>
    <w:rsid w:val="00DB1347"/>
    <w:rsid w:val="00DB5CE9"/>
    <w:rsid w:val="00DB7416"/>
    <w:rsid w:val="00DC282C"/>
    <w:rsid w:val="00DC4089"/>
    <w:rsid w:val="00DD139D"/>
    <w:rsid w:val="00DD152F"/>
    <w:rsid w:val="00DD262D"/>
    <w:rsid w:val="00DE0025"/>
    <w:rsid w:val="00DE213F"/>
    <w:rsid w:val="00DE3C37"/>
    <w:rsid w:val="00DE43F0"/>
    <w:rsid w:val="00DF027C"/>
    <w:rsid w:val="00E00A32"/>
    <w:rsid w:val="00E03770"/>
    <w:rsid w:val="00E04295"/>
    <w:rsid w:val="00E0665F"/>
    <w:rsid w:val="00E07C30"/>
    <w:rsid w:val="00E104DD"/>
    <w:rsid w:val="00E12896"/>
    <w:rsid w:val="00E14283"/>
    <w:rsid w:val="00E2016A"/>
    <w:rsid w:val="00E22ACD"/>
    <w:rsid w:val="00E2705F"/>
    <w:rsid w:val="00E36A71"/>
    <w:rsid w:val="00E373F2"/>
    <w:rsid w:val="00E4461E"/>
    <w:rsid w:val="00E47C41"/>
    <w:rsid w:val="00E553B9"/>
    <w:rsid w:val="00E61997"/>
    <w:rsid w:val="00E620B0"/>
    <w:rsid w:val="00E655B6"/>
    <w:rsid w:val="00E678E1"/>
    <w:rsid w:val="00E67A9D"/>
    <w:rsid w:val="00E702E0"/>
    <w:rsid w:val="00E81B40"/>
    <w:rsid w:val="00E86C99"/>
    <w:rsid w:val="00EB0E41"/>
    <w:rsid w:val="00EB1AD7"/>
    <w:rsid w:val="00ED04AD"/>
    <w:rsid w:val="00ED7CDB"/>
    <w:rsid w:val="00EE04B7"/>
    <w:rsid w:val="00EE2C49"/>
    <w:rsid w:val="00EE35D0"/>
    <w:rsid w:val="00EE4C0A"/>
    <w:rsid w:val="00EF2109"/>
    <w:rsid w:val="00EF2EA3"/>
    <w:rsid w:val="00EF555B"/>
    <w:rsid w:val="00EF6723"/>
    <w:rsid w:val="00F027BB"/>
    <w:rsid w:val="00F02F07"/>
    <w:rsid w:val="00F04848"/>
    <w:rsid w:val="00F11DCF"/>
    <w:rsid w:val="00F1485A"/>
    <w:rsid w:val="00F162EA"/>
    <w:rsid w:val="00F2217C"/>
    <w:rsid w:val="00F2462F"/>
    <w:rsid w:val="00F33158"/>
    <w:rsid w:val="00F3526A"/>
    <w:rsid w:val="00F407A5"/>
    <w:rsid w:val="00F41F1C"/>
    <w:rsid w:val="00F426FA"/>
    <w:rsid w:val="00F4796C"/>
    <w:rsid w:val="00F52D27"/>
    <w:rsid w:val="00F55857"/>
    <w:rsid w:val="00F5617F"/>
    <w:rsid w:val="00F72153"/>
    <w:rsid w:val="00F75C32"/>
    <w:rsid w:val="00F75ED7"/>
    <w:rsid w:val="00F81C67"/>
    <w:rsid w:val="00F83527"/>
    <w:rsid w:val="00F878CF"/>
    <w:rsid w:val="00FB42E1"/>
    <w:rsid w:val="00FD0649"/>
    <w:rsid w:val="00FD37A4"/>
    <w:rsid w:val="00FD3A18"/>
    <w:rsid w:val="00FD583F"/>
    <w:rsid w:val="00FD7488"/>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semiHidden/>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4</TotalTime>
  <Pages>31</Pages>
  <Words>10518</Words>
  <Characters>62058</Characters>
  <Application>Microsoft Office Word</Application>
  <DocSecurity>4</DocSecurity>
  <Lines>517</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Bukovecká Iveta</cp:lastModifiedBy>
  <cp:revision>2</cp:revision>
  <cp:lastPrinted>2006-08-01T17:47:00Z</cp:lastPrinted>
  <dcterms:created xsi:type="dcterms:W3CDTF">2023-02-02T14:12:00Z</dcterms:created>
  <dcterms:modified xsi:type="dcterms:W3CDTF">2023-02-02T14:12:00Z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