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0FE2A0A8" w:rsidR="00D077E9" w:rsidRPr="008E3CAD" w:rsidRDefault="00240052" w:rsidP="00D70D02">
      <w:pPr>
        <w:rPr>
          <w:noProof/>
          <w:color w:val="0F0D29" w:themeColor="text1"/>
        </w:rPr>
      </w:pPr>
      <w:r w:rsidRPr="008E3CAD">
        <w:rPr>
          <w:noProof/>
          <w:color w:val="0F0D29" w:themeColor="text1"/>
          <w:lang w:eastAsia="cs-CZ"/>
        </w:rPr>
        <w:drawing>
          <wp:anchor distT="0" distB="0" distL="114300" distR="114300" simplePos="0" relativeHeight="251662336" behindDoc="1" locked="0" layoutInCell="1" allowOverlap="1" wp14:anchorId="5D3EB1F1" wp14:editId="1969DD6F">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r w:rsidR="00AB02A7"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3CFB0EBC">
                <wp:simplePos x="0" y="0"/>
                <wp:positionH relativeFrom="column">
                  <wp:posOffset>-203835</wp:posOffset>
                </wp:positionH>
                <wp:positionV relativeFrom="page">
                  <wp:posOffset>933450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0581" id="Obdélník 3" o:spid="_x0000_s1026" alt="bílý obdélník pro text na titulní straně" style="position:absolute;margin-left:-16.05pt;margin-top:73.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44319435">
                      <wp:extent cx="3528695" cy="2181225"/>
                      <wp:effectExtent l="0" t="0" r="0" b="0"/>
                      <wp:docPr id="8" name="Textové pole 8"/>
                      <wp:cNvGraphicFramePr/>
                      <a:graphic xmlns:a="http://schemas.openxmlformats.org/drawingml/2006/main">
                        <a:graphicData uri="http://schemas.microsoft.com/office/word/2010/wordprocessingShape">
                          <wps:wsp>
                            <wps:cNvSpPr txBox="1"/>
                            <wps:spPr>
                              <a:xfrm>
                                <a:off x="0" y="0"/>
                                <a:ext cx="3528695" cy="2181225"/>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4F72208C" w:rsidR="00240052" w:rsidRPr="00815900" w:rsidRDefault="00953AD4" w:rsidP="00D077E9">
                                  <w:pPr>
                                    <w:pStyle w:val="Nzev"/>
                                    <w:spacing w:after="0"/>
                                    <w:rPr>
                                      <w:color w:val="0F0D29" w:themeColor="text1"/>
                                      <w:sz w:val="56"/>
                                      <w:szCs w:val="48"/>
                                    </w:rPr>
                                  </w:pPr>
                                  <w:r>
                                    <w:rPr>
                                      <w:color w:val="0F0D29" w:themeColor="text1"/>
                                      <w:sz w:val="56"/>
                                      <w:szCs w:val="48"/>
                                      <w:lang w:bidi="cs-CZ"/>
                                    </w:rPr>
                                    <w:t>Květen</w:t>
                                  </w:r>
                                  <w:r w:rsidR="00240052" w:rsidRPr="00815900">
                                    <w:rPr>
                                      <w:color w:val="0F0D29" w:themeColor="text1"/>
                                      <w:sz w:val="56"/>
                                      <w:szCs w:val="48"/>
                                      <w:lang w:bidi="cs-CZ"/>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4F72208C" w:rsidR="00240052" w:rsidRPr="00815900" w:rsidRDefault="00953AD4" w:rsidP="00D077E9">
                            <w:pPr>
                              <w:pStyle w:val="Nzev"/>
                              <w:spacing w:after="0"/>
                              <w:rPr>
                                <w:color w:val="0F0D29" w:themeColor="text1"/>
                                <w:sz w:val="56"/>
                                <w:szCs w:val="48"/>
                              </w:rPr>
                            </w:pPr>
                            <w:r>
                              <w:rPr>
                                <w:color w:val="0F0D29" w:themeColor="text1"/>
                                <w:sz w:val="56"/>
                                <w:szCs w:val="48"/>
                                <w:lang w:bidi="cs-CZ"/>
                              </w:rPr>
                              <w:t>Květen</w:t>
                            </w:r>
                            <w:r w:rsidR="00240052" w:rsidRPr="00815900">
                              <w:rPr>
                                <w:color w:val="0F0D29" w:themeColor="text1"/>
                                <w:sz w:val="56"/>
                                <w:szCs w:val="48"/>
                                <w:lang w:bidi="cs-CZ"/>
                              </w:rPr>
                              <w:t xml:space="preserve"> 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22F61DE1"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953AD4">
              <w:rPr>
                <w:b w:val="0"/>
                <w:bCs/>
                <w:noProof/>
                <w:color w:val="0F0D29" w:themeColor="text1"/>
              </w:rPr>
              <w:t> 31.5.2022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F5617F">
        <w:trPr>
          <w:trHeight w:val="5931"/>
        </w:trPr>
        <w:tc>
          <w:tcPr>
            <w:tcW w:w="9735" w:type="dxa"/>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5A63526A" w14:textId="7180BC9E" w:rsidR="00780112" w:rsidRDefault="00953AD4" w:rsidP="00953AD4">
            <w:pPr>
              <w:pStyle w:val="Odstavecseseznamem"/>
              <w:numPr>
                <w:ilvl w:val="0"/>
                <w:numId w:val="1"/>
              </w:numPr>
              <w:spacing w:line="360" w:lineRule="auto"/>
              <w:jc w:val="both"/>
              <w:rPr>
                <w:rFonts w:ascii="Arial" w:hAnsi="Arial" w:cs="Arial"/>
                <w:color w:val="0F0D29" w:themeColor="text1"/>
                <w:sz w:val="20"/>
                <w:szCs w:val="20"/>
              </w:rPr>
            </w:pPr>
            <w:r w:rsidRPr="00953AD4">
              <w:rPr>
                <w:rFonts w:ascii="Arial" w:hAnsi="Arial" w:cs="Arial"/>
                <w:color w:val="0F0D29" w:themeColor="text1"/>
                <w:sz w:val="20"/>
                <w:szCs w:val="20"/>
              </w:rPr>
              <w:t>Zákon</w:t>
            </w:r>
            <w:r w:rsidR="00780112">
              <w:rPr>
                <w:rFonts w:ascii="Arial" w:hAnsi="Arial" w:cs="Arial"/>
                <w:color w:val="0F0D29" w:themeColor="text1"/>
                <w:sz w:val="20"/>
                <w:szCs w:val="20"/>
              </w:rPr>
              <w:t xml:space="preserve"> č. 131/2022 Sb.</w:t>
            </w:r>
            <w:r w:rsidRPr="00953AD4">
              <w:rPr>
                <w:rFonts w:ascii="Arial" w:hAnsi="Arial" w:cs="Arial"/>
                <w:color w:val="0F0D29" w:themeColor="text1"/>
                <w:sz w:val="20"/>
                <w:szCs w:val="20"/>
              </w:rPr>
              <w:t xml:space="preserve">, kterým se mění zákon č. 353/2003 Sb., o spotřebních daních, ve znění pozdějších předpisů </w:t>
            </w:r>
          </w:p>
          <w:p w14:paraId="7740AABD" w14:textId="77777777" w:rsidR="00780112" w:rsidRPr="00780112" w:rsidRDefault="00780112" w:rsidP="00780112">
            <w:pPr>
              <w:pStyle w:val="Bezmezer"/>
              <w:numPr>
                <w:ilvl w:val="0"/>
                <w:numId w:val="1"/>
              </w:numPr>
              <w:spacing w:line="360" w:lineRule="auto"/>
              <w:jc w:val="both"/>
              <w:rPr>
                <w:rFonts w:ascii="Arial" w:hAnsi="Arial" w:cs="Arial"/>
                <w:b/>
                <w:color w:val="0F0D29" w:themeColor="text1"/>
              </w:rPr>
            </w:pPr>
            <w:r w:rsidRPr="00780112">
              <w:rPr>
                <w:rFonts w:ascii="Arial" w:hAnsi="Arial" w:cs="Arial"/>
                <w:color w:val="0F0D29" w:themeColor="text1"/>
                <w:sz w:val="20"/>
                <w:szCs w:val="20"/>
              </w:rPr>
              <w:t>Nařízení vlády č. 107/2022 Sb., kterým se mění nařízení vlády č. 189/2018 Sb., o kritériích udržitelnosti biopaliv a snižování emisí skleníkových plynů z pohonných hmot, ve znění nařízení vlády č. 492/2020 Sb.</w:t>
            </w:r>
          </w:p>
          <w:p w14:paraId="0CB7851E" w14:textId="77777777" w:rsidR="00780112" w:rsidRDefault="00780112" w:rsidP="00780112">
            <w:pPr>
              <w:pStyle w:val="Bezmezer"/>
              <w:spacing w:line="360" w:lineRule="auto"/>
              <w:jc w:val="both"/>
              <w:rPr>
                <w:rFonts w:ascii="Arial" w:hAnsi="Arial" w:cs="Arial"/>
                <w:color w:val="0F0D29" w:themeColor="text1"/>
                <w:sz w:val="20"/>
                <w:szCs w:val="20"/>
              </w:rPr>
            </w:pPr>
          </w:p>
          <w:p w14:paraId="43A3D180" w14:textId="5B6D5735" w:rsidR="0014703E" w:rsidRPr="005078C0" w:rsidRDefault="0014703E" w:rsidP="00780112">
            <w:pPr>
              <w:pStyle w:val="Bezmezer"/>
              <w:spacing w:line="360" w:lineRule="auto"/>
              <w:jc w:val="both"/>
              <w:rPr>
                <w:rFonts w:ascii="Arial" w:hAnsi="Arial" w:cs="Arial"/>
                <w:b/>
                <w:color w:val="0F0D29" w:themeColor="text1"/>
              </w:rPr>
            </w:pPr>
            <w:r w:rsidRPr="005078C0">
              <w:rPr>
                <w:rFonts w:ascii="Arial" w:hAnsi="Arial" w:cs="Arial"/>
                <w:b/>
                <w:color w:val="0F0D29" w:themeColor="text1"/>
                <w:sz w:val="24"/>
              </w:rPr>
              <w:t>II</w:t>
            </w:r>
            <w:r w:rsidRPr="005078C0">
              <w:rPr>
                <w:rFonts w:ascii="Arial" w:hAnsi="Arial" w:cs="Arial"/>
                <w:b/>
                <w:color w:val="0F0D29" w:themeColor="text1"/>
                <w:sz w:val="28"/>
                <w:szCs w:val="24"/>
              </w:rPr>
              <w:t xml:space="preserve">. </w:t>
            </w:r>
            <w:r w:rsidRPr="005078C0">
              <w:rPr>
                <w:rFonts w:ascii="Arial" w:hAnsi="Arial" w:cs="Arial"/>
                <w:b/>
                <w:color w:val="0F0D29" w:themeColor="text1"/>
                <w:sz w:val="24"/>
                <w:szCs w:val="24"/>
              </w:rPr>
              <w:t>Připravovaná legislativa</w:t>
            </w:r>
          </w:p>
          <w:p w14:paraId="0F4D70D1" w14:textId="77777777" w:rsidR="00815900" w:rsidRDefault="00815900" w:rsidP="00815900">
            <w:pPr>
              <w:pStyle w:val="Bezmezer"/>
              <w:spacing w:line="360" w:lineRule="auto"/>
              <w:ind w:left="720"/>
              <w:jc w:val="both"/>
              <w:rPr>
                <w:rFonts w:ascii="Arial" w:hAnsi="Arial" w:cs="Arial"/>
                <w:b/>
                <w:color w:val="0F0D29" w:themeColor="text1"/>
                <w:sz w:val="20"/>
                <w:szCs w:val="20"/>
              </w:rPr>
            </w:pPr>
          </w:p>
          <w:p w14:paraId="7EA8F6FC" w14:textId="71135FC1" w:rsidR="0014703E" w:rsidRPr="00815900" w:rsidRDefault="0014703E" w:rsidP="008E3CAD">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2D2C4039" w14:textId="1A1B06C2" w:rsidR="00080627" w:rsidRDefault="00361BA9" w:rsidP="00361BA9">
            <w:pPr>
              <w:pStyle w:val="Odstavecseseznamem"/>
              <w:numPr>
                <w:ilvl w:val="0"/>
                <w:numId w:val="1"/>
              </w:numPr>
              <w:spacing w:line="360" w:lineRule="auto"/>
              <w:jc w:val="both"/>
              <w:rPr>
                <w:rFonts w:ascii="Arial" w:hAnsi="Arial" w:cs="Arial"/>
                <w:color w:val="0F0D29" w:themeColor="text1"/>
                <w:sz w:val="20"/>
                <w:szCs w:val="20"/>
              </w:rPr>
            </w:pPr>
            <w:r w:rsidRPr="00361BA9">
              <w:rPr>
                <w:rFonts w:ascii="Arial" w:hAnsi="Arial" w:cs="Arial"/>
                <w:color w:val="0F0D29" w:themeColor="text1"/>
                <w:sz w:val="20"/>
                <w:szCs w:val="20"/>
              </w:rPr>
              <w:t>Návrh zákona, kterým se mění zákon č. 258/2000 Sb., o ochraně veřejného zdraví a o změně některých souvisejících zákonů, ve znění pozdějších předpisů, a zákon č. 274/2001 Sb., o vodovodech a kanalizacích pro veřejnou potřebu a o změně některých zákonů (zákon o vodovodech a kanalizacích)</w:t>
            </w:r>
          </w:p>
          <w:p w14:paraId="19DEED5C" w14:textId="77777777" w:rsidR="00361BA9" w:rsidRPr="00815900" w:rsidRDefault="00361BA9" w:rsidP="00A92FB5">
            <w:pPr>
              <w:pStyle w:val="Odstavecseseznamem"/>
              <w:spacing w:line="360" w:lineRule="auto"/>
              <w:ind w:left="786"/>
              <w:jc w:val="both"/>
              <w:rPr>
                <w:rFonts w:ascii="Arial" w:hAnsi="Arial" w:cs="Arial"/>
                <w:color w:val="0F0D29" w:themeColor="text1"/>
                <w:sz w:val="20"/>
                <w:szCs w:val="20"/>
              </w:rPr>
            </w:pP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7EC0C07D" w14:textId="77777777" w:rsidR="00780112" w:rsidRPr="00780112" w:rsidRDefault="00780112" w:rsidP="00780112">
            <w:pPr>
              <w:pStyle w:val="Odstavecseseznamem"/>
              <w:numPr>
                <w:ilvl w:val="0"/>
                <w:numId w:val="1"/>
              </w:numPr>
              <w:spacing w:line="360" w:lineRule="auto"/>
              <w:jc w:val="both"/>
              <w:rPr>
                <w:rFonts w:ascii="Arial" w:hAnsi="Arial" w:cs="Arial"/>
                <w:bCs/>
                <w:color w:val="0F0D29" w:themeColor="text1"/>
                <w:sz w:val="20"/>
                <w:szCs w:val="20"/>
              </w:rPr>
            </w:pPr>
            <w:r w:rsidRPr="00780112">
              <w:rPr>
                <w:rFonts w:ascii="Arial" w:hAnsi="Arial" w:cs="Arial"/>
                <w:bCs/>
                <w:color w:val="0F0D29" w:themeColor="text1"/>
                <w:sz w:val="20"/>
                <w:szCs w:val="20"/>
              </w:rPr>
              <w:t>Novela zákona č. 254/2001 Sb., o vodách (vodní zákon)</w:t>
            </w:r>
          </w:p>
          <w:p w14:paraId="43A56E46" w14:textId="77777777" w:rsidR="00780112" w:rsidRPr="00780112" w:rsidRDefault="00780112" w:rsidP="00780112">
            <w:pPr>
              <w:pStyle w:val="Odstavecseseznamem"/>
              <w:numPr>
                <w:ilvl w:val="0"/>
                <w:numId w:val="1"/>
              </w:numPr>
              <w:spacing w:line="360" w:lineRule="auto"/>
              <w:jc w:val="both"/>
              <w:rPr>
                <w:rFonts w:ascii="Arial" w:hAnsi="Arial" w:cs="Arial"/>
                <w:bCs/>
                <w:color w:val="0F0D29" w:themeColor="text1"/>
                <w:sz w:val="20"/>
                <w:szCs w:val="20"/>
              </w:rPr>
            </w:pPr>
            <w:r w:rsidRPr="00780112">
              <w:rPr>
                <w:rFonts w:ascii="Arial" w:hAnsi="Arial" w:cs="Arial"/>
                <w:bCs/>
                <w:color w:val="0F0D29" w:themeColor="text1"/>
                <w:sz w:val="20"/>
                <w:szCs w:val="20"/>
              </w:rPr>
              <w:t>Návrh zákona, kterým se mění některé zákony v oblasti daní a některé další související zákony</w:t>
            </w:r>
          </w:p>
          <w:p w14:paraId="3C845ECD" w14:textId="77777777" w:rsidR="00780112" w:rsidRPr="00780112" w:rsidRDefault="00780112" w:rsidP="00780112">
            <w:pPr>
              <w:pStyle w:val="Odstavecseseznamem"/>
              <w:numPr>
                <w:ilvl w:val="0"/>
                <w:numId w:val="1"/>
              </w:numPr>
              <w:spacing w:line="360" w:lineRule="auto"/>
              <w:jc w:val="both"/>
              <w:rPr>
                <w:rFonts w:ascii="Arial" w:hAnsi="Arial" w:cs="Arial"/>
                <w:bCs/>
                <w:color w:val="0F0D29" w:themeColor="text1"/>
                <w:sz w:val="20"/>
                <w:szCs w:val="20"/>
              </w:rPr>
            </w:pPr>
            <w:r w:rsidRPr="00780112">
              <w:rPr>
                <w:rFonts w:ascii="Arial" w:hAnsi="Arial" w:cs="Arial"/>
                <w:bCs/>
                <w:color w:val="0F0D29" w:themeColor="text1"/>
                <w:sz w:val="20"/>
                <w:szCs w:val="20"/>
              </w:rPr>
              <w:t>Návrh zákona, kterým se mění zákon č. 334/1992 Sb., o ochraně zemědělského půdního fondu</w:t>
            </w:r>
          </w:p>
          <w:p w14:paraId="3D35C37A" w14:textId="77777777" w:rsidR="00780112" w:rsidRPr="00780112" w:rsidRDefault="00780112" w:rsidP="00780112">
            <w:pPr>
              <w:pStyle w:val="Odstavecseseznamem"/>
              <w:numPr>
                <w:ilvl w:val="0"/>
                <w:numId w:val="1"/>
              </w:numPr>
              <w:spacing w:line="360" w:lineRule="auto"/>
              <w:jc w:val="both"/>
              <w:rPr>
                <w:rFonts w:ascii="Arial" w:hAnsi="Arial" w:cs="Arial"/>
                <w:bCs/>
                <w:color w:val="0F0D29" w:themeColor="text1"/>
                <w:sz w:val="20"/>
                <w:szCs w:val="20"/>
              </w:rPr>
            </w:pPr>
            <w:r w:rsidRPr="00780112">
              <w:rPr>
                <w:rFonts w:ascii="Arial" w:hAnsi="Arial" w:cs="Arial"/>
                <w:bCs/>
                <w:color w:val="0F0D29" w:themeColor="text1"/>
                <w:sz w:val="20"/>
                <w:szCs w:val="20"/>
              </w:rPr>
              <w:t>Návrh nařízení vlády, kterým se mění nařízení vlády č. 361/2014 Sb., o stanovení dodání zboží nebo poskytnutí služby pro použití režimu přenesení daňové povinnosti, ve znění pozdějších předpisů</w:t>
            </w:r>
          </w:p>
          <w:p w14:paraId="1077E13B" w14:textId="77777777" w:rsidR="00B85CCA" w:rsidRDefault="00780112" w:rsidP="00B85CCA">
            <w:pPr>
              <w:pStyle w:val="Odstavecseseznamem"/>
              <w:numPr>
                <w:ilvl w:val="0"/>
                <w:numId w:val="1"/>
              </w:numPr>
              <w:spacing w:line="360" w:lineRule="auto"/>
              <w:jc w:val="both"/>
              <w:rPr>
                <w:rFonts w:ascii="Arial" w:hAnsi="Arial" w:cs="Arial"/>
                <w:bCs/>
                <w:color w:val="0F0D29" w:themeColor="text1"/>
                <w:sz w:val="20"/>
                <w:szCs w:val="20"/>
              </w:rPr>
            </w:pPr>
            <w:r w:rsidRPr="00780112">
              <w:rPr>
                <w:rFonts w:ascii="Arial" w:hAnsi="Arial" w:cs="Arial"/>
                <w:bCs/>
                <w:color w:val="0F0D29" w:themeColor="text1"/>
                <w:sz w:val="20"/>
                <w:szCs w:val="20"/>
              </w:rPr>
              <w:t>Návrh vyhlášky, kterou se stanoví podmínky, při jejichž splnění přestává být palivo z odpadu odpadem</w:t>
            </w:r>
          </w:p>
          <w:p w14:paraId="5BEEFD3A" w14:textId="1F065834" w:rsidR="00815900" w:rsidRDefault="00780112" w:rsidP="00B85CCA">
            <w:pPr>
              <w:pStyle w:val="Odstavecseseznamem"/>
              <w:numPr>
                <w:ilvl w:val="0"/>
                <w:numId w:val="1"/>
              </w:numPr>
              <w:spacing w:line="360" w:lineRule="auto"/>
              <w:jc w:val="both"/>
              <w:rPr>
                <w:rFonts w:ascii="Arial" w:hAnsi="Arial" w:cs="Arial"/>
                <w:bCs/>
                <w:color w:val="0F0D29" w:themeColor="text1"/>
                <w:sz w:val="20"/>
                <w:szCs w:val="20"/>
              </w:rPr>
            </w:pPr>
            <w:r w:rsidRPr="00B85CCA">
              <w:rPr>
                <w:rFonts w:ascii="Arial" w:hAnsi="Arial" w:cs="Arial"/>
                <w:bCs/>
                <w:color w:val="0F0D29" w:themeColor="text1"/>
                <w:sz w:val="20"/>
                <w:szCs w:val="20"/>
              </w:rPr>
              <w:t>Návrh vyhlášky o zárukách původu energie</w:t>
            </w:r>
          </w:p>
          <w:p w14:paraId="51728F9E" w14:textId="44B8F092" w:rsidR="00BF794B" w:rsidRPr="00B85CCA" w:rsidRDefault="00BF794B" w:rsidP="00B85CCA">
            <w:pPr>
              <w:pStyle w:val="Odstavecseseznamem"/>
              <w:numPr>
                <w:ilvl w:val="0"/>
                <w:numId w:val="1"/>
              </w:numPr>
              <w:spacing w:line="360" w:lineRule="auto"/>
              <w:jc w:val="both"/>
              <w:rPr>
                <w:rFonts w:ascii="Arial" w:hAnsi="Arial" w:cs="Arial"/>
                <w:bCs/>
                <w:color w:val="0F0D29" w:themeColor="text1"/>
                <w:sz w:val="20"/>
                <w:szCs w:val="20"/>
              </w:rPr>
            </w:pPr>
            <w:r w:rsidRPr="00BF794B">
              <w:rPr>
                <w:rFonts w:ascii="Arial" w:hAnsi="Arial" w:cs="Arial"/>
                <w:bCs/>
                <w:color w:val="0F0D29" w:themeColor="text1"/>
                <w:sz w:val="20"/>
                <w:szCs w:val="20"/>
              </w:rPr>
              <w:t>Návrh zákona o omezujících opatřeních proti některým závažným protiprávním jednáním (sankční zákon)</w:t>
            </w:r>
          </w:p>
          <w:p w14:paraId="316465FB" w14:textId="77777777" w:rsidR="00780112" w:rsidRPr="005078C0" w:rsidRDefault="00780112" w:rsidP="00780112">
            <w:pPr>
              <w:pStyle w:val="Bezmezer"/>
              <w:spacing w:line="360" w:lineRule="auto"/>
              <w:ind w:left="786"/>
              <w:jc w:val="both"/>
              <w:rPr>
                <w:rFonts w:ascii="Arial" w:hAnsi="Arial" w:cs="Arial"/>
                <w:b/>
                <w:color w:val="0F0D29" w:themeColor="text1"/>
                <w:sz w:val="18"/>
                <w:szCs w:val="18"/>
              </w:rPr>
            </w:pP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44C1E628" w14:textId="322B4C26" w:rsidR="00815900" w:rsidRPr="00341F21" w:rsidRDefault="00F81C67" w:rsidP="00780112">
            <w:pPr>
              <w:pStyle w:val="Odstavecseseznamem"/>
              <w:numPr>
                <w:ilvl w:val="0"/>
                <w:numId w:val="1"/>
              </w:numPr>
              <w:spacing w:line="360" w:lineRule="auto"/>
              <w:jc w:val="both"/>
              <w:rPr>
                <w:rFonts w:ascii="Arial" w:hAnsi="Arial" w:cs="Arial"/>
                <w:b/>
                <w:color w:val="0F0D29" w:themeColor="text1"/>
                <w:sz w:val="20"/>
                <w:szCs w:val="20"/>
              </w:rPr>
            </w:pPr>
            <w:r w:rsidRPr="00341F21">
              <w:rPr>
                <w:rFonts w:ascii="Arial" w:hAnsi="Arial" w:cs="Arial"/>
                <w:bCs/>
                <w:color w:val="0F0D29" w:themeColor="text1"/>
                <w:sz w:val="20"/>
                <w:szCs w:val="20"/>
              </w:rPr>
              <w:t>Smluvní podmínky pro předání díla</w:t>
            </w:r>
          </w:p>
          <w:p w14:paraId="42151164" w14:textId="532AF522" w:rsidR="00372A73" w:rsidRPr="00341F21" w:rsidRDefault="00372A73" w:rsidP="00780112">
            <w:pPr>
              <w:pStyle w:val="Odstavecseseznamem"/>
              <w:numPr>
                <w:ilvl w:val="0"/>
                <w:numId w:val="1"/>
              </w:numPr>
              <w:spacing w:line="360" w:lineRule="auto"/>
              <w:jc w:val="both"/>
              <w:rPr>
                <w:rFonts w:ascii="Arial" w:hAnsi="Arial" w:cs="Arial"/>
                <w:b/>
                <w:color w:val="0F0D29" w:themeColor="text1"/>
                <w:sz w:val="20"/>
                <w:szCs w:val="20"/>
              </w:rPr>
            </w:pPr>
            <w:r w:rsidRPr="00341F21">
              <w:rPr>
                <w:rFonts w:ascii="Arial" w:hAnsi="Arial" w:cs="Arial"/>
                <w:sz w:val="20"/>
                <w:szCs w:val="20"/>
              </w:rPr>
              <w:t>Dovolená ve státní svátek</w:t>
            </w:r>
          </w:p>
          <w:p w14:paraId="320AF930" w14:textId="690458AE" w:rsidR="00372A73" w:rsidRPr="00341F21" w:rsidRDefault="00372A73" w:rsidP="00780112">
            <w:pPr>
              <w:pStyle w:val="Odstavecseseznamem"/>
              <w:numPr>
                <w:ilvl w:val="0"/>
                <w:numId w:val="1"/>
              </w:numPr>
              <w:spacing w:line="360" w:lineRule="auto"/>
              <w:jc w:val="both"/>
              <w:rPr>
                <w:rFonts w:ascii="Arial" w:hAnsi="Arial" w:cs="Arial"/>
                <w:b/>
                <w:color w:val="0F0D29" w:themeColor="text1"/>
                <w:sz w:val="20"/>
                <w:szCs w:val="20"/>
              </w:rPr>
            </w:pPr>
            <w:r w:rsidRPr="00341F21">
              <w:rPr>
                <w:rFonts w:ascii="Arial" w:hAnsi="Arial" w:cs="Arial"/>
                <w:sz w:val="20"/>
                <w:szCs w:val="20"/>
              </w:rPr>
              <w:t>Pracovněprávní smlouvy uzavírané elektronicky</w:t>
            </w:r>
          </w:p>
          <w:p w14:paraId="66CAEB6B" w14:textId="599D844C" w:rsidR="00D80850" w:rsidRPr="00341F21" w:rsidRDefault="00D80850" w:rsidP="00780112">
            <w:pPr>
              <w:pStyle w:val="Odstavecseseznamem"/>
              <w:numPr>
                <w:ilvl w:val="0"/>
                <w:numId w:val="1"/>
              </w:numPr>
              <w:spacing w:line="360" w:lineRule="auto"/>
              <w:jc w:val="both"/>
              <w:rPr>
                <w:rFonts w:ascii="Arial" w:hAnsi="Arial" w:cs="Arial"/>
                <w:b/>
                <w:color w:val="0F0D29" w:themeColor="text1"/>
                <w:sz w:val="20"/>
                <w:szCs w:val="20"/>
              </w:rPr>
            </w:pPr>
            <w:r w:rsidRPr="00341F21">
              <w:rPr>
                <w:rFonts w:ascii="Arial" w:hAnsi="Arial" w:cs="Arial"/>
                <w:sz w:val="20"/>
                <w:szCs w:val="20"/>
              </w:rPr>
              <w:t>Instalace kamerové atrapy</w:t>
            </w:r>
          </w:p>
          <w:p w14:paraId="0AE944A2" w14:textId="0DD058D9" w:rsidR="00D80850" w:rsidRPr="00341F21" w:rsidRDefault="00D80850" w:rsidP="00780112">
            <w:pPr>
              <w:pStyle w:val="Odstavecseseznamem"/>
              <w:numPr>
                <w:ilvl w:val="0"/>
                <w:numId w:val="1"/>
              </w:numPr>
              <w:spacing w:line="360" w:lineRule="auto"/>
              <w:jc w:val="both"/>
              <w:rPr>
                <w:rFonts w:ascii="Arial" w:hAnsi="Arial" w:cs="Arial"/>
                <w:b/>
                <w:color w:val="0F0D29" w:themeColor="text1"/>
                <w:sz w:val="20"/>
                <w:szCs w:val="20"/>
              </w:rPr>
            </w:pPr>
            <w:r w:rsidRPr="00341F21">
              <w:rPr>
                <w:rFonts w:ascii="Arial" w:hAnsi="Arial" w:cs="Arial"/>
                <w:sz w:val="20"/>
                <w:szCs w:val="20"/>
              </w:rPr>
              <w:t>Hackerské útoky a GDPR</w:t>
            </w:r>
          </w:p>
          <w:p w14:paraId="0CED2A78" w14:textId="29E3F15F" w:rsidR="00847AEC" w:rsidRPr="00341F21" w:rsidRDefault="00847AEC" w:rsidP="00780112">
            <w:pPr>
              <w:pStyle w:val="Odstavecseseznamem"/>
              <w:numPr>
                <w:ilvl w:val="0"/>
                <w:numId w:val="1"/>
              </w:numPr>
              <w:spacing w:line="360" w:lineRule="auto"/>
              <w:jc w:val="both"/>
              <w:rPr>
                <w:rFonts w:ascii="Arial" w:hAnsi="Arial" w:cs="Arial"/>
                <w:b/>
                <w:color w:val="0F0D29" w:themeColor="text1"/>
                <w:sz w:val="20"/>
                <w:szCs w:val="20"/>
              </w:rPr>
            </w:pPr>
            <w:bookmarkStart w:id="0" w:name="_Hlk105097426"/>
            <w:r w:rsidRPr="00341F21">
              <w:rPr>
                <w:rFonts w:ascii="Arial" w:hAnsi="Arial" w:cs="Arial"/>
                <w:sz w:val="20"/>
                <w:szCs w:val="20"/>
              </w:rPr>
              <w:t>Vznik zaměstnaneckého poměru subdodavatele</w:t>
            </w:r>
          </w:p>
          <w:bookmarkEnd w:id="0"/>
          <w:p w14:paraId="3B2F9BAF" w14:textId="2C74565A" w:rsidR="00BB4079" w:rsidRDefault="00BB4079" w:rsidP="008E3CAD">
            <w:pPr>
              <w:pStyle w:val="Bezmezer"/>
              <w:spacing w:line="360" w:lineRule="auto"/>
              <w:jc w:val="both"/>
              <w:rPr>
                <w:rFonts w:ascii="Arial" w:hAnsi="Arial" w:cs="Arial"/>
                <w:b/>
                <w:color w:val="0F0D29" w:themeColor="text1"/>
              </w:rPr>
            </w:pPr>
          </w:p>
          <w:p w14:paraId="06218301" w14:textId="4EAB7BB4" w:rsidR="00BB4079" w:rsidRDefault="00BB4079" w:rsidP="008E3CAD">
            <w:pPr>
              <w:pStyle w:val="Bezmezer"/>
              <w:spacing w:line="360" w:lineRule="auto"/>
              <w:jc w:val="both"/>
              <w:rPr>
                <w:rFonts w:ascii="Arial" w:hAnsi="Arial" w:cs="Arial"/>
                <w:b/>
                <w:color w:val="0F0D29" w:themeColor="text1"/>
              </w:rPr>
            </w:pPr>
          </w:p>
          <w:p w14:paraId="23B58707" w14:textId="482264B5" w:rsidR="00BB4079" w:rsidRDefault="00BB4079" w:rsidP="008E3CAD">
            <w:pPr>
              <w:pStyle w:val="Bezmezer"/>
              <w:spacing w:line="360" w:lineRule="auto"/>
              <w:jc w:val="both"/>
              <w:rPr>
                <w:rFonts w:ascii="Arial" w:hAnsi="Arial" w:cs="Arial"/>
                <w:b/>
                <w:color w:val="0F0D29" w:themeColor="text1"/>
              </w:rPr>
            </w:pPr>
          </w:p>
          <w:p w14:paraId="6A7E3E61" w14:textId="082C0C26" w:rsidR="00D97B4A" w:rsidRDefault="00D97B4A" w:rsidP="008E3CAD">
            <w:pPr>
              <w:pStyle w:val="Bezmezer"/>
              <w:spacing w:line="360" w:lineRule="auto"/>
              <w:jc w:val="both"/>
              <w:rPr>
                <w:rFonts w:ascii="Arial" w:hAnsi="Arial" w:cs="Arial"/>
                <w:b/>
                <w:color w:val="0F0D29" w:themeColor="text1"/>
              </w:rPr>
            </w:pPr>
          </w:p>
          <w:p w14:paraId="1CDAB96A" w14:textId="77777777" w:rsidR="00D97B4A" w:rsidRDefault="00D97B4A" w:rsidP="008E3CAD">
            <w:pPr>
              <w:pStyle w:val="Bezmezer"/>
              <w:spacing w:line="360" w:lineRule="auto"/>
              <w:jc w:val="both"/>
              <w:rPr>
                <w:rFonts w:ascii="Arial" w:hAnsi="Arial" w:cs="Arial"/>
                <w:b/>
                <w:color w:val="0F0D29" w:themeColor="text1"/>
              </w:rPr>
            </w:pPr>
          </w:p>
          <w:p w14:paraId="6ED62FA4" w14:textId="77777777"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525192D4" w14:textId="5B4887E5" w:rsidR="006E530F" w:rsidRPr="006E530F" w:rsidRDefault="00780112" w:rsidP="006E530F">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780112">
              <w:rPr>
                <w:rStyle w:val="Hypertextovodkaz"/>
                <w:rFonts w:ascii="Arial" w:eastAsia="Times New Roman" w:hAnsi="Arial" w:cs="Arial"/>
                <w:b/>
                <w:bCs/>
                <w:color w:val="0F0D29" w:themeColor="text1"/>
                <w:kern w:val="36"/>
                <w:sz w:val="24"/>
                <w:szCs w:val="24"/>
                <w:u w:val="none"/>
                <w:lang w:eastAsia="cs-CZ"/>
              </w:rPr>
              <w:t xml:space="preserve">Zákon č. 131/2022 Sb., kterým se mění zákon č. 353/2003 Sb., o spotřebních daních, ve znění pozdějších předpisů </w:t>
            </w:r>
            <w:r w:rsidR="00C22D74">
              <w:rPr>
                <w:rStyle w:val="Hypertextovodkaz"/>
                <w:rFonts w:ascii="Arial" w:eastAsia="Times New Roman" w:hAnsi="Arial" w:cs="Arial"/>
                <w:b/>
                <w:bCs/>
                <w:color w:val="0F0D29" w:themeColor="text1"/>
                <w:kern w:val="36"/>
                <w:sz w:val="24"/>
                <w:szCs w:val="24"/>
                <w:u w:val="none"/>
                <w:lang w:eastAsia="cs-CZ"/>
              </w:rPr>
              <w:pict w14:anchorId="412B3014">
                <v:rect id="_x0000_i1099" style="width:0;height:1.5pt" o:hralign="center" o:hrstd="t" o:hr="t" fillcolor="#a0a0a0" stroked="f"/>
              </w:pict>
            </w:r>
          </w:p>
          <w:p w14:paraId="3BEB4A33" w14:textId="4CF6F033" w:rsidR="006E530F"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 xml:space="preserve">Dne 27. 5. 2022 byla ve sbírce zákonů publikována novela zákona č. 353/2003 Sb., o spotřebních daních. </w:t>
            </w:r>
            <w:r>
              <w:t xml:space="preserve"> </w:t>
            </w:r>
            <w:r w:rsidRPr="00780112">
              <w:rPr>
                <w:rFonts w:asciiTheme="majorHAnsi" w:hAnsiTheme="majorHAnsi" w:cstheme="majorHAnsi"/>
                <w:color w:val="3B3B3B"/>
                <w:sz w:val="20"/>
                <w:szCs w:val="20"/>
              </w:rPr>
              <w:t xml:space="preserve">Hlavním principem novely zákona o spotřebních daních je dočasné snížení spotřební </w:t>
            </w:r>
            <w:proofErr w:type="gramStart"/>
            <w:r w:rsidRPr="00780112">
              <w:rPr>
                <w:rFonts w:asciiTheme="majorHAnsi" w:hAnsiTheme="majorHAnsi" w:cstheme="majorHAnsi"/>
                <w:color w:val="3B3B3B"/>
                <w:sz w:val="20"/>
                <w:szCs w:val="20"/>
              </w:rPr>
              <w:t>daně  z</w:t>
            </w:r>
            <w:proofErr w:type="gramEnd"/>
            <w:r w:rsidRPr="00780112">
              <w:rPr>
                <w:rFonts w:asciiTheme="majorHAnsi" w:hAnsiTheme="majorHAnsi" w:cstheme="majorHAnsi"/>
                <w:color w:val="3B3B3B"/>
                <w:sz w:val="20"/>
                <w:szCs w:val="20"/>
              </w:rPr>
              <w:t xml:space="preserve"> motorové nafty a bezolovnatého benzínu o 1,50 Kč/l, a to s účinností od 1. června 2022 do 30. září 2022</w:t>
            </w:r>
            <w:r>
              <w:rPr>
                <w:rFonts w:asciiTheme="majorHAnsi" w:hAnsiTheme="majorHAnsi" w:cstheme="majorHAnsi"/>
                <w:color w:val="3B3B3B"/>
                <w:sz w:val="20"/>
                <w:szCs w:val="20"/>
              </w:rPr>
              <w:t>.</w:t>
            </w:r>
          </w:p>
          <w:p w14:paraId="3869A620" w14:textId="12A3E6B3"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4D60B83" w14:textId="110AA736"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Novela byla blíže předmětem monitoringu za měsíc duben 2022.</w:t>
            </w:r>
          </w:p>
          <w:p w14:paraId="60BD7125" w14:textId="604AA378"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12E564E" w14:textId="634D45AE" w:rsidR="00780112" w:rsidRPr="006E530F" w:rsidRDefault="00780112" w:rsidP="00780112">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780112">
              <w:rPr>
                <w:rStyle w:val="Hypertextovodkaz"/>
                <w:rFonts w:ascii="Arial" w:eastAsia="Times New Roman" w:hAnsi="Arial" w:cs="Arial"/>
                <w:b/>
                <w:bCs/>
                <w:color w:val="0F0D29" w:themeColor="text1"/>
                <w:kern w:val="36"/>
                <w:sz w:val="24"/>
                <w:szCs w:val="24"/>
                <w:u w:val="none"/>
                <w:lang w:eastAsia="cs-CZ"/>
              </w:rPr>
              <w:t>Nařízení vlá</w:t>
            </w:r>
            <w:r>
              <w:rPr>
                <w:rStyle w:val="Hypertextovodkaz"/>
                <w:rFonts w:ascii="Arial" w:eastAsia="Times New Roman" w:hAnsi="Arial" w:cs="Arial"/>
                <w:b/>
                <w:bCs/>
                <w:color w:val="0F0D29" w:themeColor="text1"/>
                <w:kern w:val="36"/>
                <w:sz w:val="24"/>
                <w:szCs w:val="24"/>
                <w:u w:val="none"/>
                <w:lang w:eastAsia="cs-CZ"/>
              </w:rPr>
              <w:t xml:space="preserve">dy č. 107/2022 Sb., </w:t>
            </w:r>
            <w:r w:rsidRPr="00780112">
              <w:rPr>
                <w:rStyle w:val="Hypertextovodkaz"/>
                <w:rFonts w:ascii="Arial" w:eastAsia="Times New Roman" w:hAnsi="Arial" w:cs="Arial"/>
                <w:b/>
                <w:bCs/>
                <w:color w:val="0F0D29" w:themeColor="text1"/>
                <w:kern w:val="36"/>
                <w:sz w:val="24"/>
                <w:szCs w:val="24"/>
                <w:u w:val="none"/>
                <w:lang w:eastAsia="cs-CZ"/>
              </w:rPr>
              <w:t>kterým se mění nařízení vlády č. 189/2018 Sb., o kritériích udržitelnosti biopaliv a snižování emisí skleníkových plynů z pohonných hmot, ve znění nařízení vlády č. 492/2020 Sb.</w:t>
            </w:r>
            <w:r w:rsidR="00C22D74">
              <w:rPr>
                <w:rStyle w:val="Hypertextovodkaz"/>
                <w:rFonts w:ascii="Arial" w:eastAsia="Times New Roman" w:hAnsi="Arial" w:cs="Arial"/>
                <w:b/>
                <w:bCs/>
                <w:color w:val="0F0D29" w:themeColor="text1"/>
                <w:kern w:val="36"/>
                <w:sz w:val="24"/>
                <w:szCs w:val="24"/>
                <w:u w:val="none"/>
                <w:lang w:eastAsia="cs-CZ"/>
              </w:rPr>
              <w:pict w14:anchorId="2ED1C990">
                <v:rect id="_x0000_i1100" style="width:0;height:1.5pt" o:hralign="center" o:hrstd="t" o:hr="t" fillcolor="#a0a0a0" stroked="f"/>
              </w:pict>
            </w:r>
          </w:p>
          <w:p w14:paraId="29B1C2A2" w14:textId="19E88A77" w:rsidR="00780112" w:rsidRDefault="00780112" w:rsidP="005F4E9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w:t>
            </w:r>
            <w:r w:rsidR="005F4E93">
              <w:rPr>
                <w:rFonts w:asciiTheme="majorHAnsi" w:hAnsiTheme="majorHAnsi" w:cstheme="majorHAnsi"/>
                <w:color w:val="3B3B3B"/>
                <w:sz w:val="20"/>
                <w:szCs w:val="20"/>
              </w:rPr>
              <w:t>5</w:t>
            </w:r>
            <w:r>
              <w:rPr>
                <w:rFonts w:asciiTheme="majorHAnsi" w:hAnsiTheme="majorHAnsi" w:cstheme="majorHAnsi"/>
                <w:color w:val="3B3B3B"/>
                <w:sz w:val="20"/>
                <w:szCs w:val="20"/>
              </w:rPr>
              <w:t>. 5. 2022</w:t>
            </w:r>
            <w:r w:rsidR="005F4E93">
              <w:rPr>
                <w:rFonts w:asciiTheme="majorHAnsi" w:hAnsiTheme="majorHAnsi" w:cstheme="majorHAnsi"/>
                <w:color w:val="3B3B3B"/>
                <w:sz w:val="20"/>
                <w:szCs w:val="20"/>
              </w:rPr>
              <w:t xml:space="preserve"> bylo</w:t>
            </w:r>
            <w:r>
              <w:rPr>
                <w:rFonts w:asciiTheme="majorHAnsi" w:hAnsiTheme="majorHAnsi" w:cstheme="majorHAnsi"/>
                <w:color w:val="3B3B3B"/>
                <w:sz w:val="20"/>
                <w:szCs w:val="20"/>
              </w:rPr>
              <w:t xml:space="preserve"> ve sbírce zákonů publikov</w:t>
            </w:r>
            <w:r w:rsidR="005F4E93">
              <w:rPr>
                <w:rFonts w:asciiTheme="majorHAnsi" w:hAnsiTheme="majorHAnsi" w:cstheme="majorHAnsi"/>
                <w:color w:val="3B3B3B"/>
                <w:sz w:val="20"/>
                <w:szCs w:val="20"/>
              </w:rPr>
              <w:t>áno</w:t>
            </w:r>
            <w:r>
              <w:rPr>
                <w:rFonts w:asciiTheme="majorHAnsi" w:hAnsiTheme="majorHAnsi" w:cstheme="majorHAnsi"/>
                <w:color w:val="3B3B3B"/>
                <w:sz w:val="20"/>
                <w:szCs w:val="20"/>
              </w:rPr>
              <w:t xml:space="preserve"> </w:t>
            </w:r>
            <w:r w:rsidR="005F4E93" w:rsidRPr="005F4E93">
              <w:rPr>
                <w:rFonts w:asciiTheme="majorHAnsi" w:hAnsiTheme="majorHAnsi" w:cstheme="majorHAnsi"/>
                <w:color w:val="3B3B3B"/>
                <w:sz w:val="20"/>
                <w:szCs w:val="20"/>
              </w:rPr>
              <w:t>Nařízení vlády č. 107/2022 Sb., kterým se mění nařízení vlády č. 189/2018 Sb., o kritériích udržitelnosti biopaliv a snižování emisí skleníkových plynů z pohonných hmot, ve znění nařízení vlády č. 492/2020 Sb.</w:t>
            </w:r>
            <w:r w:rsidR="005F4E93">
              <w:rPr>
                <w:rFonts w:asciiTheme="majorHAnsi" w:hAnsiTheme="majorHAnsi" w:cstheme="majorHAnsi"/>
                <w:color w:val="3B3B3B"/>
                <w:sz w:val="20"/>
                <w:szCs w:val="20"/>
              </w:rPr>
              <w:t>, které je účinné od 20.5.2022. Jedná se o částečnou transpozici</w:t>
            </w:r>
            <w:r w:rsidR="005F4E93" w:rsidRPr="005F4E93">
              <w:rPr>
                <w:rFonts w:asciiTheme="majorHAnsi" w:hAnsiTheme="majorHAnsi" w:cstheme="majorHAnsi"/>
                <w:color w:val="3B3B3B"/>
                <w:sz w:val="20"/>
                <w:szCs w:val="20"/>
              </w:rPr>
              <w:t xml:space="preserve"> směrnice RED II</w:t>
            </w:r>
            <w:r w:rsidR="005F4E93">
              <w:rPr>
                <w:rFonts w:asciiTheme="majorHAnsi" w:hAnsiTheme="majorHAnsi" w:cstheme="majorHAnsi"/>
                <w:color w:val="3B3B3B"/>
                <w:sz w:val="20"/>
                <w:szCs w:val="20"/>
              </w:rPr>
              <w:t>.</w:t>
            </w:r>
          </w:p>
          <w:p w14:paraId="268030C4" w14:textId="32741B3F" w:rsidR="005F4E93" w:rsidRDefault="005F4E93" w:rsidP="00780112">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D6C554C" w14:textId="758C6F96" w:rsidR="00780112" w:rsidRDefault="005F4E93" w:rsidP="00780112">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Novela nařízení</w:t>
            </w:r>
            <w:r w:rsidR="00780112">
              <w:rPr>
                <w:rFonts w:asciiTheme="majorHAnsi" w:hAnsiTheme="majorHAnsi" w:cstheme="majorHAnsi"/>
                <w:color w:val="3B3B3B"/>
                <w:sz w:val="20"/>
                <w:szCs w:val="20"/>
              </w:rPr>
              <w:t xml:space="preserve"> blíže předmětem monitoringu za měsíc </w:t>
            </w:r>
            <w:r>
              <w:rPr>
                <w:rFonts w:asciiTheme="majorHAnsi" w:hAnsiTheme="majorHAnsi" w:cstheme="majorHAnsi"/>
                <w:color w:val="3B3B3B"/>
                <w:sz w:val="20"/>
                <w:szCs w:val="20"/>
              </w:rPr>
              <w:t>září a říjen 2021.</w:t>
            </w:r>
          </w:p>
          <w:p w14:paraId="2A6E2BFB" w14:textId="65A437A0"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67F6ECEF" w14:textId="06EC77AD"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8B7DC13" w14:textId="00828F89"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BC92AF3" w14:textId="5F817E40"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5D537A8" w14:textId="5FC4CE18"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1C23530D" w14:textId="1235D585"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64D00D8" w14:textId="43263AC8"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CA9DC1B" w14:textId="0B6DBC4C"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BDD63D7" w14:textId="474BD35F"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2F8BA0E" w14:textId="5B067D0E"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2F8775A" w14:textId="31077570"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63116F1" w14:textId="05F1DCDF"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AB30398" w14:textId="77777777" w:rsidR="00BF794B" w:rsidRPr="006E530F" w:rsidRDefault="00BF794B"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2C19B456" w14:textId="77777777" w:rsidR="00361BA9" w:rsidRDefault="00361BA9" w:rsidP="00361BA9">
            <w:pPr>
              <w:pStyle w:val="text-large"/>
              <w:shd w:val="clear" w:color="auto" w:fill="FFFFFF"/>
              <w:spacing w:before="0" w:beforeAutospacing="0" w:after="0" w:afterAutospacing="0" w:line="408" w:lineRule="atLeast"/>
              <w:jc w:val="center"/>
              <w:rPr>
                <w:rFonts w:asciiTheme="majorHAnsi" w:hAnsiTheme="majorHAnsi" w:cstheme="majorHAnsi"/>
                <w:b/>
                <w:bCs/>
                <w:color w:val="3B3B3B"/>
              </w:rPr>
            </w:pPr>
            <w:r w:rsidRPr="00361BA9">
              <w:rPr>
                <w:rFonts w:asciiTheme="majorHAnsi" w:hAnsiTheme="majorHAnsi" w:cstheme="majorHAnsi"/>
                <w:b/>
                <w:bCs/>
                <w:color w:val="3B3B3B"/>
              </w:rPr>
              <w:t>Návrh zákona, kterým se mění zákon č. 258/2000 Sb., o ochraně veřejného zdraví a o změně některých souvisejících zákonů, ve znění pozdějších předpisů, a zákon č. 274/2001 Sb., o vodovodech a kanalizacích pro veřejnou potřebu a o změně některých zákonů (zákon o vodovodech a kanalizacích)</w:t>
            </w:r>
          </w:p>
          <w:p w14:paraId="12279A0E" w14:textId="6635C536" w:rsidR="004325C8" w:rsidRDefault="00C22D74" w:rsidP="00361BA9">
            <w:pPr>
              <w:pStyle w:val="text-large"/>
              <w:shd w:val="clear" w:color="auto" w:fill="FFFFFF"/>
              <w:spacing w:before="0" w:beforeAutospacing="0" w:after="0" w:afterAutospacing="0" w:line="408" w:lineRule="atLeast"/>
              <w:jc w:val="center"/>
              <w:rPr>
                <w:rFonts w:asciiTheme="majorHAnsi" w:hAnsiTheme="majorHAnsi" w:cstheme="majorHAnsi"/>
                <w:b/>
                <w:bCs/>
                <w:color w:val="3B3B3B"/>
              </w:rPr>
            </w:pPr>
            <w:r>
              <w:rPr>
                <w:rStyle w:val="Hypertextovodkaz"/>
                <w:rFonts w:ascii="Arial" w:hAnsi="Arial" w:cs="Arial"/>
                <w:b/>
                <w:bCs/>
                <w:color w:val="0F0D29" w:themeColor="text1"/>
                <w:kern w:val="36"/>
                <w:u w:val="none"/>
              </w:rPr>
              <w:pict w14:anchorId="1DBFE80C">
                <v:rect id="_x0000_i1101" style="width:0;height:1.5pt" o:hralign="center" o:hrstd="t" o:hr="t" fillcolor="#a0a0a0" stroked="f"/>
              </w:pict>
            </w:r>
          </w:p>
          <w:p w14:paraId="0840DF63" w14:textId="67443CF7" w:rsidR="00361BA9" w:rsidRDefault="00361BA9"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361BA9">
              <w:rPr>
                <w:rFonts w:asciiTheme="majorHAnsi" w:hAnsiTheme="majorHAnsi" w:cstheme="majorHAnsi"/>
                <w:color w:val="3B3B3B"/>
                <w:sz w:val="20"/>
                <w:szCs w:val="20"/>
              </w:rPr>
              <w:t>Cílem navržené novely zákona o ochraně veřejného zdraví a zákona o vodovodech a kanalizacích je provedení povinné transpozice evropské směrnice č. 2020/2184 do legislativy ČR. Tato směrnice v plném rozsahu nahrazuje směrnici Rady 98/83/ES. Přijetím návrhu má být zajištěno zvýšení bezpečnosti dodávané pitné vody</w:t>
            </w:r>
            <w:r>
              <w:rPr>
                <w:rFonts w:asciiTheme="majorHAnsi" w:hAnsiTheme="majorHAnsi" w:cstheme="majorHAnsi"/>
                <w:color w:val="3B3B3B"/>
                <w:sz w:val="20"/>
                <w:szCs w:val="20"/>
              </w:rPr>
              <w:t>.</w:t>
            </w:r>
          </w:p>
          <w:p w14:paraId="3FE3BC14" w14:textId="2081C90F" w:rsidR="00361BA9" w:rsidRDefault="00361BA9"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E0AF561" w14:textId="743F901B" w:rsidR="00140D0B" w:rsidRPr="00D80850" w:rsidRDefault="00140D0B" w:rsidP="00361BA9">
            <w:pPr>
              <w:pStyle w:val="text-large"/>
              <w:shd w:val="clear" w:color="auto" w:fill="FFFFFF"/>
              <w:spacing w:before="0" w:beforeAutospacing="0" w:after="0" w:afterAutospacing="0" w:line="408" w:lineRule="atLeast"/>
              <w:jc w:val="both"/>
              <w:rPr>
                <w:rFonts w:asciiTheme="majorHAnsi" w:hAnsiTheme="majorHAnsi" w:cstheme="majorHAnsi"/>
                <w:b/>
                <w:bCs/>
                <w:color w:val="3B3B3B"/>
                <w:sz w:val="20"/>
                <w:szCs w:val="20"/>
              </w:rPr>
            </w:pPr>
            <w:r w:rsidRPr="00D80850">
              <w:rPr>
                <w:rFonts w:asciiTheme="majorHAnsi" w:hAnsiTheme="majorHAnsi" w:cstheme="majorHAnsi"/>
                <w:b/>
                <w:bCs/>
                <w:color w:val="3B3B3B"/>
                <w:sz w:val="20"/>
                <w:szCs w:val="20"/>
              </w:rPr>
              <w:t>Věcné posouzení dopadů ze strany OHSE:</w:t>
            </w:r>
          </w:p>
          <w:p w14:paraId="4588612E" w14:textId="1C0507D7" w:rsidR="00140D0B" w:rsidRDefault="00140D0B"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tbl>
            <w:tblPr>
              <w:tblW w:w="0" w:type="auto"/>
              <w:tblCellMar>
                <w:left w:w="0" w:type="dxa"/>
                <w:right w:w="0" w:type="dxa"/>
              </w:tblCellMar>
              <w:tblLook w:val="04A0" w:firstRow="1" w:lastRow="0" w:firstColumn="1" w:lastColumn="0" w:noHBand="0" w:noVBand="1"/>
            </w:tblPr>
            <w:tblGrid>
              <w:gridCol w:w="2718"/>
              <w:gridCol w:w="2454"/>
              <w:gridCol w:w="2181"/>
              <w:gridCol w:w="2362"/>
            </w:tblGrid>
            <w:tr w:rsidR="00140D0B" w14:paraId="2165C076" w14:textId="77777777" w:rsidTr="00140D0B">
              <w:tc>
                <w:tcPr>
                  <w:tcW w:w="3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11CFDC" w14:textId="77777777" w:rsidR="00140D0B" w:rsidRPr="00140D0B" w:rsidRDefault="00140D0B" w:rsidP="00BF794B">
                  <w:pPr>
                    <w:framePr w:hSpace="141" w:wrap="around" w:vAnchor="text" w:hAnchor="text" w:y="1"/>
                    <w:suppressOverlap/>
                    <w:rPr>
                      <w:rFonts w:ascii="Arial" w:eastAsiaTheme="minorHAnsi" w:hAnsi="Arial" w:cs="Arial"/>
                      <w:b w:val="0"/>
                      <w:bCs/>
                      <w:color w:val="44546A"/>
                      <w:sz w:val="20"/>
                      <w:szCs w:val="20"/>
                    </w:rPr>
                  </w:pPr>
                  <w:r w:rsidRPr="00140D0B">
                    <w:rPr>
                      <w:rFonts w:ascii="Arial" w:hAnsi="Arial" w:cs="Arial"/>
                      <w:b w:val="0"/>
                      <w:bCs/>
                      <w:color w:val="44546A"/>
                      <w:sz w:val="20"/>
                      <w:szCs w:val="20"/>
                    </w:rPr>
                    <w:t>Dopad</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000B6"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Opatření</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8457F" w14:textId="4FCB346F" w:rsidR="00140D0B" w:rsidRPr="00140D0B" w:rsidRDefault="00A92FB5"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T</w:t>
                  </w:r>
                  <w:r w:rsidR="00140D0B" w:rsidRPr="00140D0B">
                    <w:rPr>
                      <w:rFonts w:ascii="Arial" w:hAnsi="Arial" w:cs="Arial"/>
                      <w:b w:val="0"/>
                      <w:bCs/>
                      <w:color w:val="44546A"/>
                      <w:sz w:val="20"/>
                      <w:szCs w:val="20"/>
                    </w:rPr>
                    <w:t>ermín</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EEAE2"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Zajištění</w:t>
                  </w:r>
                </w:p>
              </w:tc>
            </w:tr>
            <w:tr w:rsidR="00140D0B" w14:paraId="2AA4D1FB" w14:textId="77777777" w:rsidTr="00140D0B">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538F8"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Zpřísnění režimu pro stanovení mírnějšího hygienického limitu ukazatelů s nejvyšší mezní hodnotou.</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2B77496"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Bez opatření.</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30066F3"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617A448D"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w:t>
                  </w:r>
                </w:p>
              </w:tc>
            </w:tr>
            <w:tr w:rsidR="00140D0B" w14:paraId="1F679139" w14:textId="77777777" w:rsidTr="00140D0B">
              <w:trPr>
                <w:trHeight w:val="1557"/>
              </w:trPr>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84E39"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Změna požadavků na obsah provozního řádu vodovodu (posouzení rizik, monitoring surové vody, validace dezinfekce).</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F7D917D"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Aktualizace provozních řádů vodovodů (Hněvice, Cerekvice, Šlapanov, Střelice).</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F432566"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30. 11. 2023</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DFEB4B7"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OHSE</w:t>
                  </w:r>
                </w:p>
              </w:tc>
            </w:tr>
            <w:tr w:rsidR="00140D0B" w14:paraId="3BC7D696" w14:textId="77777777" w:rsidTr="00140D0B">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AE8C9"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Požadavek na zveřejňování reklamačního řádu a vybraných údajů VÚME a VÚPE na internetových stránkách provozovatele veřejného vodovodu/kanalizace.</w:t>
                  </w:r>
                </w:p>
                <w:p w14:paraId="66013FE2"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8FCAB46"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Úprava internetových stránek ČEPRO, a.s. s doplněním požadovaných informací.</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0438507" w14:textId="77777777"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31. 12. 2022</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69534D42" w14:textId="1C1B93DD" w:rsidR="00140D0B" w:rsidRPr="00140D0B" w:rsidRDefault="00140D0B" w:rsidP="00BF794B">
                  <w:pPr>
                    <w:framePr w:hSpace="141" w:wrap="around" w:vAnchor="text" w:hAnchor="text" w:y="1"/>
                    <w:suppressOverlap/>
                    <w:rPr>
                      <w:rFonts w:ascii="Arial" w:hAnsi="Arial" w:cs="Arial"/>
                      <w:b w:val="0"/>
                      <w:bCs/>
                      <w:color w:val="44546A"/>
                      <w:sz w:val="20"/>
                      <w:szCs w:val="20"/>
                    </w:rPr>
                  </w:pPr>
                  <w:r w:rsidRPr="00140D0B">
                    <w:rPr>
                      <w:rFonts w:ascii="Arial" w:hAnsi="Arial" w:cs="Arial"/>
                      <w:b w:val="0"/>
                      <w:bCs/>
                      <w:color w:val="44546A"/>
                      <w:sz w:val="20"/>
                      <w:szCs w:val="20"/>
                    </w:rPr>
                    <w:t>Oddělení marketingu a komunikace</w:t>
                  </w:r>
                  <w:r w:rsidR="00D80850">
                    <w:rPr>
                      <w:rFonts w:ascii="Arial" w:hAnsi="Arial" w:cs="Arial"/>
                      <w:b w:val="0"/>
                      <w:bCs/>
                      <w:color w:val="44546A"/>
                      <w:sz w:val="20"/>
                      <w:szCs w:val="20"/>
                    </w:rPr>
                    <w:t xml:space="preserve"> po dodání podkladů ze strany OHSE</w:t>
                  </w:r>
                </w:p>
              </w:tc>
            </w:tr>
          </w:tbl>
          <w:p w14:paraId="57A3A580" w14:textId="2449D972" w:rsidR="00361BA9" w:rsidRDefault="00361BA9"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0279F3D" w14:textId="4B14C32C"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6904AEB" w14:textId="189714B5"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70216A1" w14:textId="262B0524"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B710A39" w14:textId="1AA205E0"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4C81BB2" w14:textId="1BDB53C8"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829EA82" w14:textId="0B1668AD"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5BA7A74" w14:textId="77777777" w:rsidR="006E5B8D" w:rsidRPr="00361BA9"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13AEC14B" w:rsidR="00C90A3E" w:rsidRPr="005078C0" w:rsidRDefault="005F4E93"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F4E93">
              <w:rPr>
                <w:rStyle w:val="Hypertextovodkaz"/>
                <w:rFonts w:ascii="Arial" w:eastAsia="Times New Roman" w:hAnsi="Arial" w:cs="Arial"/>
                <w:b/>
                <w:bCs/>
                <w:color w:val="0F0D29" w:themeColor="text1"/>
                <w:kern w:val="36"/>
                <w:sz w:val="24"/>
                <w:szCs w:val="20"/>
                <w:u w:val="none"/>
                <w:lang w:eastAsia="cs-CZ"/>
              </w:rPr>
              <w:t>Novela zákona č. 254/2001 Sb., o vodách (vodní zákon)</w:t>
            </w:r>
            <w:r w:rsidR="00C22D74">
              <w:rPr>
                <w:rStyle w:val="Hypertextovodkaz"/>
                <w:rFonts w:ascii="Arial" w:eastAsia="Times New Roman" w:hAnsi="Arial" w:cs="Arial"/>
                <w:b/>
                <w:bCs/>
                <w:color w:val="0F0D29" w:themeColor="text1"/>
                <w:kern w:val="36"/>
                <w:sz w:val="24"/>
                <w:szCs w:val="24"/>
                <w:u w:val="none"/>
                <w:lang w:eastAsia="cs-CZ"/>
              </w:rPr>
              <w:pict w14:anchorId="32314C35">
                <v:rect id="_x0000_i1102" style="width:0;height:1.5pt" o:hralign="center" o:hrstd="t" o:hr="t" fillcolor="#a0a0a0" stroked="f"/>
              </w:pict>
            </w:r>
          </w:p>
          <w:p w14:paraId="0823C5D2" w14:textId="35D4FA5A"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t xml:space="preserve"> </w:t>
            </w:r>
            <w:r w:rsidR="005F4E93">
              <w:t xml:space="preserve"> </w:t>
            </w:r>
            <w:r w:rsidR="005F4E93" w:rsidRPr="005F4E93">
              <w:rPr>
                <w:rStyle w:val="Hypertextovodkaz"/>
                <w:rFonts w:ascii="Arial" w:eastAsia="Times New Roman" w:hAnsi="Arial" w:cs="Arial"/>
                <w:bCs/>
                <w:color w:val="0F0D29" w:themeColor="text1"/>
                <w:kern w:val="36"/>
                <w:sz w:val="20"/>
                <w:szCs w:val="20"/>
                <w:u w:val="none"/>
                <w:lang w:eastAsia="cs-CZ"/>
              </w:rPr>
              <w:t>KORNCE3BNYHL</w:t>
            </w:r>
            <w:r>
              <w:rPr>
                <w:rStyle w:val="Hypertextovodkaz"/>
                <w:rFonts w:ascii="Arial" w:eastAsia="Times New Roman" w:hAnsi="Arial" w:cs="Arial"/>
                <w:bCs/>
                <w:color w:val="0F0D29" w:themeColor="text1"/>
                <w:kern w:val="36"/>
                <w:sz w:val="20"/>
                <w:szCs w:val="20"/>
                <w:u w:val="none"/>
                <w:lang w:eastAsia="cs-CZ"/>
              </w:rPr>
              <w:t xml:space="preserve"> </w:t>
            </w:r>
          </w:p>
          <w:p w14:paraId="5F68AE9A" w14:textId="633BF91C"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Připomínkové řízení </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FD6BB72" w14:textId="108347E7" w:rsidR="0014703E" w:rsidRPr="005078C0" w:rsidRDefault="00616648" w:rsidP="0061664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Ministerstvo životního prostřední předložilo novelu vodního zákona, která </w:t>
            </w:r>
            <w:r w:rsidRPr="00616648">
              <w:rPr>
                <w:rStyle w:val="Hypertextovodkaz"/>
                <w:rFonts w:ascii="Arial" w:eastAsia="Times New Roman" w:hAnsi="Arial" w:cs="Arial"/>
                <w:bCs/>
                <w:color w:val="0F0D29" w:themeColor="text1"/>
                <w:kern w:val="36"/>
                <w:sz w:val="20"/>
                <w:szCs w:val="20"/>
                <w:u w:val="none"/>
                <w:lang w:eastAsia="cs-CZ"/>
              </w:rPr>
              <w:t>reaguje na dosavadní zkušenosti z praxe ve vztahu k řeše</w:t>
            </w:r>
            <w:r>
              <w:rPr>
                <w:rStyle w:val="Hypertextovodkaz"/>
                <w:rFonts w:ascii="Arial" w:eastAsia="Times New Roman" w:hAnsi="Arial" w:cs="Arial"/>
                <w:bCs/>
                <w:color w:val="0F0D29" w:themeColor="text1"/>
                <w:kern w:val="36"/>
                <w:sz w:val="20"/>
                <w:szCs w:val="20"/>
                <w:u w:val="none"/>
                <w:lang w:eastAsia="cs-CZ"/>
              </w:rPr>
              <w:t xml:space="preserve">ní havárií mimořádného rozsahu. </w:t>
            </w:r>
            <w:r w:rsidRPr="00616648">
              <w:rPr>
                <w:rStyle w:val="Hypertextovodkaz"/>
                <w:rFonts w:ascii="Arial" w:eastAsia="Times New Roman" w:hAnsi="Arial" w:cs="Arial"/>
                <w:bCs/>
                <w:color w:val="0F0D29" w:themeColor="text1"/>
                <w:kern w:val="36"/>
                <w:sz w:val="20"/>
                <w:szCs w:val="20"/>
                <w:u w:val="none"/>
                <w:lang w:eastAsia="cs-CZ"/>
              </w:rPr>
              <w:t>Nová právní úprava</w:t>
            </w:r>
            <w:r w:rsidR="006E5B8D">
              <w:rPr>
                <w:rStyle w:val="Hypertextovodkaz"/>
                <w:rFonts w:ascii="Arial" w:eastAsia="Times New Roman" w:hAnsi="Arial" w:cs="Arial"/>
                <w:bCs/>
                <w:color w:val="0F0D29" w:themeColor="text1"/>
                <w:kern w:val="36"/>
                <w:sz w:val="20"/>
                <w:szCs w:val="20"/>
                <w:u w:val="none"/>
                <w:lang w:eastAsia="cs-CZ"/>
              </w:rPr>
              <w:t xml:space="preserve"> obsahuje</w:t>
            </w:r>
            <w:r w:rsidRPr="00616648">
              <w:rPr>
                <w:rStyle w:val="Hypertextovodkaz"/>
                <w:rFonts w:ascii="Arial" w:eastAsia="Times New Roman" w:hAnsi="Arial" w:cs="Arial"/>
                <w:bCs/>
                <w:color w:val="0F0D29" w:themeColor="text1"/>
                <w:kern w:val="36"/>
                <w:sz w:val="20"/>
                <w:szCs w:val="20"/>
                <w:u w:val="none"/>
                <w:lang w:eastAsia="cs-CZ"/>
              </w:rPr>
              <w:t xml:space="preserve"> řešení havárií mimořádného rozsahu a zpřísnění sankcí na úseku havárií, nedovoleného vypouštění odpadních vod s obsahem nebezpečných závadných látek a nakládáním se (zejména nebezpečnými) závadnými látkami</w:t>
            </w:r>
          </w:p>
          <w:p w14:paraId="5E3658A4" w14:textId="77777777" w:rsidR="001F081B" w:rsidRPr="005078C0" w:rsidRDefault="001F081B" w:rsidP="001F081B">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D09A34F" w14:textId="7DF1FEA3"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F081B">
              <w:rPr>
                <w:rStyle w:val="Hypertextovodkaz"/>
                <w:rFonts w:ascii="Arial" w:eastAsia="Times New Roman" w:hAnsi="Arial" w:cs="Arial"/>
                <w:bCs/>
                <w:i/>
                <w:color w:val="0F0D29" w:themeColor="text1"/>
                <w:kern w:val="36"/>
                <w:sz w:val="20"/>
                <w:szCs w:val="20"/>
                <w:u w:val="none"/>
                <w:lang w:eastAsia="cs-CZ"/>
              </w:rPr>
              <w:t>O</w:t>
            </w:r>
            <w:r w:rsidR="005F4E93">
              <w:rPr>
                <w:rStyle w:val="Hypertextovodkaz"/>
                <w:rFonts w:ascii="Arial" w:eastAsia="Times New Roman" w:hAnsi="Arial" w:cs="Arial"/>
                <w:bCs/>
                <w:i/>
                <w:color w:val="0F0D29" w:themeColor="text1"/>
                <w:kern w:val="36"/>
                <w:sz w:val="20"/>
                <w:szCs w:val="20"/>
                <w:u w:val="none"/>
                <w:lang w:eastAsia="cs-CZ"/>
              </w:rPr>
              <w:t>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60062C37"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5F4E93">
              <w:rPr>
                <w:rStyle w:val="Hypertextovodkaz"/>
                <w:rFonts w:ascii="Arial" w:eastAsia="Times New Roman" w:hAnsi="Arial" w:cs="Arial"/>
                <w:i/>
                <w:color w:val="0F0D29" w:themeColor="text1"/>
                <w:kern w:val="36"/>
                <w:sz w:val="20"/>
                <w:szCs w:val="20"/>
                <w:u w:val="none"/>
                <w:lang w:eastAsia="cs-CZ"/>
              </w:rPr>
              <w:t>OHSE</w:t>
            </w:r>
            <w:r w:rsidR="00C90A3E" w:rsidRPr="00C90A3E">
              <w:rPr>
                <w:rStyle w:val="Hypertextovodkaz"/>
                <w:rFonts w:ascii="Arial" w:eastAsia="Times New Roman" w:hAnsi="Arial" w:cs="Arial"/>
                <w:i/>
                <w:color w:val="0F0D29" w:themeColor="text1"/>
                <w:kern w:val="36"/>
                <w:sz w:val="20"/>
                <w:szCs w:val="20"/>
                <w:u w:val="none"/>
                <w:lang w:eastAsia="cs-CZ"/>
              </w:rPr>
              <w:t xml:space="preserve"> – </w:t>
            </w:r>
            <w:r w:rsidR="005F4E93">
              <w:rPr>
                <w:rStyle w:val="Hypertextovodkaz"/>
                <w:rFonts w:ascii="Arial" w:eastAsia="Times New Roman" w:hAnsi="Arial" w:cs="Arial"/>
                <w:i/>
                <w:color w:val="0F0D29" w:themeColor="text1"/>
                <w:kern w:val="36"/>
                <w:sz w:val="20"/>
                <w:szCs w:val="20"/>
                <w:u w:val="none"/>
                <w:lang w:eastAsia="cs-CZ"/>
              </w:rPr>
              <w:t>Ing. Zd</w:t>
            </w:r>
            <w:r w:rsidR="00616648">
              <w:rPr>
                <w:rStyle w:val="Hypertextovodkaz"/>
                <w:rFonts w:ascii="Arial" w:eastAsia="Times New Roman" w:hAnsi="Arial" w:cs="Arial"/>
                <w:i/>
                <w:color w:val="0F0D29" w:themeColor="text1"/>
                <w:kern w:val="36"/>
                <w:sz w:val="20"/>
                <w:szCs w:val="20"/>
                <w:u w:val="none"/>
                <w:lang w:eastAsia="cs-CZ"/>
              </w:rPr>
              <w:t>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5F4E93">
              <w:rPr>
                <w:rStyle w:val="Hypertextovodkaz"/>
                <w:rFonts w:ascii="Arial" w:eastAsia="Times New Roman" w:hAnsi="Arial" w:cs="Arial"/>
                <w:b/>
                <w:bCs/>
                <w:i/>
                <w:color w:val="0F0D29" w:themeColor="text1"/>
                <w:kern w:val="36"/>
                <w:sz w:val="20"/>
                <w:szCs w:val="20"/>
                <w:u w:val="none"/>
                <w:lang w:eastAsia="cs-CZ"/>
              </w:rPr>
              <w:t>30.6.2022</w:t>
            </w:r>
          </w:p>
          <w:p w14:paraId="162C871F"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22B32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E3BAB10" w14:textId="621E689E" w:rsidR="00A404F7" w:rsidRDefault="00A404F7"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C608D79" w14:textId="77777777" w:rsidR="00616648" w:rsidRDefault="00616648" w:rsidP="0061664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16648">
              <w:rPr>
                <w:rStyle w:val="Hypertextovodkaz"/>
                <w:rFonts w:ascii="Arial" w:eastAsia="Times New Roman" w:hAnsi="Arial" w:cs="Arial"/>
                <w:b/>
                <w:bCs/>
                <w:color w:val="0F0D29" w:themeColor="text1"/>
                <w:kern w:val="36"/>
                <w:sz w:val="24"/>
                <w:szCs w:val="20"/>
                <w:u w:val="none"/>
                <w:lang w:eastAsia="cs-CZ"/>
              </w:rPr>
              <w:t>Návrh zákona, kterým se mění některé zákony v oblasti daní a některé další související zákony</w:t>
            </w:r>
          </w:p>
          <w:p w14:paraId="43A06424" w14:textId="745E9B95" w:rsidR="00A404F7" w:rsidRDefault="00C22D74" w:rsidP="0061664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1C16C26">
                <v:rect id="_x0000_i1103" style="width:0;height:1.5pt" o:hralign="center" o:hrstd="t" o:hr="t" fillcolor="#a0a0a0" stroked="f"/>
              </w:pict>
            </w:r>
          </w:p>
          <w:p w14:paraId="1C6941AB" w14:textId="77777777" w:rsid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bookmarkStart w:id="1" w:name="_Hlk95940230"/>
            <w:r>
              <w:rPr>
                <w:rStyle w:val="Hypertextovodkaz"/>
                <w:rFonts w:ascii="Arial" w:eastAsia="Times New Roman" w:hAnsi="Arial" w:cs="Arial"/>
                <w:color w:val="0F0D29" w:themeColor="text1"/>
                <w:kern w:val="36"/>
                <w:sz w:val="20"/>
                <w:szCs w:val="16"/>
                <w:u w:val="none"/>
                <w:lang w:eastAsia="cs-CZ"/>
              </w:rPr>
              <w:t xml:space="preserve">EKLEP </w:t>
            </w:r>
            <w:r w:rsidRPr="005B3D0D">
              <w:rPr>
                <w:rStyle w:val="Hypertextovodkaz"/>
                <w:rFonts w:ascii="Arial" w:eastAsia="Times New Roman" w:hAnsi="Arial" w:cs="Arial"/>
                <w:color w:val="0F0D29" w:themeColor="text1"/>
                <w:kern w:val="36"/>
                <w:sz w:val="20"/>
                <w:szCs w:val="16"/>
                <w:u w:val="none"/>
                <w:lang w:eastAsia="cs-CZ"/>
              </w:rPr>
              <w:t>KORNCE6FNMB5</w:t>
            </w:r>
          </w:p>
          <w:p w14:paraId="5FF70EB4" w14:textId="77777777" w:rsid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Připomínkové řízení ukončeno</w:t>
            </w:r>
          </w:p>
          <w:p w14:paraId="0FBBB5E0" w14:textId="77777777" w:rsid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4745D277" w14:textId="45431A0D" w:rsidR="00A0491A" w:rsidRDefault="005B3D0D" w:rsidP="005B3D0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V návaznosti na programové prohlášení vlády Ministerstvo financí předložilo novelizaci zákonů v oblasti daní.</w:t>
            </w:r>
            <w:r w:rsidRPr="005B3D0D">
              <w:rPr>
                <w:rStyle w:val="Hypertextovodkaz"/>
                <w:rFonts w:ascii="Arial" w:eastAsia="Times New Roman" w:hAnsi="Arial" w:cs="Arial"/>
                <w:color w:val="0F0D29" w:themeColor="text1"/>
                <w:kern w:val="36"/>
                <w:sz w:val="20"/>
                <w:szCs w:val="16"/>
                <w:u w:val="none"/>
                <w:lang w:eastAsia="cs-CZ"/>
              </w:rPr>
              <w:t xml:space="preserve"> </w:t>
            </w:r>
            <w:r>
              <w:rPr>
                <w:rStyle w:val="Hypertextovodkaz"/>
                <w:rFonts w:ascii="Arial" w:eastAsia="Times New Roman" w:hAnsi="Arial" w:cs="Arial"/>
                <w:color w:val="0F0D29" w:themeColor="text1"/>
                <w:kern w:val="36"/>
                <w:sz w:val="20"/>
                <w:szCs w:val="16"/>
                <w:u w:val="none"/>
                <w:lang w:eastAsia="cs-CZ"/>
              </w:rPr>
              <w:t>Jedná se zejména o zvýšení</w:t>
            </w:r>
            <w:r w:rsidRPr="005B3D0D">
              <w:rPr>
                <w:rStyle w:val="Hypertextovodkaz"/>
                <w:rFonts w:ascii="Arial" w:eastAsia="Times New Roman" w:hAnsi="Arial" w:cs="Arial"/>
                <w:color w:val="0F0D29" w:themeColor="text1"/>
                <w:kern w:val="36"/>
                <w:sz w:val="20"/>
                <w:szCs w:val="16"/>
                <w:u w:val="none"/>
                <w:lang w:eastAsia="cs-CZ"/>
              </w:rPr>
              <w:t xml:space="preserve"> limit</w:t>
            </w:r>
            <w:r>
              <w:rPr>
                <w:rStyle w:val="Hypertextovodkaz"/>
                <w:rFonts w:ascii="Arial" w:eastAsia="Times New Roman" w:hAnsi="Arial" w:cs="Arial"/>
                <w:color w:val="0F0D29" w:themeColor="text1"/>
                <w:kern w:val="36"/>
                <w:sz w:val="20"/>
                <w:szCs w:val="16"/>
                <w:u w:val="none"/>
                <w:lang w:eastAsia="cs-CZ"/>
              </w:rPr>
              <w:t>u</w:t>
            </w:r>
            <w:r w:rsidRPr="005B3D0D">
              <w:rPr>
                <w:rStyle w:val="Hypertextovodkaz"/>
                <w:rFonts w:ascii="Arial" w:eastAsia="Times New Roman" w:hAnsi="Arial" w:cs="Arial"/>
                <w:color w:val="0F0D29" w:themeColor="text1"/>
                <w:kern w:val="36"/>
                <w:sz w:val="20"/>
                <w:szCs w:val="16"/>
                <w:u w:val="none"/>
                <w:lang w:eastAsia="cs-CZ"/>
              </w:rPr>
              <w:t xml:space="preserve"> pro povinnou registraci k DPH na 2 mil. Kč</w:t>
            </w:r>
            <w:r>
              <w:rPr>
                <w:rStyle w:val="Hypertextovodkaz"/>
                <w:rFonts w:ascii="Arial" w:eastAsia="Times New Roman" w:hAnsi="Arial" w:cs="Arial"/>
                <w:color w:val="0F0D29" w:themeColor="text1"/>
                <w:kern w:val="36"/>
                <w:sz w:val="20"/>
                <w:szCs w:val="16"/>
                <w:u w:val="none"/>
                <w:lang w:eastAsia="cs-CZ"/>
              </w:rPr>
              <w:t xml:space="preserve"> a možnost využití režimu paušální daně v tomto limitu. Dále dochází k úpravě k</w:t>
            </w:r>
            <w:r w:rsidRPr="005B3D0D">
              <w:rPr>
                <w:rStyle w:val="Hypertextovodkaz"/>
                <w:rFonts w:ascii="Arial" w:eastAsia="Times New Roman" w:hAnsi="Arial" w:cs="Arial"/>
                <w:color w:val="0F0D29" w:themeColor="text1"/>
                <w:kern w:val="36"/>
                <w:sz w:val="20"/>
                <w:szCs w:val="16"/>
                <w:u w:val="none"/>
                <w:lang w:eastAsia="cs-CZ"/>
              </w:rPr>
              <w:t>ontrolní</w:t>
            </w:r>
            <w:r w:rsidR="006E5B8D">
              <w:rPr>
                <w:rStyle w:val="Hypertextovodkaz"/>
                <w:rFonts w:ascii="Arial" w:eastAsia="Times New Roman" w:hAnsi="Arial" w:cs="Arial"/>
                <w:color w:val="0F0D29" w:themeColor="text1"/>
                <w:kern w:val="36"/>
                <w:sz w:val="20"/>
                <w:szCs w:val="16"/>
                <w:u w:val="none"/>
                <w:lang w:eastAsia="cs-CZ"/>
              </w:rPr>
              <w:t>ho</w:t>
            </w:r>
            <w:r w:rsidRPr="005B3D0D">
              <w:rPr>
                <w:rStyle w:val="Hypertextovodkaz"/>
                <w:rFonts w:ascii="Arial" w:eastAsia="Times New Roman" w:hAnsi="Arial" w:cs="Arial"/>
                <w:color w:val="0F0D29" w:themeColor="text1"/>
                <w:kern w:val="36"/>
                <w:sz w:val="20"/>
                <w:szCs w:val="16"/>
                <w:u w:val="none"/>
                <w:lang w:eastAsia="cs-CZ"/>
              </w:rPr>
              <w:t xml:space="preserve"> hlášení</w:t>
            </w:r>
            <w:r>
              <w:rPr>
                <w:rStyle w:val="Hypertextovodkaz"/>
                <w:rFonts w:ascii="Arial" w:eastAsia="Times New Roman" w:hAnsi="Arial" w:cs="Arial"/>
                <w:color w:val="0F0D29" w:themeColor="text1"/>
                <w:kern w:val="36"/>
                <w:sz w:val="20"/>
                <w:szCs w:val="16"/>
                <w:u w:val="none"/>
                <w:lang w:eastAsia="cs-CZ"/>
              </w:rPr>
              <w:t xml:space="preserve"> a snížení byrokratické</w:t>
            </w:r>
            <w:r w:rsidRPr="005B3D0D">
              <w:rPr>
                <w:rStyle w:val="Hypertextovodkaz"/>
                <w:rFonts w:ascii="Arial" w:eastAsia="Times New Roman" w:hAnsi="Arial" w:cs="Arial"/>
                <w:color w:val="0F0D29" w:themeColor="text1"/>
                <w:kern w:val="36"/>
                <w:sz w:val="20"/>
                <w:szCs w:val="16"/>
                <w:u w:val="none"/>
                <w:lang w:eastAsia="cs-CZ"/>
              </w:rPr>
              <w:t xml:space="preserve"> zátěž</w:t>
            </w:r>
            <w:r>
              <w:rPr>
                <w:rStyle w:val="Hypertextovodkaz"/>
                <w:rFonts w:ascii="Arial" w:eastAsia="Times New Roman" w:hAnsi="Arial" w:cs="Arial"/>
                <w:color w:val="0F0D29" w:themeColor="text1"/>
                <w:kern w:val="36"/>
                <w:sz w:val="20"/>
                <w:szCs w:val="16"/>
                <w:u w:val="none"/>
                <w:lang w:eastAsia="cs-CZ"/>
              </w:rPr>
              <w:t>e při správě daní a poplatků.</w:t>
            </w:r>
          </w:p>
          <w:p w14:paraId="56955DEE" w14:textId="09DD4398"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1444409" w14:textId="5390BC54"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FÚ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2F2CA2F" w14:textId="77777777"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4360C3" w14:textId="1561CF01" w:rsidR="005B3D0D" w:rsidRPr="005078C0" w:rsidRDefault="005B3D0D" w:rsidP="005B3D0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30.6.2022</w:t>
            </w:r>
          </w:p>
          <w:p w14:paraId="0876DB97" w14:textId="50D13B60"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05DFB05D" w14:textId="77777777"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52EFDBD" w14:textId="77777777" w:rsidR="005B3D0D" w:rsidRDefault="005B3D0D" w:rsidP="005B3D0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5B3D0D">
              <w:rPr>
                <w:rStyle w:val="Hypertextovodkaz"/>
                <w:rFonts w:ascii="Arial" w:eastAsia="Times New Roman" w:hAnsi="Arial" w:cs="Arial"/>
                <w:b/>
                <w:color w:val="0F0D29" w:themeColor="text1"/>
                <w:kern w:val="36"/>
                <w:sz w:val="24"/>
                <w:szCs w:val="24"/>
                <w:u w:val="none"/>
                <w:lang w:eastAsia="cs-CZ"/>
              </w:rPr>
              <w:t>Návrh zákona, kterým se mění zákon č. 334/1992 Sb., o ochraně zemědělského půdního fondu</w:t>
            </w:r>
          </w:p>
          <w:p w14:paraId="126205C7" w14:textId="2FDCA09D" w:rsidR="00A0491A" w:rsidRPr="005B3D0D" w:rsidRDefault="00C22D74" w:rsidP="005B3D0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7048B1DF">
                <v:rect id="_x0000_i1104" style="width:0;height:1.5pt" o:hralign="center" o:hrstd="t" o:hr="t" fillcolor="#a0a0a0" stroked="f"/>
              </w:pict>
            </w:r>
          </w:p>
          <w:p w14:paraId="2872569E" w14:textId="77777777" w:rsidR="005B3D0D" w:rsidRP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sidRPr="005B3D0D">
              <w:rPr>
                <w:rStyle w:val="Hypertextovodkaz"/>
                <w:rFonts w:ascii="Arial" w:eastAsia="Times New Roman" w:hAnsi="Arial" w:cs="Arial"/>
                <w:color w:val="0F0D29" w:themeColor="text1"/>
                <w:kern w:val="36"/>
                <w:sz w:val="20"/>
                <w:szCs w:val="24"/>
                <w:u w:val="none"/>
                <w:lang w:eastAsia="cs-CZ"/>
              </w:rPr>
              <w:t>EKLEP ALBSCEX9QT5U</w:t>
            </w:r>
          </w:p>
          <w:p w14:paraId="7565B139" w14:textId="77777777" w:rsid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sidRPr="005B3D0D">
              <w:rPr>
                <w:rStyle w:val="Hypertextovodkaz"/>
                <w:rFonts w:ascii="Arial" w:eastAsia="Times New Roman" w:hAnsi="Arial" w:cs="Arial"/>
                <w:color w:val="0F0D29" w:themeColor="text1"/>
                <w:kern w:val="36"/>
                <w:sz w:val="20"/>
                <w:szCs w:val="24"/>
                <w:u w:val="none"/>
                <w:lang w:eastAsia="cs-CZ"/>
              </w:rPr>
              <w:t>Připomínkové řízení</w:t>
            </w:r>
          </w:p>
          <w:p w14:paraId="700991F7" w14:textId="77777777" w:rsidR="00094F88" w:rsidRDefault="00094F88" w:rsidP="00094F88">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p>
          <w:p w14:paraId="5D35D67C" w14:textId="7818F205" w:rsidR="005B3D0D" w:rsidRDefault="00094F88"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094F88">
              <w:rPr>
                <w:rStyle w:val="Hypertextovodkaz"/>
                <w:rFonts w:ascii="Arial" w:eastAsia="Times New Roman" w:hAnsi="Arial" w:cs="Arial"/>
                <w:color w:val="0F0D29" w:themeColor="text1"/>
                <w:kern w:val="36"/>
                <w:sz w:val="20"/>
                <w:szCs w:val="24"/>
                <w:u w:val="none"/>
                <w:lang w:eastAsia="cs-CZ"/>
              </w:rPr>
              <w:t>Předkládaný návrh představuje poměrně rozsáhlý soubor změn stávajícího právního předpisu, jejichž hlavním cílem je výrazné posílení ochrany ekologických funkcí zemědělského půdního fondu a vytvoření komplexního legislativního rámce pro ochranu nejen hospodářských, ale také environmentálních funkcí zemědělské krajiny.</w:t>
            </w:r>
          </w:p>
          <w:p w14:paraId="08409EF0" w14:textId="77777777" w:rsidR="00094F88" w:rsidRDefault="00094F88"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F7E0FF1" w14:textId="7E8D27E6" w:rsidR="00625270" w:rsidRPr="00625270" w:rsidRDefault="00625270"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25270">
              <w:rPr>
                <w:rStyle w:val="Hypertextovodkaz"/>
                <w:rFonts w:ascii="Arial" w:eastAsia="Times New Roman" w:hAnsi="Arial" w:cs="Arial"/>
                <w:color w:val="0F0D29" w:themeColor="text1"/>
                <w:kern w:val="36"/>
                <w:sz w:val="20"/>
                <w:szCs w:val="24"/>
                <w:u w:val="none"/>
                <w:lang w:eastAsia="cs-CZ"/>
              </w:rPr>
              <w:t xml:space="preserve">Novelizací dochází k úpravě základní definice zemědělského půdního fondu takovým způsobem, aby napříště tato definice lépe reflektovala nejenom produkční, ale i environmentální hodnotu zemědělské půdy. </w:t>
            </w:r>
          </w:p>
          <w:p w14:paraId="50DAAE30" w14:textId="77777777" w:rsidR="00625270" w:rsidRDefault="00625270"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623658A2" w14:textId="22C0932B" w:rsidR="00625270" w:rsidRPr="00625270" w:rsidRDefault="00625270"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25270">
              <w:rPr>
                <w:rStyle w:val="Hypertextovodkaz"/>
                <w:rFonts w:ascii="Arial" w:eastAsia="Times New Roman" w:hAnsi="Arial" w:cs="Arial"/>
                <w:color w:val="0F0D29" w:themeColor="text1"/>
                <w:kern w:val="36"/>
                <w:sz w:val="20"/>
                <w:szCs w:val="24"/>
                <w:u w:val="none"/>
                <w:lang w:eastAsia="cs-CZ"/>
              </w:rPr>
              <w:t xml:space="preserve">Významná část novelizace zákona směřuje k problematice krajinných prvků, respektive zahrnutí krajinných prvků do zemědělské půdy, přičemž se jedná o krajinné prvky ve smyslu nařízení vlády č. 307/2014 Sb., o stanovení podrobností evidence využití půdy podle uživatelských vztahů, ve znění pozdějších předpisů. Tato část návrhu je velmi zásadní, neboť významným způsobem přispěje k obnově takzvané mozaiky environmentálně významných krajinných prvků v zemědělské krajině. Jako příklad environmentálních funkcí krajinných prvků lze uvést funkci protierozní, zvýšení retence vody v krajině, podporu zvýšené infiltrace vody či udržení a zvýšení ekologické stability území. </w:t>
            </w:r>
          </w:p>
          <w:p w14:paraId="6124330D" w14:textId="77777777" w:rsidR="00094F88" w:rsidRDefault="00094F88"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6D8881D2" w14:textId="0E9765AC" w:rsidR="00A0491A" w:rsidRDefault="00625270" w:rsidP="006F0138">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25270">
              <w:rPr>
                <w:rStyle w:val="Hypertextovodkaz"/>
                <w:rFonts w:ascii="Arial" w:eastAsia="Times New Roman" w:hAnsi="Arial" w:cs="Arial"/>
                <w:color w:val="0F0D29" w:themeColor="text1"/>
                <w:kern w:val="36"/>
                <w:sz w:val="20"/>
                <w:szCs w:val="24"/>
                <w:u w:val="none"/>
                <w:lang w:eastAsia="cs-CZ"/>
              </w:rPr>
              <w:t xml:space="preserve">Návrh taktéž obsahuje nový institut prohlášení pozemků za pozemky zemědělského půdního fondu, který umožňuje na návrh </w:t>
            </w:r>
            <w:proofErr w:type="gramStart"/>
            <w:r w:rsidRPr="00625270">
              <w:rPr>
                <w:rStyle w:val="Hypertextovodkaz"/>
                <w:rFonts w:ascii="Arial" w:eastAsia="Times New Roman" w:hAnsi="Arial" w:cs="Arial"/>
                <w:color w:val="0F0D29" w:themeColor="text1"/>
                <w:kern w:val="36"/>
                <w:sz w:val="20"/>
                <w:szCs w:val="24"/>
                <w:u w:val="none"/>
                <w:lang w:eastAsia="cs-CZ"/>
              </w:rPr>
              <w:t>vlastníka</w:t>
            </w:r>
            <w:proofErr w:type="gramEnd"/>
            <w:r w:rsidRPr="00625270">
              <w:rPr>
                <w:rStyle w:val="Hypertextovodkaz"/>
                <w:rFonts w:ascii="Arial" w:eastAsia="Times New Roman" w:hAnsi="Arial" w:cs="Arial"/>
                <w:color w:val="0F0D29" w:themeColor="text1"/>
                <w:kern w:val="36"/>
                <w:sz w:val="20"/>
                <w:szCs w:val="24"/>
                <w:u w:val="none"/>
                <w:lang w:eastAsia="cs-CZ"/>
              </w:rPr>
              <w:t xml:space="preserve"> popř. s jeho souhlasem zařadit jiné než zemědělské pozemky do zemědělského půdního fondu. Prostřednictvím tohoto institutu orgány ochrany zemědělského půdního fondu (dále jen „ZPF“) získají poprvé nástroj na rozšiřování ZPF. Dochází tak k posílení kvantitativní ochrany ZPF. Novela také rozšiřuje zásady plošné ochrany zemědělského půdního fondu o bod, který stanovuje povinnost minimalizovat poškozování vyjmenovaných mimoprodukčních funkcí půdy.</w:t>
            </w:r>
          </w:p>
          <w:p w14:paraId="31B551A6" w14:textId="413763D5" w:rsidR="00094F88" w:rsidRDefault="00094F88" w:rsidP="00625270">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p>
          <w:p w14:paraId="39560C00" w14:textId="2FA1F0DF" w:rsidR="00094F88" w:rsidRPr="005078C0" w:rsidRDefault="00094F88" w:rsidP="00094F8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35171D64" w14:textId="77777777" w:rsidR="00094F88" w:rsidRPr="005078C0" w:rsidRDefault="00094F88" w:rsidP="00094F8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2CF4EFB" w14:textId="52BB5907" w:rsidR="00094F88" w:rsidRPr="005078C0" w:rsidRDefault="00094F88" w:rsidP="00094F8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31.8.2022</w:t>
            </w:r>
          </w:p>
          <w:p w14:paraId="04FDBE65" w14:textId="77777777" w:rsidR="00094F88" w:rsidRPr="005B3D0D" w:rsidRDefault="00094F88" w:rsidP="00625270">
            <w:pPr>
              <w:pStyle w:val="Bezmezer"/>
              <w:tabs>
                <w:tab w:val="left" w:pos="6336"/>
              </w:tabs>
              <w:jc w:val="both"/>
              <w:rPr>
                <w:rStyle w:val="Hypertextovodkaz"/>
                <w:rFonts w:ascii="Arial" w:eastAsia="Times New Roman" w:hAnsi="Arial" w:cs="Arial"/>
                <w:color w:val="0F0D29" w:themeColor="text1"/>
                <w:kern w:val="36"/>
                <w:sz w:val="16"/>
                <w:szCs w:val="20"/>
                <w:u w:val="none"/>
                <w:lang w:eastAsia="cs-CZ"/>
              </w:rPr>
            </w:pPr>
          </w:p>
          <w:p w14:paraId="19E09BC4" w14:textId="4BE20DFF" w:rsidR="00A0491A" w:rsidRDefault="00A0491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4F3C7C96" w14:textId="77777777" w:rsidR="00094F88" w:rsidRDefault="00094F88" w:rsidP="00A0491A">
            <w:pPr>
              <w:pStyle w:val="Bezmezer"/>
              <w:tabs>
                <w:tab w:val="left" w:pos="6336"/>
              </w:tabs>
              <w:jc w:val="center"/>
              <w:rPr>
                <w:rStyle w:val="Hypertextovodkaz"/>
                <w:rFonts w:ascii="Arial" w:eastAsia="Times New Roman" w:hAnsi="Arial" w:cs="Arial"/>
                <w:b/>
                <w:color w:val="0F0D29" w:themeColor="text1"/>
                <w:kern w:val="36"/>
                <w:sz w:val="24"/>
                <w:szCs w:val="20"/>
                <w:u w:val="none"/>
                <w:lang w:eastAsia="cs-CZ"/>
              </w:rPr>
            </w:pPr>
            <w:r w:rsidRPr="00094F88">
              <w:rPr>
                <w:rStyle w:val="Hypertextovodkaz"/>
                <w:rFonts w:ascii="Arial" w:eastAsia="Times New Roman" w:hAnsi="Arial" w:cs="Arial"/>
                <w:b/>
                <w:color w:val="0F0D29" w:themeColor="text1"/>
                <w:kern w:val="36"/>
                <w:sz w:val="24"/>
                <w:szCs w:val="20"/>
                <w:u w:val="none"/>
                <w:lang w:eastAsia="cs-CZ"/>
              </w:rPr>
              <w:t>Návrh nařízení vlády, kterým se mění nařízení vlády č. 361/2014 Sb., o stanovení dodání zboží nebo poskytnutí služby pro použití režimu přenesení daňové povinnosti, ve znění pozdějších předpisů</w:t>
            </w:r>
          </w:p>
          <w:p w14:paraId="3A3FBB51" w14:textId="2E58A8E0" w:rsidR="00094F88" w:rsidRDefault="00C22D74" w:rsidP="00A0491A">
            <w:pPr>
              <w:pStyle w:val="Bezmezer"/>
              <w:tabs>
                <w:tab w:val="left" w:pos="6336"/>
              </w:tabs>
              <w:jc w:val="center"/>
              <w:rPr>
                <w:rStyle w:val="Hypertextovodkaz"/>
                <w:rFonts w:ascii="Arial" w:eastAsia="Times New Roman" w:hAnsi="Arial" w:cs="Arial"/>
                <w:b/>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0CC07EC">
                <v:rect id="_x0000_i1105" style="width:0;height:1.5pt" o:hralign="center" o:hrstd="t" o:hr="t" fillcolor="#a0a0a0" stroked="f"/>
              </w:pict>
            </w:r>
          </w:p>
          <w:p w14:paraId="623DE5A3" w14:textId="54E2F637" w:rsidR="00094F88" w:rsidRDefault="00094F88" w:rsidP="00094F88">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t>Připomínkové řízení</w:t>
            </w:r>
          </w:p>
          <w:p w14:paraId="220C778C" w14:textId="063C6DAC" w:rsidR="00094F88" w:rsidRDefault="00094F88" w:rsidP="00094F88">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p>
          <w:p w14:paraId="345CD077" w14:textId="77777777" w:rsidR="00094F88" w:rsidRDefault="00094F88" w:rsidP="00094F88">
            <w:pPr>
              <w:pStyle w:val="Bezmezer"/>
              <w:tabs>
                <w:tab w:val="left" w:pos="6336"/>
              </w:tabs>
              <w:jc w:val="both"/>
              <w:rPr>
                <w:rStyle w:val="Hypertextovodkaz"/>
                <w:rFonts w:ascii="Arial" w:eastAsia="Times New Roman" w:hAnsi="Arial" w:cs="Arial"/>
                <w:color w:val="0F0D29" w:themeColor="text1"/>
                <w:kern w:val="36"/>
                <w:sz w:val="20"/>
                <w:szCs w:val="20"/>
                <w:u w:val="none"/>
                <w:lang w:eastAsia="cs-CZ"/>
              </w:rPr>
            </w:pPr>
          </w:p>
          <w:p w14:paraId="1480D3EE" w14:textId="77777777" w:rsidR="00A00B09" w:rsidRDefault="00094F88" w:rsidP="006E5B8D">
            <w:pPr>
              <w:pStyle w:val="Bezmezer"/>
              <w:tabs>
                <w:tab w:val="left" w:pos="6336"/>
              </w:tabs>
              <w:spacing w:line="360" w:lineRule="auto"/>
              <w:jc w:val="both"/>
              <w:rPr>
                <w:rStyle w:val="Hypertextovodkaz"/>
                <w:rFonts w:ascii="Arial" w:eastAsia="Times New Roman" w:hAnsi="Arial" w:cs="Arial"/>
                <w:color w:val="0F0D29" w:themeColor="text1"/>
                <w:kern w:val="36"/>
                <w:sz w:val="20"/>
                <w:szCs w:val="20"/>
                <w:u w:val="none"/>
                <w:lang w:eastAsia="cs-CZ"/>
              </w:rPr>
            </w:pPr>
            <w:r w:rsidRPr="00094F88">
              <w:rPr>
                <w:rStyle w:val="Hypertextovodkaz"/>
                <w:rFonts w:ascii="Arial" w:eastAsia="Times New Roman" w:hAnsi="Arial" w:cs="Arial"/>
                <w:color w:val="0F0D29" w:themeColor="text1"/>
                <w:kern w:val="36"/>
                <w:sz w:val="20"/>
                <w:szCs w:val="20"/>
                <w:u w:val="none"/>
                <w:lang w:eastAsia="cs-CZ"/>
              </w:rPr>
              <w:t>Cílem návrhu nařízení vlády je zachovat po změně celního sazebníku stejný rozsah aplikace režimu přenesení da</w:t>
            </w:r>
            <w:r w:rsidR="00A00B09">
              <w:rPr>
                <w:rStyle w:val="Hypertextovodkaz"/>
                <w:rFonts w:ascii="Arial" w:eastAsia="Times New Roman" w:hAnsi="Arial" w:cs="Arial"/>
                <w:color w:val="0F0D29" w:themeColor="text1"/>
                <w:kern w:val="36"/>
                <w:sz w:val="20"/>
                <w:szCs w:val="20"/>
                <w:u w:val="none"/>
                <w:lang w:eastAsia="cs-CZ"/>
              </w:rPr>
              <w:t>ňové povinnosti jako před změnou celního sazebníku.</w:t>
            </w:r>
          </w:p>
          <w:p w14:paraId="7A001D0E" w14:textId="77777777" w:rsidR="00A00B09" w:rsidRDefault="00A00B09" w:rsidP="00A00B09">
            <w:pPr>
              <w:pStyle w:val="Bezmezer"/>
              <w:tabs>
                <w:tab w:val="left" w:pos="6336"/>
              </w:tabs>
              <w:jc w:val="both"/>
              <w:rPr>
                <w:rStyle w:val="Hypertextovodkaz"/>
                <w:rFonts w:ascii="Arial" w:eastAsia="Times New Roman" w:hAnsi="Arial" w:cs="Arial"/>
                <w:color w:val="0F0D29" w:themeColor="text1"/>
                <w:kern w:val="36"/>
                <w:sz w:val="20"/>
                <w:szCs w:val="20"/>
                <w:u w:val="none"/>
                <w:lang w:eastAsia="cs-CZ"/>
              </w:rPr>
            </w:pPr>
          </w:p>
          <w:p w14:paraId="6849FA16" w14:textId="0716351C" w:rsidR="0014703E" w:rsidRPr="005078C0" w:rsidRDefault="0014703E" w:rsidP="00A00B09">
            <w:pPr>
              <w:pStyle w:val="Bezmezer"/>
              <w:tabs>
                <w:tab w:val="left" w:pos="6336"/>
              </w:tabs>
              <w:jc w:val="both"/>
              <w:rPr>
                <w:rFonts w:ascii="Arial" w:hAnsi="Arial" w:cs="Arial"/>
                <w:b/>
                <w:color w:val="FFFFFF" w:themeColor="background1"/>
                <w:sz w:val="28"/>
                <w:szCs w:val="20"/>
              </w:rPr>
            </w:pPr>
            <w:r w:rsidRPr="005078C0">
              <w:rPr>
                <w:rFonts w:ascii="Arial" w:hAnsi="Arial" w:cs="Arial"/>
                <w:b/>
                <w:color w:val="FFFFFF" w:themeColor="background1"/>
                <w:sz w:val="28"/>
                <w:szCs w:val="20"/>
              </w:rPr>
              <w:t>Stanoviska a judikatura</w:t>
            </w:r>
          </w:p>
          <w:bookmarkEnd w:id="1"/>
          <w:p w14:paraId="5F6A4BE3" w14:textId="77777777" w:rsidR="00A00B09" w:rsidRPr="005078C0" w:rsidRDefault="00A00B09" w:rsidP="00A00B0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FÚ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0BEE1C2F" w14:textId="77777777" w:rsidR="00A00B09" w:rsidRPr="005078C0" w:rsidRDefault="00A00B09" w:rsidP="00A00B0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8BBECF3" w14:textId="77777777" w:rsidR="00A00B09" w:rsidRPr="005078C0" w:rsidRDefault="00A00B09" w:rsidP="00A00B0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30.6.2022</w:t>
            </w:r>
          </w:p>
          <w:p w14:paraId="790BFC2D" w14:textId="72ACD853"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BF3E13C" w14:textId="0614A905" w:rsidR="006E5B8D" w:rsidRDefault="006E5B8D"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1A4DFC9" w14:textId="0D29F9FD" w:rsidR="006E5B8D" w:rsidRDefault="006E5B8D"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E681BD4" w14:textId="77777777" w:rsidR="006E5B8D" w:rsidRDefault="006E5B8D"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A1364C" w14:textId="24A19108" w:rsidR="006F0138" w:rsidRDefault="006F0138"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545A5AA" w14:textId="3AB7FBCB" w:rsidR="006F0138" w:rsidRPr="006F0138" w:rsidRDefault="006F0138" w:rsidP="006F013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F0138">
              <w:rPr>
                <w:rStyle w:val="Hypertextovodkaz"/>
                <w:rFonts w:ascii="Arial" w:eastAsia="Times New Roman" w:hAnsi="Arial" w:cs="Arial"/>
                <w:b/>
                <w:bCs/>
                <w:color w:val="0F0D29" w:themeColor="text1"/>
                <w:kern w:val="36"/>
                <w:sz w:val="24"/>
                <w:szCs w:val="20"/>
                <w:u w:val="none"/>
                <w:lang w:eastAsia="cs-CZ"/>
              </w:rPr>
              <w:lastRenderedPageBreak/>
              <w:t>Návrh vyhlášky, kterou se stanoví podmínky, při jejichž splnění přestává být palivo z odpadu odpadem</w:t>
            </w:r>
          </w:p>
          <w:p w14:paraId="5BD6308C" w14:textId="661A4754" w:rsidR="0014703E" w:rsidRPr="005078C0" w:rsidRDefault="00C22D74"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51CE8951">
                <v:rect id="_x0000_i1106" style="width:0;height:1.5pt" o:hralign="center" o:hrstd="t" o:hr="t" fillcolor="#a0a0a0" stroked="f"/>
              </w:pict>
            </w:r>
          </w:p>
          <w:p w14:paraId="7C19ACA2" w14:textId="77777777" w:rsidR="006F0138" w:rsidRDefault="006F0138"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6F0138">
              <w:rPr>
                <w:rStyle w:val="Hypertextovodkaz"/>
                <w:rFonts w:ascii="Arial" w:eastAsia="Times New Roman" w:hAnsi="Arial" w:cs="Arial"/>
                <w:bCs/>
                <w:color w:val="0F0D29" w:themeColor="text1"/>
                <w:kern w:val="36"/>
                <w:sz w:val="20"/>
                <w:szCs w:val="20"/>
                <w:u w:val="none"/>
                <w:lang w:eastAsia="cs-CZ"/>
              </w:rPr>
              <w:t>ALBSCEX9BXBI</w:t>
            </w:r>
          </w:p>
          <w:p w14:paraId="1BD954CC" w14:textId="6A161531" w:rsidR="00BB4079" w:rsidRDefault="006F0138"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w:t>
            </w:r>
          </w:p>
          <w:p w14:paraId="6C37F927" w14:textId="77777777" w:rsidR="006F0138" w:rsidRDefault="006F0138"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31161C5" w14:textId="17D32FB1" w:rsidR="0014703E" w:rsidRPr="005078C0" w:rsidRDefault="00BB4079"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0CE0A686" w14:textId="75E3D1C1" w:rsidR="0014703E" w:rsidRDefault="006F0138" w:rsidP="006E5B8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Ministerstvo životního prostředí předložilo prováděcí vyhlášku, která vymezuje podmínky</w:t>
            </w:r>
            <w:r w:rsidRPr="006F0138">
              <w:rPr>
                <w:rStyle w:val="Hypertextovodkaz"/>
                <w:rFonts w:ascii="Arial" w:eastAsia="Times New Roman" w:hAnsi="Arial" w:cs="Arial"/>
                <w:bCs/>
                <w:color w:val="0F0D29" w:themeColor="text1"/>
                <w:kern w:val="36"/>
                <w:sz w:val="20"/>
                <w:szCs w:val="20"/>
                <w:u w:val="none"/>
                <w:lang w:eastAsia="cs-CZ"/>
              </w:rPr>
              <w:t xml:space="preserve"> při jejichž splnění přestává být palivo vyrobené z odpadu a palivo vyrobené z odpadní biomasy odpadem.</w:t>
            </w:r>
          </w:p>
          <w:p w14:paraId="3FF2DCC3" w14:textId="28C258FF" w:rsidR="006F0138" w:rsidRDefault="006F0138" w:rsidP="006F013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070F7D32" w14:textId="1F3386A2"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ÚGŘ</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78429BB0" w14:textId="77777777"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E5B9571" w14:textId="0C69D2F6" w:rsidR="006F0138" w:rsidRPr="005078C0" w:rsidRDefault="006F0138" w:rsidP="006F013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ÚGŘ – Ing. Petr Lux</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31.7.2022</w:t>
            </w:r>
          </w:p>
          <w:p w14:paraId="42DCFD3D" w14:textId="2312923A" w:rsidR="006F0138" w:rsidRDefault="006F0138" w:rsidP="006F013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A807B70" w14:textId="77777777" w:rsidR="006F0138" w:rsidRPr="005078C0" w:rsidRDefault="006F0138" w:rsidP="006F013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40BD863C" w14:textId="68107D32" w:rsidR="009915F2" w:rsidRPr="005078C0" w:rsidRDefault="006F0138" w:rsidP="009915F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F0138">
              <w:rPr>
                <w:rStyle w:val="Hypertextovodkaz"/>
                <w:rFonts w:ascii="Arial" w:eastAsia="Times New Roman" w:hAnsi="Arial" w:cs="Arial"/>
                <w:b/>
                <w:bCs/>
                <w:color w:val="0F0D29" w:themeColor="text1"/>
                <w:kern w:val="36"/>
                <w:sz w:val="24"/>
                <w:szCs w:val="20"/>
                <w:u w:val="none"/>
                <w:lang w:eastAsia="cs-CZ"/>
              </w:rPr>
              <w:tab/>
            </w:r>
            <w:r>
              <w:t xml:space="preserve"> </w:t>
            </w:r>
            <w:r w:rsidRPr="006F0138">
              <w:rPr>
                <w:rStyle w:val="Hypertextovodkaz"/>
                <w:rFonts w:ascii="Arial" w:eastAsia="Times New Roman" w:hAnsi="Arial" w:cs="Arial"/>
                <w:b/>
                <w:bCs/>
                <w:color w:val="0F0D29" w:themeColor="text1"/>
                <w:kern w:val="36"/>
                <w:sz w:val="24"/>
                <w:szCs w:val="20"/>
                <w:u w:val="none"/>
                <w:lang w:eastAsia="cs-CZ"/>
              </w:rPr>
              <w:t>Návrh vyhlášky o zárukách původu energie</w:t>
            </w:r>
            <w:r w:rsidR="00C22D74">
              <w:rPr>
                <w:rStyle w:val="Hypertextovodkaz"/>
                <w:rFonts w:ascii="Arial" w:eastAsia="Times New Roman" w:hAnsi="Arial" w:cs="Arial"/>
                <w:b/>
                <w:bCs/>
                <w:color w:val="0F0D29" w:themeColor="text1"/>
                <w:kern w:val="36"/>
                <w:sz w:val="24"/>
                <w:szCs w:val="24"/>
                <w:u w:val="none"/>
                <w:lang w:eastAsia="cs-CZ"/>
              </w:rPr>
              <w:pict w14:anchorId="6047E232">
                <v:rect id="_x0000_i1107" style="width:0;height:1.5pt" o:hralign="center" o:hrstd="t" o:hr="t" fillcolor="#a0a0a0" stroked="f"/>
              </w:pict>
            </w:r>
          </w:p>
          <w:p w14:paraId="708B3C43" w14:textId="77777777" w:rsidR="006F0138" w:rsidRDefault="006F0138" w:rsidP="009915F2">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6F0138">
              <w:rPr>
                <w:rStyle w:val="Hypertextovodkaz"/>
                <w:rFonts w:ascii="Arial" w:eastAsia="Times New Roman" w:hAnsi="Arial" w:cs="Arial"/>
                <w:bCs/>
                <w:color w:val="0F0D29" w:themeColor="text1"/>
                <w:kern w:val="36"/>
                <w:sz w:val="20"/>
                <w:szCs w:val="20"/>
                <w:u w:val="none"/>
                <w:lang w:eastAsia="cs-CZ"/>
              </w:rPr>
              <w:t>KORNCESA4811</w:t>
            </w:r>
          </w:p>
          <w:p w14:paraId="69C07B23" w14:textId="6C1A76AD" w:rsidR="009915F2" w:rsidRPr="005078C0" w:rsidRDefault="006F0138" w:rsidP="009915F2">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w:t>
            </w:r>
            <w:r w:rsidR="009915F2">
              <w:rPr>
                <w:rStyle w:val="Hypertextovodkaz"/>
                <w:rFonts w:ascii="Arial" w:eastAsia="Times New Roman" w:hAnsi="Arial" w:cs="Arial"/>
                <w:bCs/>
                <w:color w:val="0F0D29" w:themeColor="text1"/>
                <w:kern w:val="36"/>
                <w:sz w:val="20"/>
                <w:szCs w:val="20"/>
                <w:u w:val="none"/>
                <w:lang w:eastAsia="cs-CZ"/>
              </w:rPr>
              <w:t xml:space="preserve">  </w:t>
            </w:r>
          </w:p>
          <w:p w14:paraId="1E373E55" w14:textId="77777777" w:rsidR="006F0138" w:rsidRDefault="006F0138" w:rsidP="006F0138">
            <w:pPr>
              <w:pStyle w:val="Bezmezer"/>
              <w:jc w:val="both"/>
              <w:rPr>
                <w:rStyle w:val="Hypertextovodkaz"/>
                <w:rFonts w:ascii="Arial" w:eastAsia="Times New Roman" w:hAnsi="Arial" w:cs="Arial"/>
                <w:bCs/>
                <w:color w:val="0F0D29" w:themeColor="text1"/>
                <w:kern w:val="36"/>
                <w:sz w:val="20"/>
                <w:szCs w:val="20"/>
                <w:u w:val="none"/>
                <w:lang w:eastAsia="cs-CZ"/>
              </w:rPr>
            </w:pPr>
          </w:p>
          <w:p w14:paraId="51525454" w14:textId="29FE5CB4" w:rsidR="006F0138" w:rsidRPr="006F0138" w:rsidRDefault="006F0138"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F0138">
              <w:rPr>
                <w:rStyle w:val="Hypertextovodkaz"/>
                <w:rFonts w:ascii="Arial" w:eastAsia="Times New Roman" w:hAnsi="Arial" w:cs="Arial"/>
                <w:bCs/>
                <w:color w:val="0F0D29" w:themeColor="text1"/>
                <w:kern w:val="36"/>
                <w:sz w:val="20"/>
                <w:szCs w:val="20"/>
                <w:u w:val="none"/>
                <w:lang w:eastAsia="cs-CZ"/>
              </w:rPr>
              <w:t>Návrh vyhlášky je předkládán v návaznosti na novelu zákona č. 165/2012 Sb., o podporovaných zdrojích energie a o změně některých zákonů, provedenou zákonem č. 382/2021 Sb.</w:t>
            </w:r>
          </w:p>
          <w:p w14:paraId="74E3B07C" w14:textId="77777777" w:rsidR="006F0138" w:rsidRDefault="006F0138"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840D45F" w14:textId="4749CA53" w:rsidR="009915F2" w:rsidRPr="005078C0" w:rsidRDefault="006F0138"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F0138">
              <w:rPr>
                <w:rStyle w:val="Hypertextovodkaz"/>
                <w:rFonts w:ascii="Arial" w:eastAsia="Times New Roman" w:hAnsi="Arial" w:cs="Arial"/>
                <w:bCs/>
                <w:color w:val="0F0D29" w:themeColor="text1"/>
                <w:kern w:val="36"/>
                <w:sz w:val="20"/>
                <w:szCs w:val="20"/>
                <w:u w:val="none"/>
                <w:lang w:eastAsia="cs-CZ"/>
              </w:rPr>
              <w:t>Návrh vyhlášky upravuje registrace výroben energie v systému operátora trhu pro vydání záruky původu, rozsah předávaných údajů operátorovi trhu pro vydání záruky původu, postupy, termíny a podmínky pro vydání, převody, uplatnění, uznání, vyřazení a zrušení záruky původu, náležitosti žádosti o vydání záruk původu a převod záruk původu, způsob předávání informací a ověřování údajů nutných k vydávání záruk původu, způsob převodu, uznání, uplatnění, vyřazení, zrušení záruky původu a vedení účtů v evidenci záruk původu, pravidla převodu záruk původu pokročilého biometanu a způsob stanovení podílu dodavatelů plynu na celkové dodávce zemního plynu a biometanu.</w:t>
            </w:r>
          </w:p>
          <w:p w14:paraId="1DDCDDEC" w14:textId="16FE15FE" w:rsidR="009915F2" w:rsidRDefault="009915F2"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429F73" w14:textId="77777777"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ÚGŘ</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BEBDEC3" w14:textId="77777777"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2CDAC77" w14:textId="77777777" w:rsidR="006F0138" w:rsidRPr="005078C0" w:rsidRDefault="006F0138" w:rsidP="006F013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ÚGŘ – Ing. Petr Lux</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31.7.2022</w:t>
            </w:r>
          </w:p>
          <w:p w14:paraId="2755F2A8" w14:textId="1B006158" w:rsidR="004646E1" w:rsidRDefault="004646E1"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8A331D3" w14:textId="27BB6916"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C3509B9" w14:textId="35AB2366" w:rsidR="00BF794B" w:rsidRPr="005078C0" w:rsidRDefault="00BF794B" w:rsidP="00BF794B">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BF794B">
              <w:rPr>
                <w:rStyle w:val="Hypertextovodkaz"/>
                <w:rFonts w:ascii="Arial" w:eastAsia="Times New Roman" w:hAnsi="Arial" w:cs="Arial"/>
                <w:b/>
                <w:bCs/>
                <w:color w:val="0F0D29" w:themeColor="text1"/>
                <w:kern w:val="36"/>
                <w:sz w:val="24"/>
                <w:szCs w:val="20"/>
                <w:u w:val="none"/>
                <w:lang w:eastAsia="cs-CZ"/>
              </w:rPr>
              <w:tab/>
              <w:t>Návrh zákona o omezujících opatřeních proti některým závažným protiprávním jednáním (sankční zákon)</w:t>
            </w:r>
            <w:r>
              <w:rPr>
                <w:rStyle w:val="Hypertextovodkaz"/>
                <w:rFonts w:ascii="Arial" w:eastAsia="Times New Roman" w:hAnsi="Arial" w:cs="Arial"/>
                <w:b/>
                <w:bCs/>
                <w:color w:val="0F0D29" w:themeColor="text1"/>
                <w:kern w:val="36"/>
                <w:sz w:val="24"/>
                <w:szCs w:val="24"/>
                <w:u w:val="none"/>
                <w:lang w:eastAsia="cs-CZ"/>
              </w:rPr>
              <w:pict w14:anchorId="076F1994">
                <v:rect id="_x0000_i1108" style="width:0;height:1.5pt" o:hralign="center" o:hrstd="t" o:hr="t" fillcolor="#a0a0a0" stroked="f"/>
              </w:pict>
            </w:r>
          </w:p>
          <w:p w14:paraId="29C2D892" w14:textId="4C7933A7" w:rsidR="00BF794B" w:rsidRDefault="00BF794B" w:rsidP="00BF794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rsidRPr="002F6DF2">
              <w:rPr>
                <w:rStyle w:val="Hypertextovodkaz"/>
                <w:rFonts w:ascii="Arial" w:eastAsia="Times New Roman" w:hAnsi="Arial" w:cs="Arial"/>
                <w:bCs/>
                <w:color w:val="0F0D29" w:themeColor="text1"/>
                <w:kern w:val="36"/>
                <w:sz w:val="20"/>
                <w:szCs w:val="20"/>
                <w:u w:val="none"/>
                <w:lang w:eastAsia="cs-CZ"/>
              </w:rPr>
              <w:t xml:space="preserve"> </w:t>
            </w:r>
            <w:hyperlink r:id="rId9" w:tgtFrame="_blank" w:history="1">
              <w:r w:rsidRPr="002F6DF2">
                <w:rPr>
                  <w:rStyle w:val="Hypertextovodkaz"/>
                  <w:rFonts w:ascii="Arial" w:eastAsia="Times New Roman" w:hAnsi="Arial" w:cs="Arial"/>
                  <w:bCs/>
                  <w:color w:val="0F0D29" w:themeColor="text1"/>
                  <w:kern w:val="36"/>
                  <w:sz w:val="20"/>
                  <w:szCs w:val="20"/>
                  <w:u w:val="none"/>
                  <w:lang w:eastAsia="cs-CZ"/>
                </w:rPr>
                <w:t>KORNCELHU7KC</w:t>
              </w:r>
            </w:hyperlink>
          </w:p>
          <w:p w14:paraId="32FB3521" w14:textId="77777777" w:rsidR="00BF794B" w:rsidRPr="005078C0" w:rsidRDefault="00BF794B" w:rsidP="00BF794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Připomínkové řízení  </w:t>
            </w:r>
          </w:p>
          <w:p w14:paraId="6A31EF87" w14:textId="77777777" w:rsidR="00BF794B" w:rsidRDefault="00BF794B" w:rsidP="00BF794B">
            <w:pPr>
              <w:pStyle w:val="Bezmezer"/>
              <w:jc w:val="both"/>
              <w:rPr>
                <w:rStyle w:val="Hypertextovodkaz"/>
                <w:rFonts w:ascii="Arial" w:eastAsia="Times New Roman" w:hAnsi="Arial" w:cs="Arial"/>
                <w:bCs/>
                <w:color w:val="0F0D29" w:themeColor="text1"/>
                <w:kern w:val="36"/>
                <w:sz w:val="20"/>
                <w:szCs w:val="20"/>
                <w:u w:val="none"/>
                <w:lang w:eastAsia="cs-CZ"/>
              </w:rPr>
            </w:pPr>
          </w:p>
          <w:p w14:paraId="41172A60" w14:textId="77777777" w:rsidR="002F6DF2" w:rsidRPr="002F6DF2"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F6DF2">
              <w:rPr>
                <w:rStyle w:val="Hypertextovodkaz"/>
                <w:rFonts w:ascii="Arial" w:eastAsia="Times New Roman" w:hAnsi="Arial" w:cs="Arial"/>
                <w:bCs/>
                <w:color w:val="0F0D29" w:themeColor="text1"/>
                <w:kern w:val="36"/>
                <w:sz w:val="20"/>
                <w:szCs w:val="20"/>
                <w:u w:val="none"/>
                <w:lang w:eastAsia="cs-CZ"/>
              </w:rPr>
              <w:t xml:space="preserve">Ministerstvo zahraničních věcí navrhuje posílit schopnost prosazovat zahraniční a bezpečnostní politiku ČR vytvořením právního základu pro cílená vnitrostátní restriktivní opatření přijímaná na základě rozhodnutí ČR </w:t>
            </w:r>
            <w:r w:rsidRPr="002F6DF2">
              <w:rPr>
                <w:rStyle w:val="Hypertextovodkaz"/>
                <w:rFonts w:ascii="Arial" w:eastAsia="Times New Roman" w:hAnsi="Arial" w:cs="Arial"/>
                <w:bCs/>
                <w:color w:val="0F0D29" w:themeColor="text1"/>
                <w:kern w:val="36"/>
                <w:sz w:val="20"/>
                <w:szCs w:val="20"/>
                <w:u w:val="none"/>
                <w:lang w:eastAsia="cs-CZ"/>
              </w:rPr>
              <w:lastRenderedPageBreak/>
              <w:t xml:space="preserve">vycházející z bezpečnostních zájmů ČR a dále za účelem udržení nebo obnovení mezinárodního míru a bezpečnosti, ochrany základních lidských práv a svobod a boje proti terorismu. Tedy i v případech, kdy se restriktivního opatření na úrovni EU nepodaří dosáhnout či je jeho schvalování zdlouhavé. </w:t>
            </w:r>
          </w:p>
          <w:p w14:paraId="30C17FEA" w14:textId="77777777" w:rsidR="002F6DF2" w:rsidRPr="002F6DF2"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B312293" w14:textId="7A3DC3CE" w:rsidR="00BF794B"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F6DF2">
              <w:rPr>
                <w:rStyle w:val="Hypertextovodkaz"/>
                <w:rFonts w:ascii="Arial" w:eastAsia="Times New Roman" w:hAnsi="Arial" w:cs="Arial"/>
                <w:bCs/>
                <w:color w:val="0F0D29" w:themeColor="text1"/>
                <w:kern w:val="36"/>
                <w:sz w:val="20"/>
                <w:szCs w:val="20"/>
                <w:u w:val="none"/>
                <w:lang w:eastAsia="cs-CZ"/>
              </w:rPr>
              <w:t>Přijetím navrhované právní úpravy by dále došlo k ukotvení efektivního mechanismu přípravy návrhů České republiky na zařazení dotčených subjektů na sankční seznam Evropské unie.</w:t>
            </w:r>
          </w:p>
          <w:p w14:paraId="2E8DB06C" w14:textId="0CB5D902" w:rsidR="002F6DF2"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752D6ED" w14:textId="1202C687" w:rsidR="002F6DF2"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F6DF2">
              <w:rPr>
                <w:rStyle w:val="Hypertextovodkaz"/>
                <w:rFonts w:ascii="Arial" w:eastAsia="Times New Roman" w:hAnsi="Arial" w:cs="Arial"/>
                <w:bCs/>
                <w:color w:val="0F0D29" w:themeColor="text1"/>
                <w:kern w:val="36"/>
                <w:sz w:val="20"/>
                <w:szCs w:val="20"/>
                <w:u w:val="none"/>
                <w:lang w:eastAsia="cs-CZ"/>
              </w:rPr>
              <w:t xml:space="preserve">Předmět </w:t>
            </w:r>
            <w:r>
              <w:rPr>
                <w:rStyle w:val="Hypertextovodkaz"/>
                <w:rFonts w:ascii="Arial" w:eastAsia="Times New Roman" w:hAnsi="Arial" w:cs="Arial"/>
                <w:bCs/>
                <w:color w:val="0F0D29" w:themeColor="text1"/>
                <w:kern w:val="36"/>
                <w:sz w:val="20"/>
                <w:szCs w:val="20"/>
                <w:u w:val="none"/>
                <w:lang w:eastAsia="cs-CZ"/>
              </w:rPr>
              <w:t>sankčního zákona</w:t>
            </w:r>
            <w:r w:rsidRPr="002F6DF2">
              <w:rPr>
                <w:rStyle w:val="Hypertextovodkaz"/>
                <w:rFonts w:ascii="Arial" w:eastAsia="Times New Roman" w:hAnsi="Arial" w:cs="Arial"/>
                <w:bCs/>
                <w:color w:val="0F0D29" w:themeColor="text1"/>
                <w:kern w:val="36"/>
                <w:sz w:val="20"/>
                <w:szCs w:val="20"/>
                <w:u w:val="none"/>
                <w:lang w:eastAsia="cs-CZ"/>
              </w:rPr>
              <w:t xml:space="preserve"> není dosud v České republice právně regulován. V současné době totiž v České republice chybí právní úprava postupu při zařazování subjektů, které se dopustily nebo dopouštějí jednání postihovaného podle příslušného předpisu Evropské unie na sankční seznam Evropské unie z podnětu České republiky. Chybějí rovněž právní pravidla pro přijímání vnitrostátních omezujících opatření proti dotčeným subjektům, tj. ještě před jejich zařazením na sankční seznam Evropské unie, resp. před předložením návrhu České republiky Evropské unii, nebo pro přijetí těchto opatření v jiném rozsahu, a s tím související úprava vlastního vnitrostátního sankčního seznamu.</w:t>
            </w:r>
          </w:p>
          <w:p w14:paraId="19CCF963" w14:textId="67881B70" w:rsidR="002F6DF2"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70834CC" w14:textId="27AD6CEF" w:rsidR="00BF794B" w:rsidRPr="005078C0" w:rsidRDefault="00BF794B" w:rsidP="00BF794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2F6DF2">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0DE5651" w14:textId="77777777" w:rsidR="00BF794B" w:rsidRPr="005078C0" w:rsidRDefault="00BF794B" w:rsidP="00BF794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CA243F5" w14:textId="5A6CA1C6" w:rsidR="00BF794B" w:rsidRPr="005078C0" w:rsidRDefault="00BF794B" w:rsidP="00BF794B">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2F6DF2">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31.7.2022</w:t>
            </w:r>
          </w:p>
          <w:p w14:paraId="5BBB272A" w14:textId="35DA5C9C"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51FAB29" w14:textId="7AF5F93D"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967A5F3" w14:textId="285640CF"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000FD66" w14:textId="1105EE60"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B9694D2" w14:textId="4635D448"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A1DBA48" w14:textId="018013C2"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982A46A" w14:textId="13EA2D0F"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9CF606C" w14:textId="43B2C166"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BB2440E" w14:textId="40E98EB9"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B152D8A" w14:textId="77777777"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AE1EF2E" w14:textId="5680FB45"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D3474BD" w14:textId="506F3500"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5511FA2" w14:textId="24377381"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56D3AE" w14:textId="6403C6C6"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FED90D6" w14:textId="57DA6C0F"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706146" w14:textId="7F50B4DC"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63754A1" w14:textId="23B6964E"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EB104CE" w14:textId="58121DD7"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A0F9420" w14:textId="52B2735B"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3003AD5" w14:textId="6BCD51CA"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EC79AFC" w14:textId="77777777" w:rsidR="00C22D74" w:rsidRDefault="00C22D74"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A7C9DB1" w14:textId="77777777"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lastRenderedPageBreak/>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68900520" w:rsidR="004646E1" w:rsidRPr="005078C0" w:rsidRDefault="00F81C67"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Smluvní podmínky pro předání díla</w:t>
            </w:r>
            <w:r w:rsidR="004646E1">
              <w:rPr>
                <w:rStyle w:val="Hypertextovodkaz"/>
                <w:rFonts w:ascii="Arial" w:eastAsia="Times New Roman" w:hAnsi="Arial" w:cs="Arial"/>
                <w:b/>
                <w:bCs/>
                <w:color w:val="0F0D29" w:themeColor="text1"/>
                <w:kern w:val="36"/>
                <w:sz w:val="24"/>
                <w:szCs w:val="24"/>
                <w:u w:val="none"/>
                <w:lang w:eastAsia="cs-CZ"/>
              </w:rPr>
              <w:t xml:space="preserve"> </w:t>
            </w:r>
            <w:r w:rsidR="00C22D74">
              <w:rPr>
                <w:rStyle w:val="Hypertextovodkaz"/>
                <w:rFonts w:ascii="Arial" w:eastAsia="Times New Roman" w:hAnsi="Arial" w:cs="Arial"/>
                <w:b/>
                <w:bCs/>
                <w:color w:val="0F0D29" w:themeColor="text1"/>
                <w:kern w:val="36"/>
                <w:sz w:val="24"/>
                <w:szCs w:val="24"/>
                <w:u w:val="none"/>
                <w:lang w:eastAsia="cs-CZ"/>
              </w:rPr>
              <w:pict w14:anchorId="27969687">
                <v:rect id="_x0000_i1109" style="width:0;height:1.5pt" o:hralign="center" o:hrstd="t" o:hr="t" fillcolor="#a0a0a0" stroked="f"/>
              </w:pict>
            </w:r>
          </w:p>
          <w:p w14:paraId="7D96919C" w14:textId="528C3BD8" w:rsidR="004646E1"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 xml:space="preserve">, </w:t>
            </w:r>
            <w:r w:rsidRPr="00F81C67">
              <w:rPr>
                <w:rStyle w:val="Hypertextovodkaz"/>
                <w:rFonts w:ascii="Arial" w:eastAsia="Times New Roman" w:hAnsi="Arial" w:cs="Arial"/>
                <w:bCs/>
                <w:color w:val="0F0D29" w:themeColor="text1"/>
                <w:kern w:val="36"/>
                <w:sz w:val="20"/>
                <w:szCs w:val="20"/>
                <w:u w:val="none"/>
                <w:lang w:eastAsia="cs-CZ"/>
              </w:rPr>
              <w:t>č.j. 23 Cdo 2696/2020-105</w:t>
            </w:r>
          </w:p>
          <w:p w14:paraId="68E0AECC" w14:textId="77777777" w:rsidR="00F81C67" w:rsidRPr="005078C0"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0790C96" w14:textId="0E9EC671" w:rsidR="004646E1" w:rsidRDefault="00F81C67"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Sjednají-li si smluvní strany způsob a postup pro předání díla, má to ten důsledek, že k provedení předmětného díla může dojít pouze způsobem a postupem dohodnutým účastníky ve smlouvě, nikoli postupem a způsobem jiným, tedy ani fakticky („je-li ve smlouvě specifikován způsob předání díla tak, že jde o protokolární předání, nelze při absenci předávacího protokolu považovat dílo za předané a převzaté pouze na základě dalších okolností případu“).</w:t>
            </w:r>
          </w:p>
          <w:p w14:paraId="7C2F99F7" w14:textId="77777777" w:rsidR="00F81C67" w:rsidRPr="005078C0" w:rsidRDefault="00F81C67"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BBE548" w14:textId="77777777" w:rsidR="004646E1" w:rsidRPr="005078C0" w:rsidRDefault="004646E1" w:rsidP="004646E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957FC43" w14:textId="055F6E41" w:rsid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1567B0" w14:textId="3DFAB07B" w:rsidR="00F81C67" w:rsidRPr="00F81C67" w:rsidRDefault="00F81C67" w:rsidP="00F81C67">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sidRPr="00F81C67">
              <w:rPr>
                <w:rStyle w:val="Hypertextovodkaz"/>
                <w:rFonts w:ascii="Arial" w:eastAsia="Times New Roman" w:hAnsi="Arial" w:cs="Arial"/>
                <w:b/>
                <w:bCs/>
                <w:color w:val="0F0D29" w:themeColor="text1"/>
                <w:kern w:val="36"/>
                <w:sz w:val="24"/>
                <w:szCs w:val="20"/>
                <w:u w:val="none"/>
                <w:lang w:eastAsia="cs-CZ"/>
              </w:rPr>
              <w:t>Dovolená během státního svátku</w:t>
            </w:r>
          </w:p>
          <w:p w14:paraId="2E12A834" w14:textId="7B2EB851" w:rsidR="00E702E0" w:rsidRPr="005078C0" w:rsidRDefault="00C22D74" w:rsidP="00E702E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20CB308F">
                <v:rect id="_x0000_i1110" style="width:0;height:1.5pt" o:hralign="center" o:hrstd="t" o:hr="t" fillcolor="#a0a0a0" stroked="f"/>
              </w:pict>
            </w:r>
          </w:p>
          <w:p w14:paraId="0EF1F18E" w14:textId="31E95D44" w:rsidR="00BE60C4" w:rsidRDefault="00BE60C4" w:rsidP="00BE60C4">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soud</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č.j. 21 Cdo 1299/2021-150</w:t>
            </w:r>
          </w:p>
          <w:p w14:paraId="60ABC42E" w14:textId="77777777" w:rsidR="00BE60C4" w:rsidRDefault="00BE60C4" w:rsidP="00BE60C4">
            <w:pPr>
              <w:pStyle w:val="Bezmezer"/>
              <w:jc w:val="right"/>
              <w:rPr>
                <w:rStyle w:val="Hypertextovodkaz"/>
                <w:rFonts w:ascii="Arial" w:eastAsia="Times New Roman" w:hAnsi="Arial" w:cs="Arial"/>
                <w:bCs/>
                <w:color w:val="0F0D29" w:themeColor="text1"/>
                <w:kern w:val="36"/>
                <w:sz w:val="20"/>
                <w:szCs w:val="20"/>
                <w:u w:val="none"/>
                <w:lang w:eastAsia="cs-CZ"/>
              </w:rPr>
            </w:pPr>
          </w:p>
          <w:p w14:paraId="2A82B362" w14:textId="09DA18B1" w:rsidR="00F81C67" w:rsidRPr="00F81C67" w:rsidRDefault="00F81C67" w:rsidP="00BE60C4">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Určil-li zaměstnavatel zaměstnanci pracujícímu v nepřetržitém provozu, kterému podle předem stanoveného rozvrhu pracovních směn připadla směna na svátek, na tento den (svátek) čerpání dovolené, ve svém důsledku se tímto způsobem sám (na základě vlastního rozhodnutí) „vzdal“ možnosti přidělovat v tento den (ve svátek) tomuto zaměstnanci práci, přestože mu na tento den v předem stanoveném rozvrhu pracovních směn určil směnu. V takovém případě není opodstatněné, aby byl zaměstnanci upřen den pracovního klidu v podobě svátku, jenž v tento den svědčí zaměstnancům, u kterých je jinak (nebýt svátku) tento den jejich obvyklým pracovním dnem, a aby se mu tento den započítával do dovolené, neboť rovněž tento zaměstnanec by jinak (nebylo-li by mu zaměstnavatelem určeno čerpání dovolené) byl povinen v tento den směnu určenou v předem stanoveném rozvrhu pracovních směn odpracovat (tento den by tedy za obvyklého běhu okolností byl jeho pracovním dnem). Rovněž na tohoto zaměstnance se proto vztahuje ustanovení § 219 odst. 2 věty první zák. práce a z něj vyplývající obecné pravidlo, že svátek má přednost před dovolenou. Zaměstnanci pracujícímu v nepřetržitém provozu, jemuž bylo zaměstnavatelem určeno čerpání dovolené na den, na který mu byla zaměstnavatelem v předem stanoveném rozvrhu pracovních směn určena směna, se tedy tento den, připadl-li na něj svátek, nezapočítává do dovolené.</w:t>
            </w:r>
          </w:p>
          <w:p w14:paraId="73288B31" w14:textId="77777777" w:rsidR="00F81C67" w:rsidRPr="00F81C67" w:rsidRDefault="00F81C67" w:rsidP="00F81C67">
            <w:pPr>
              <w:pStyle w:val="Bezmezer"/>
              <w:jc w:val="right"/>
              <w:rPr>
                <w:rStyle w:val="Hypertextovodkaz"/>
                <w:rFonts w:ascii="Arial" w:eastAsia="Times New Roman" w:hAnsi="Arial" w:cs="Arial"/>
                <w:bCs/>
                <w:color w:val="0F0D29" w:themeColor="text1"/>
                <w:kern w:val="36"/>
                <w:sz w:val="20"/>
                <w:szCs w:val="20"/>
                <w:u w:val="none"/>
                <w:lang w:eastAsia="cs-CZ"/>
              </w:rPr>
            </w:pPr>
          </w:p>
          <w:p w14:paraId="4CB6F338" w14:textId="04B94A8A" w:rsidR="00E702E0" w:rsidRPr="005078C0" w:rsidRDefault="00E702E0" w:rsidP="00F81C6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10E2DBD" w14:textId="58FFA365" w:rsidR="00F5617F" w:rsidRPr="00BE60C4" w:rsidRDefault="00BE60C4" w:rsidP="00DD262D">
            <w:pPr>
              <w:pStyle w:val="Bezmezer"/>
              <w:shd w:val="clear" w:color="auto" w:fill="D9D9D9" w:themeFill="background1" w:themeFillShade="D9"/>
              <w:spacing w:line="276" w:lineRule="auto"/>
              <w:jc w:val="both"/>
              <w:rPr>
                <w:rFonts w:ascii="Arial" w:eastAsia="Times New Roman" w:hAnsi="Arial" w:cs="Arial"/>
                <w:i/>
                <w:color w:val="0F0D29" w:themeColor="text1"/>
                <w:kern w:val="36"/>
                <w:sz w:val="20"/>
                <w:szCs w:val="20"/>
                <w:lang w:eastAsia="cs-CZ"/>
              </w:rPr>
            </w:pPr>
            <w:r>
              <w:rPr>
                <w:rFonts w:ascii="Arial" w:eastAsia="Times New Roman" w:hAnsi="Arial" w:cs="Arial"/>
                <w:b/>
                <w:bCs/>
                <w:i/>
                <w:color w:val="0F0D29" w:themeColor="text1"/>
                <w:kern w:val="36"/>
                <w:sz w:val="20"/>
                <w:szCs w:val="20"/>
                <w:lang w:eastAsia="cs-CZ"/>
              </w:rPr>
              <w:t xml:space="preserve">Úkol: </w:t>
            </w:r>
            <w:r>
              <w:rPr>
                <w:rFonts w:ascii="Arial" w:eastAsia="Times New Roman" w:hAnsi="Arial" w:cs="Arial"/>
                <w:i/>
                <w:color w:val="0F0D29" w:themeColor="text1"/>
                <w:kern w:val="36"/>
                <w:sz w:val="20"/>
                <w:szCs w:val="20"/>
                <w:lang w:eastAsia="cs-CZ"/>
              </w:rPr>
              <w:t>Na vědomí OŘLZ.</w:t>
            </w:r>
          </w:p>
        </w:tc>
      </w:tr>
      <w:tr w:rsidR="00F81C67" w:rsidRPr="005078C0" w14:paraId="3FA25B10" w14:textId="77777777" w:rsidTr="00F5617F">
        <w:trPr>
          <w:trHeight w:val="5931"/>
        </w:trPr>
        <w:tc>
          <w:tcPr>
            <w:tcW w:w="9735" w:type="dxa"/>
          </w:tcPr>
          <w:p w14:paraId="58A75F11" w14:textId="2C9E457E" w:rsidR="00372A73" w:rsidRPr="00372A73" w:rsidRDefault="00372A73" w:rsidP="00D80850">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lastRenderedPageBreak/>
              <w:t>Pracovněprávní smlouvy uzavírané elektronicky</w:t>
            </w:r>
          </w:p>
          <w:p w14:paraId="27F705DD" w14:textId="77777777" w:rsidR="00372A73" w:rsidRPr="005078C0" w:rsidRDefault="00C22D74" w:rsidP="00372A7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1ACD7FAA">
                <v:rect id="_x0000_i1037" style="width:0;height:1.5pt" o:hralign="center" o:hrstd="t" o:hr="t" fillcolor="#a0a0a0" stroked="f"/>
              </w:pict>
            </w:r>
          </w:p>
          <w:p w14:paraId="4AA8BE56" w14:textId="6A9A9E2A" w:rsidR="00372A73" w:rsidRDefault="00372A73" w:rsidP="00372A73">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soud</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 xml:space="preserve">č.j. 21 Cdo </w:t>
            </w:r>
            <w:r>
              <w:rPr>
                <w:rStyle w:val="Hypertextovodkaz"/>
                <w:rFonts w:ascii="Arial" w:eastAsia="Times New Roman" w:hAnsi="Arial" w:cs="Arial"/>
                <w:bCs/>
                <w:color w:val="0F0D29" w:themeColor="text1"/>
                <w:kern w:val="36"/>
                <w:sz w:val="20"/>
                <w:szCs w:val="20"/>
                <w:u w:val="none"/>
                <w:lang w:eastAsia="cs-CZ"/>
              </w:rPr>
              <w:t>2061/2021</w:t>
            </w:r>
          </w:p>
          <w:p w14:paraId="469AB4EB" w14:textId="77777777" w:rsidR="00372A73" w:rsidRDefault="00372A73" w:rsidP="00372A73">
            <w:pPr>
              <w:pStyle w:val="Bezmezer"/>
              <w:jc w:val="right"/>
              <w:rPr>
                <w:rStyle w:val="Hypertextovodkaz"/>
                <w:rFonts w:ascii="Arial" w:eastAsia="Times New Roman" w:hAnsi="Arial" w:cs="Arial"/>
                <w:bCs/>
                <w:color w:val="0F0D29" w:themeColor="text1"/>
                <w:kern w:val="36"/>
                <w:sz w:val="20"/>
                <w:szCs w:val="20"/>
                <w:u w:val="none"/>
                <w:lang w:eastAsia="cs-CZ"/>
              </w:rPr>
            </w:pPr>
          </w:p>
          <w:p w14:paraId="59A00316" w14:textId="48B2919E" w:rsidR="00372A73" w:rsidRPr="00372A73" w:rsidRDefault="00372A73" w:rsidP="00372A7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372A73">
              <w:rPr>
                <w:rStyle w:val="Hypertextovodkaz"/>
                <w:rFonts w:ascii="Arial" w:eastAsia="Times New Roman" w:hAnsi="Arial" w:cs="Arial"/>
                <w:bCs/>
                <w:color w:val="0F0D29" w:themeColor="text1"/>
                <w:kern w:val="36"/>
                <w:sz w:val="20"/>
                <w:szCs w:val="20"/>
                <w:u w:val="none"/>
                <w:lang w:eastAsia="cs-CZ"/>
              </w:rPr>
              <w:t xml:space="preserve">Nejvyšší soud řešil otázku, zda může dojít k dohodě zaměstnance a zaměstnavatele, jednajících distančně, v případě, kdy při doručování písemností, obsahujících nabídku dohody (ofertu) a její přijetí (akceptaci), nebyly dodrženy zákonné podmínky pro doručování písemností upravené v ustanovení § 334 až § 337 zákoníku práce. Tuto otázku řešil na skutkovém pozadí, kdy v době jednání zaměstnavatele a zaměstnance ohledně výpovědi z pracovního poměru dané zaměstnavatelem (jejíž platnost zaměstnanec zpochybňoval) zaměstnavatel zaslal zaměstnanci jako přílohu e-mailové zprávy </w:t>
            </w:r>
            <w:proofErr w:type="spellStart"/>
            <w:r w:rsidRPr="00372A73">
              <w:rPr>
                <w:rStyle w:val="Hypertextovodkaz"/>
                <w:rFonts w:ascii="Arial" w:eastAsia="Times New Roman" w:hAnsi="Arial" w:cs="Arial"/>
                <w:bCs/>
                <w:color w:val="0F0D29" w:themeColor="text1"/>
                <w:kern w:val="36"/>
                <w:sz w:val="20"/>
                <w:szCs w:val="20"/>
                <w:u w:val="none"/>
                <w:lang w:eastAsia="cs-CZ"/>
              </w:rPr>
              <w:t>scan</w:t>
            </w:r>
            <w:proofErr w:type="spellEnd"/>
            <w:r w:rsidRPr="00372A73">
              <w:rPr>
                <w:rStyle w:val="Hypertextovodkaz"/>
                <w:rFonts w:ascii="Arial" w:eastAsia="Times New Roman" w:hAnsi="Arial" w:cs="Arial"/>
                <w:bCs/>
                <w:color w:val="0F0D29" w:themeColor="text1"/>
                <w:kern w:val="36"/>
                <w:sz w:val="20"/>
                <w:szCs w:val="20"/>
                <w:u w:val="none"/>
                <w:lang w:eastAsia="cs-CZ"/>
              </w:rPr>
              <w:t xml:space="preserve"> dohody o narovnání podepsané předsedou představenstva zaměstnavatele, na kterou zástupkyně zaměstnance reagovala tím, že zaměstnanci zaslala e-mailovou zprávu – potvrzení o tom, že dohoda byla žalobcem akceptována a podepsána.</w:t>
            </w:r>
          </w:p>
          <w:p w14:paraId="6AA35914" w14:textId="77777777" w:rsidR="00372A73" w:rsidRPr="00372A73" w:rsidRDefault="00372A73" w:rsidP="00372A7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79D384C" w14:textId="77777777" w:rsidR="00372A73" w:rsidRPr="00372A73" w:rsidRDefault="00372A73" w:rsidP="00372A7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372A73">
              <w:rPr>
                <w:rStyle w:val="Hypertextovodkaz"/>
                <w:rFonts w:ascii="Arial" w:eastAsia="Times New Roman" w:hAnsi="Arial" w:cs="Arial"/>
                <w:bCs/>
                <w:color w:val="0F0D29" w:themeColor="text1"/>
                <w:kern w:val="36"/>
                <w:sz w:val="20"/>
                <w:szCs w:val="20"/>
                <w:u w:val="none"/>
                <w:lang w:eastAsia="cs-CZ"/>
              </w:rPr>
              <w:t>Nejvyšší soud konstatoval, že za situace, kdy zákoník práce postrádá komplexní úpravu právních jednání, se na postup při uzavírání pracovněprávních smluv (dohod) užijí pravidla obsažená v zákoně č. 89/2012 Sb., občanský zákoník, zejména ustanovení části první, hlavy V., § 545 a násl. a části čtvrté, hlavy I., § 1721 a násl. Ve vztahu k řešené právní otázce potom formuloval obecný závěr, že pro úvahu o vzniku (existenci) společného (vícestranného) právního jednání je významný pouze úsudek (poznání) o společné vůli (úmyslu) jednajících, nikoliv o „cestě“, která ke shodě jednajících o obsahu právního jednání vedla; taková úvaha se může prosadit pouze při posouzení tzv. formy právního jednání, která se odráží pouze v řešení otázky platnosti právního jednání. Otázkou platnosti pracovněprávního jednání při nedodržení stanovené písemné formy se Nejvyšší soud nezabýval, neboť tato otázka nebyla dovolacímu přezkumu otevřena.</w:t>
            </w:r>
          </w:p>
          <w:p w14:paraId="058581E5" w14:textId="77777777" w:rsidR="00372A73" w:rsidRPr="00372A73" w:rsidRDefault="00372A73" w:rsidP="00372A7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6933CAF" w14:textId="77777777" w:rsidR="00372A73" w:rsidRPr="005078C0" w:rsidRDefault="00372A73" w:rsidP="00372A7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94A34FD" w14:textId="7EFAEFF0" w:rsidR="00372A73" w:rsidRPr="005078C0" w:rsidRDefault="00372A73" w:rsidP="00372A73">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OPS, </w:t>
            </w:r>
            <w:proofErr w:type="gramStart"/>
            <w:r>
              <w:rPr>
                <w:rStyle w:val="Hypertextovodkaz"/>
                <w:rFonts w:ascii="Arial" w:eastAsia="Times New Roman" w:hAnsi="Arial" w:cs="Arial"/>
                <w:bCs/>
                <w:i/>
                <w:color w:val="0F0D29" w:themeColor="text1"/>
                <w:kern w:val="36"/>
                <w:sz w:val="20"/>
                <w:szCs w:val="20"/>
                <w:u w:val="none"/>
                <w:lang w:eastAsia="cs-CZ"/>
              </w:rPr>
              <w:t xml:space="preserve">OŘLZ, </w:t>
            </w:r>
            <w:r w:rsidRPr="005078C0">
              <w:rPr>
                <w:rStyle w:val="Hypertextovodkaz"/>
                <w:rFonts w:ascii="Arial" w:eastAsia="Times New Roman" w:hAnsi="Arial" w:cs="Arial"/>
                <w:bCs/>
                <w:i/>
                <w:color w:val="0F0D29" w:themeColor="text1"/>
                <w:kern w:val="36"/>
                <w:sz w:val="20"/>
                <w:szCs w:val="20"/>
                <w:u w:val="none"/>
                <w:lang w:eastAsia="cs-CZ"/>
              </w:rPr>
              <w:t xml:space="preserve"> POŘ</w:t>
            </w:r>
            <w:r>
              <w:rPr>
                <w:rStyle w:val="Hypertextovodkaz"/>
                <w:rFonts w:ascii="Arial" w:eastAsia="Times New Roman" w:hAnsi="Arial" w:cs="Arial"/>
                <w:bCs/>
                <w:i/>
                <w:color w:val="0F0D29" w:themeColor="text1"/>
                <w:kern w:val="36"/>
                <w:sz w:val="20"/>
                <w:szCs w:val="20"/>
                <w:u w:val="none"/>
                <w:lang w:eastAsia="cs-CZ"/>
              </w:rPr>
              <w:t>.</w:t>
            </w:r>
            <w:proofErr w:type="gramEnd"/>
          </w:p>
          <w:p w14:paraId="6A7A1E8C" w14:textId="77777777" w:rsidR="002A5582" w:rsidRDefault="002A5582" w:rsidP="00D80850">
            <w:pPr>
              <w:pStyle w:val="Bezmezer"/>
              <w:spacing w:line="360" w:lineRule="auto"/>
              <w:jc w:val="center"/>
              <w:rPr>
                <w:rStyle w:val="Hypertextovodkaz"/>
                <w:rFonts w:asciiTheme="majorHAnsi" w:eastAsia="Times New Roman" w:hAnsiTheme="majorHAnsi" w:cstheme="majorHAnsi"/>
                <w:b/>
                <w:bCs/>
                <w:color w:val="0F0D29" w:themeColor="text1"/>
                <w:kern w:val="36"/>
                <w:sz w:val="24"/>
                <w:szCs w:val="20"/>
                <w:u w:val="none"/>
                <w:lang w:eastAsia="cs-CZ"/>
              </w:rPr>
            </w:pPr>
          </w:p>
          <w:p w14:paraId="0376336A" w14:textId="1D94A491" w:rsidR="00D80850" w:rsidRPr="00D80850" w:rsidRDefault="00D80850" w:rsidP="00D80850">
            <w:pPr>
              <w:pStyle w:val="Bezmezer"/>
              <w:spacing w:line="360" w:lineRule="auto"/>
              <w:jc w:val="center"/>
              <w:rPr>
                <w:rStyle w:val="Hypertextovodkaz"/>
                <w:rFonts w:asciiTheme="majorHAnsi" w:eastAsia="Times New Roman" w:hAnsiTheme="majorHAnsi" w:cstheme="majorHAnsi"/>
                <w:b/>
                <w:bCs/>
                <w:color w:val="0F0D29" w:themeColor="text1"/>
                <w:kern w:val="36"/>
                <w:sz w:val="24"/>
                <w:szCs w:val="20"/>
                <w:u w:val="none"/>
                <w:lang w:eastAsia="cs-CZ"/>
              </w:rPr>
            </w:pPr>
            <w:r w:rsidRPr="00D80850">
              <w:rPr>
                <w:rStyle w:val="Hypertextovodkaz"/>
                <w:rFonts w:asciiTheme="majorHAnsi" w:eastAsia="Times New Roman" w:hAnsiTheme="majorHAnsi" w:cstheme="majorHAnsi"/>
                <w:b/>
                <w:bCs/>
                <w:color w:val="0F0D29" w:themeColor="text1"/>
                <w:kern w:val="36"/>
                <w:sz w:val="24"/>
                <w:szCs w:val="20"/>
                <w:u w:val="none"/>
                <w:lang w:eastAsia="cs-CZ"/>
              </w:rPr>
              <w:t>I</w:t>
            </w:r>
            <w:r w:rsidRPr="00D80850">
              <w:rPr>
                <w:rStyle w:val="Hypertextovodkaz"/>
                <w:rFonts w:asciiTheme="majorHAnsi" w:eastAsia="Times New Roman" w:hAnsiTheme="majorHAnsi" w:cstheme="majorHAnsi"/>
                <w:b/>
                <w:bCs/>
                <w:color w:val="0F0D29" w:themeColor="text1"/>
                <w:kern w:val="36"/>
                <w:sz w:val="24"/>
                <w:u w:val="none"/>
                <w:lang w:eastAsia="cs-CZ"/>
              </w:rPr>
              <w:t>nstalace kamerové atrapy</w:t>
            </w:r>
          </w:p>
          <w:p w14:paraId="689F2BF8" w14:textId="77777777" w:rsidR="00D80850" w:rsidRPr="005078C0" w:rsidRDefault="00C22D74" w:rsidP="00D8085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6017932E">
                <v:rect id="_x0000_i1038" style="width:0;height:1.5pt" o:hralign="center" o:hrstd="t" o:hr="t" fillcolor="#a0a0a0" stroked="f"/>
              </w:pict>
            </w:r>
          </w:p>
          <w:p w14:paraId="3D66A75B" w14:textId="77777777" w:rsidR="00D80850" w:rsidRDefault="00D80850" w:rsidP="00D80850">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soud</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 xml:space="preserve">č.j. 21 Cdo </w:t>
            </w:r>
            <w:r>
              <w:rPr>
                <w:rStyle w:val="Hypertextovodkaz"/>
                <w:rFonts w:ascii="Arial" w:eastAsia="Times New Roman" w:hAnsi="Arial" w:cs="Arial"/>
                <w:bCs/>
                <w:color w:val="0F0D29" w:themeColor="text1"/>
                <w:kern w:val="36"/>
                <w:sz w:val="20"/>
                <w:szCs w:val="20"/>
                <w:u w:val="none"/>
                <w:lang w:eastAsia="cs-CZ"/>
              </w:rPr>
              <w:t>2061/2021</w:t>
            </w:r>
          </w:p>
          <w:p w14:paraId="262F14DE" w14:textId="77777777" w:rsidR="00D80850" w:rsidRDefault="00D80850" w:rsidP="00D80850">
            <w:pPr>
              <w:pStyle w:val="Bezmezer"/>
              <w:jc w:val="right"/>
              <w:rPr>
                <w:rStyle w:val="Hypertextovodkaz"/>
                <w:rFonts w:ascii="Arial" w:eastAsia="Times New Roman" w:hAnsi="Arial" w:cs="Arial"/>
                <w:bCs/>
                <w:color w:val="0F0D29" w:themeColor="text1"/>
                <w:kern w:val="36"/>
                <w:sz w:val="20"/>
                <w:szCs w:val="20"/>
                <w:u w:val="none"/>
                <w:lang w:eastAsia="cs-CZ"/>
              </w:rPr>
            </w:pPr>
          </w:p>
          <w:p w14:paraId="08AC9C8C" w14:textId="77777777" w:rsidR="00D80850" w:rsidRPr="00D80850" w:rsidRDefault="00D80850" w:rsidP="00D8085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80850">
              <w:rPr>
                <w:rStyle w:val="Hypertextovodkaz"/>
                <w:rFonts w:ascii="Arial" w:eastAsia="Times New Roman" w:hAnsi="Arial" w:cs="Arial"/>
                <w:bCs/>
                <w:color w:val="0F0D29" w:themeColor="text1"/>
                <w:kern w:val="36"/>
                <w:sz w:val="20"/>
                <w:szCs w:val="20"/>
                <w:u w:val="none"/>
                <w:lang w:eastAsia="cs-CZ"/>
              </w:rPr>
              <w:t>Úřad pro ochranu osobních údajů šetřil podnět týkající se instalace kamerového systému, který měl sloužit ke kontrole zaměstnanců. Místním šetřením Úřadu pro ochranu osobních údajů bylo zjištěno, že se nejedná o funkční kamerový systém, ale o atrapu, nedošlo tak k porušení obecného nařízení o ochraně osobních údajů (GDPR). Vzhledem k tomu, že taková instalace může být ovšem považována za možné porušení pracovněprávních předpisů, ÚOOÚ věc předal k prošetření místně příslušnému inspektorátu práce.</w:t>
            </w:r>
          </w:p>
          <w:p w14:paraId="33432129" w14:textId="77777777" w:rsidR="00D80850" w:rsidRPr="00D80850" w:rsidRDefault="00D80850" w:rsidP="00D8085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80850">
              <w:rPr>
                <w:rStyle w:val="Hypertextovodkaz"/>
                <w:rFonts w:ascii="Arial" w:eastAsia="Times New Roman" w:hAnsi="Arial" w:cs="Arial"/>
                <w:bCs/>
                <w:color w:val="0F0D29" w:themeColor="text1"/>
                <w:kern w:val="36"/>
                <w:sz w:val="20"/>
                <w:szCs w:val="20"/>
                <w:u w:val="none"/>
                <w:lang w:eastAsia="cs-CZ"/>
              </w:rPr>
              <w:t xml:space="preserve"> </w:t>
            </w:r>
          </w:p>
          <w:p w14:paraId="315BE3E8" w14:textId="77777777" w:rsidR="00D80850" w:rsidRPr="00D80850" w:rsidRDefault="00D80850" w:rsidP="00D8085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80850">
              <w:rPr>
                <w:rStyle w:val="Hypertextovodkaz"/>
                <w:rFonts w:ascii="Arial" w:eastAsia="Times New Roman" w:hAnsi="Arial" w:cs="Arial"/>
                <w:bCs/>
                <w:color w:val="0F0D29" w:themeColor="text1"/>
                <w:kern w:val="36"/>
                <w:sz w:val="20"/>
                <w:szCs w:val="20"/>
                <w:u w:val="none"/>
                <w:lang w:eastAsia="cs-CZ"/>
              </w:rPr>
              <w:t xml:space="preserve">Inspektorát práce pochybení potvrdil a konstatoval, že zaměstnavatel instalací atrapy technologických prvků kamerového systému porušil zákoník práce (§ 302, písm. c) zák. č. 262/2006 Sb., konkrétně povinnost „vytvářet příznivé pracovní podmínky a zajišťovat bezpečnost a ochranu zdraví při práci“).           </w:t>
            </w:r>
          </w:p>
          <w:p w14:paraId="2D431619" w14:textId="77777777" w:rsidR="00D80850" w:rsidRPr="00D80850" w:rsidRDefault="00D80850" w:rsidP="00D8085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577B475" w14:textId="77777777" w:rsidR="00D80850" w:rsidRPr="005078C0" w:rsidRDefault="00D80850" w:rsidP="00D8085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0C52E092" w14:textId="263BA7B5" w:rsidR="00D80850" w:rsidRPr="005078C0" w:rsidRDefault="00D80850" w:rsidP="00D80850">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POŘ.</w:t>
            </w:r>
          </w:p>
          <w:p w14:paraId="20783BFF" w14:textId="58581E49" w:rsidR="00372A73" w:rsidRPr="005078C0" w:rsidRDefault="00372A73" w:rsidP="00372A73">
            <w:pPr>
              <w:pStyle w:val="Bezmezer"/>
              <w:spacing w:line="360" w:lineRule="auto"/>
              <w:rPr>
                <w:rFonts w:ascii="Arial" w:hAnsi="Arial" w:cs="Arial"/>
                <w:b/>
                <w:color w:val="0F0D29" w:themeColor="text1"/>
              </w:rPr>
            </w:pPr>
          </w:p>
        </w:tc>
      </w:tr>
    </w:tbl>
    <w:p w14:paraId="552A9991" w14:textId="77777777" w:rsidR="00D80850" w:rsidRDefault="00D80850" w:rsidP="002A5582">
      <w:pPr>
        <w:jc w:val="center"/>
        <w:rPr>
          <w:rStyle w:val="Hypertextovodkaz"/>
          <w:rFonts w:ascii="Arial" w:eastAsia="Times New Roman" w:hAnsi="Arial" w:cs="Arial"/>
          <w:bCs/>
          <w:color w:val="0F0D29" w:themeColor="text1"/>
          <w:kern w:val="36"/>
          <w:sz w:val="24"/>
          <w:szCs w:val="20"/>
          <w:u w:val="none"/>
          <w:lang w:eastAsia="cs-CZ"/>
        </w:rPr>
      </w:pPr>
      <w:r w:rsidRPr="00D80850">
        <w:rPr>
          <w:rStyle w:val="Hypertextovodkaz"/>
          <w:rFonts w:ascii="Arial" w:eastAsia="Times New Roman" w:hAnsi="Arial" w:cs="Arial"/>
          <w:bCs/>
          <w:color w:val="0F0D29" w:themeColor="text1"/>
          <w:kern w:val="36"/>
          <w:sz w:val="24"/>
          <w:szCs w:val="20"/>
          <w:u w:val="none"/>
          <w:lang w:eastAsia="cs-CZ"/>
        </w:rPr>
        <w:lastRenderedPageBreak/>
        <w:t>Hackerské útoky a GDPR</w:t>
      </w:r>
    </w:p>
    <w:p w14:paraId="154B2DDF" w14:textId="6039EA52" w:rsidR="00D80850" w:rsidRDefault="00C22D74" w:rsidP="00D56C4F">
      <w:pPr>
        <w:jc w:val="center"/>
        <w:rPr>
          <w:rStyle w:val="Hypertextovodkaz"/>
          <w:rFonts w:ascii="Arial" w:eastAsia="Times New Roman" w:hAnsi="Arial" w:cs="Arial"/>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4"/>
          <w:szCs w:val="24"/>
          <w:u w:val="none"/>
          <w:lang w:eastAsia="cs-CZ"/>
        </w:rPr>
        <w:pict w14:anchorId="45797994">
          <v:rect id="_x0000_i1039" style="width:0;height:1.5pt" o:hralign="center" o:hrstd="t" o:hr="t" fillcolor="#a0a0a0" stroked="f"/>
        </w:pict>
      </w:r>
    </w:p>
    <w:p w14:paraId="46E87178" w14:textId="72D80999" w:rsidR="00BB4079" w:rsidRPr="00847AEC" w:rsidRDefault="00BB4079" w:rsidP="00D56C4F">
      <w:pPr>
        <w:jc w:val="center"/>
        <w:rPr>
          <w:rStyle w:val="Hypertextovodkaz"/>
          <w:rFonts w:ascii="Arial" w:eastAsia="Times New Roman" w:hAnsi="Arial" w:cs="Arial"/>
          <w:b w:val="0"/>
          <w:color w:val="0F0D29" w:themeColor="text1"/>
          <w:kern w:val="36"/>
          <w:sz w:val="24"/>
          <w:szCs w:val="20"/>
          <w:u w:val="none"/>
          <w:lang w:eastAsia="cs-CZ"/>
        </w:rPr>
      </w:pPr>
    </w:p>
    <w:p w14:paraId="68D73FD3" w14:textId="77777777"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r w:rsidRPr="00847AEC">
        <w:rPr>
          <w:rStyle w:val="Hypertextovodkaz"/>
          <w:rFonts w:ascii="Arial" w:eastAsia="Times New Roman" w:hAnsi="Arial" w:cs="Arial"/>
          <w:b w:val="0"/>
          <w:color w:val="0F0D29" w:themeColor="text1"/>
          <w:kern w:val="36"/>
          <w:sz w:val="20"/>
          <w:szCs w:val="16"/>
          <w:u w:val="none"/>
          <w:lang w:eastAsia="cs-CZ"/>
        </w:rPr>
        <w:t>Úřad pro ochranu osobních údajů, v reakci na sílící hackerské útoky na internetové stránky, upozorňuje na povinnosti subjektů (např. města a obce) spravujících osobní údaje, které jsou obsaženy v obecném nařízení EU o ochraně osobních údajů (GDPR).</w:t>
      </w:r>
    </w:p>
    <w:p w14:paraId="24B86529" w14:textId="77777777"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r w:rsidRPr="00847AEC">
        <w:rPr>
          <w:rStyle w:val="Hypertextovodkaz"/>
          <w:rFonts w:ascii="Arial" w:eastAsia="Times New Roman" w:hAnsi="Arial" w:cs="Arial"/>
          <w:b w:val="0"/>
          <w:color w:val="0F0D29" w:themeColor="text1"/>
          <w:kern w:val="36"/>
          <w:sz w:val="20"/>
          <w:szCs w:val="16"/>
          <w:u w:val="none"/>
          <w:lang w:eastAsia="cs-CZ"/>
        </w:rPr>
        <w:t xml:space="preserve"> </w:t>
      </w:r>
    </w:p>
    <w:p w14:paraId="109DC4B4" w14:textId="3F21F186"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r w:rsidRPr="00847AEC">
        <w:rPr>
          <w:rStyle w:val="Hypertextovodkaz"/>
          <w:rFonts w:ascii="Arial" w:eastAsia="Times New Roman" w:hAnsi="Arial" w:cs="Arial"/>
          <w:b w:val="0"/>
          <w:color w:val="0F0D29" w:themeColor="text1"/>
          <w:kern w:val="36"/>
          <w:sz w:val="20"/>
          <w:szCs w:val="16"/>
          <w:u w:val="none"/>
          <w:lang w:eastAsia="cs-CZ"/>
        </w:rPr>
        <w:t xml:space="preserve"> </w:t>
      </w:r>
    </w:p>
    <w:p w14:paraId="0F8FDF39" w14:textId="4A4BDFFC"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r w:rsidRPr="00847AEC">
        <w:rPr>
          <w:rStyle w:val="Hypertextovodkaz"/>
          <w:rFonts w:ascii="Arial" w:eastAsia="Times New Roman" w:hAnsi="Arial" w:cs="Arial"/>
          <w:b w:val="0"/>
          <w:color w:val="0F0D29" w:themeColor="text1"/>
          <w:kern w:val="36"/>
          <w:sz w:val="20"/>
          <w:szCs w:val="16"/>
          <w:u w:val="none"/>
          <w:lang w:eastAsia="cs-CZ"/>
        </w:rPr>
        <w:t xml:space="preserve">V případě, kdy dojde k úspěšnému hackerskému útoku a budou odcizeny osobní údaje (data </w:t>
      </w:r>
      <w:proofErr w:type="spellStart"/>
      <w:r w:rsidRPr="00847AEC">
        <w:rPr>
          <w:rStyle w:val="Hypertextovodkaz"/>
          <w:rFonts w:ascii="Arial" w:eastAsia="Times New Roman" w:hAnsi="Arial" w:cs="Arial"/>
          <w:b w:val="0"/>
          <w:color w:val="0F0D29" w:themeColor="text1"/>
          <w:kern w:val="36"/>
          <w:sz w:val="20"/>
          <w:szCs w:val="16"/>
          <w:u w:val="none"/>
          <w:lang w:eastAsia="cs-CZ"/>
        </w:rPr>
        <w:t>breach</w:t>
      </w:r>
      <w:proofErr w:type="spellEnd"/>
      <w:r w:rsidRPr="00847AEC">
        <w:rPr>
          <w:rStyle w:val="Hypertextovodkaz"/>
          <w:rFonts w:ascii="Arial" w:eastAsia="Times New Roman" w:hAnsi="Arial" w:cs="Arial"/>
          <w:b w:val="0"/>
          <w:color w:val="0F0D29" w:themeColor="text1"/>
          <w:kern w:val="36"/>
          <w:sz w:val="20"/>
          <w:szCs w:val="16"/>
          <w:u w:val="none"/>
          <w:lang w:eastAsia="cs-CZ"/>
        </w:rPr>
        <w:t xml:space="preserve">), může to pro postižený subjekt (správce osobních údajů) znamenat i porušení obecného nařízení o ochraně osobních údajů. </w:t>
      </w:r>
    </w:p>
    <w:p w14:paraId="1D73392B" w14:textId="77777777"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p>
    <w:p w14:paraId="6864E795" w14:textId="77777777"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r w:rsidRPr="00847AEC">
        <w:rPr>
          <w:rStyle w:val="Hypertextovodkaz"/>
          <w:rFonts w:ascii="Arial" w:eastAsia="Times New Roman" w:hAnsi="Arial" w:cs="Arial"/>
          <w:b w:val="0"/>
          <w:color w:val="0F0D29" w:themeColor="text1"/>
          <w:kern w:val="36"/>
          <w:sz w:val="20"/>
          <w:szCs w:val="16"/>
          <w:u w:val="none"/>
          <w:lang w:eastAsia="cs-CZ"/>
        </w:rPr>
        <w:t xml:space="preserve">Obecné nařízení představuje právní rámec ochrany osobních údajů platný na celém území Evropské unie. Jeho smyslem je ochrana občanů proti neoprávněnému zacházení s jejich daty a osobními údaji. Úřad pro ochranu osobních údajů pro správce připravil základní přehled povinností, které jim při zpracování osobních údajů ukládá obecné nařízení o ochraně osobních údajů. </w:t>
      </w:r>
    </w:p>
    <w:p w14:paraId="02152B7B" w14:textId="77777777" w:rsidR="00847AEC" w:rsidRP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p>
    <w:p w14:paraId="64F5376E" w14:textId="4EB195E5" w:rsid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r w:rsidRPr="00847AEC">
        <w:rPr>
          <w:rStyle w:val="Hypertextovodkaz"/>
          <w:rFonts w:ascii="Arial" w:eastAsia="Times New Roman" w:hAnsi="Arial" w:cs="Arial"/>
          <w:b w:val="0"/>
          <w:color w:val="0F0D29" w:themeColor="text1"/>
          <w:kern w:val="36"/>
          <w:sz w:val="20"/>
          <w:szCs w:val="16"/>
          <w:u w:val="none"/>
          <w:lang w:eastAsia="cs-CZ"/>
        </w:rPr>
        <w:t xml:space="preserve">V případě, kdy dojde k porušení zabezpečení osobních údajů je prvotní a klíčovou povinností správce takový incident neprodleně ohlásit Úřadu pro ochranu osobních údajů. </w:t>
      </w:r>
    </w:p>
    <w:p w14:paraId="6E00CB9D" w14:textId="2F9043D7" w:rsid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p>
    <w:p w14:paraId="01AF5F24" w14:textId="77777777" w:rsidR="00847AEC" w:rsidRPr="005078C0" w:rsidRDefault="00847AEC" w:rsidP="00847AEC">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FE1A632" w14:textId="77777777" w:rsidR="00847AEC" w:rsidRPr="005078C0" w:rsidRDefault="00847AEC" w:rsidP="00847AEC">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POŘ.</w:t>
      </w:r>
    </w:p>
    <w:p w14:paraId="4C87680B" w14:textId="0A1D44A2" w:rsidR="00847AEC" w:rsidRDefault="00847AEC" w:rsidP="00847AEC">
      <w:pPr>
        <w:jc w:val="both"/>
        <w:rPr>
          <w:rStyle w:val="Hypertextovodkaz"/>
          <w:rFonts w:ascii="Arial" w:eastAsia="Times New Roman" w:hAnsi="Arial" w:cs="Arial"/>
          <w:b w:val="0"/>
          <w:color w:val="0F0D29" w:themeColor="text1"/>
          <w:kern w:val="36"/>
          <w:sz w:val="20"/>
          <w:szCs w:val="16"/>
          <w:u w:val="none"/>
          <w:lang w:eastAsia="cs-CZ"/>
        </w:rPr>
      </w:pPr>
    </w:p>
    <w:p w14:paraId="15D70FBC" w14:textId="3E64EB4B" w:rsidR="00847AEC" w:rsidRDefault="00847AEC" w:rsidP="00847AEC">
      <w:pPr>
        <w:jc w:val="center"/>
        <w:rPr>
          <w:rStyle w:val="Hypertextovodkaz"/>
          <w:rFonts w:ascii="Arial" w:eastAsia="Times New Roman" w:hAnsi="Arial" w:cs="Arial"/>
          <w:bCs/>
          <w:color w:val="0F0D29" w:themeColor="text1"/>
          <w:kern w:val="36"/>
          <w:sz w:val="24"/>
          <w:szCs w:val="20"/>
          <w:u w:val="none"/>
          <w:lang w:eastAsia="cs-CZ"/>
        </w:rPr>
      </w:pPr>
      <w:r w:rsidRPr="00847AEC">
        <w:rPr>
          <w:rStyle w:val="Hypertextovodkaz"/>
          <w:rFonts w:ascii="Arial" w:eastAsia="Times New Roman" w:hAnsi="Arial" w:cs="Arial"/>
          <w:bCs/>
          <w:color w:val="0F0D29" w:themeColor="text1"/>
          <w:kern w:val="36"/>
          <w:sz w:val="24"/>
          <w:szCs w:val="20"/>
          <w:u w:val="none"/>
          <w:lang w:eastAsia="cs-CZ"/>
        </w:rPr>
        <w:t>Vznik zaměstnaneckého poměru subdodavatele</w:t>
      </w:r>
    </w:p>
    <w:p w14:paraId="28C8D38F" w14:textId="6783D102" w:rsidR="00847AEC" w:rsidRDefault="00C22D74" w:rsidP="00847AEC">
      <w:pPr>
        <w:jc w:val="center"/>
        <w:rPr>
          <w:rStyle w:val="Hypertextovodkaz"/>
          <w:rFonts w:ascii="Arial" w:eastAsia="Times New Roman" w:hAnsi="Arial" w:cs="Arial"/>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4"/>
          <w:szCs w:val="24"/>
          <w:u w:val="none"/>
          <w:lang w:eastAsia="cs-CZ"/>
        </w:rPr>
        <w:pict w14:anchorId="75415C6E">
          <v:rect id="_x0000_i1040" style="width:0;height:1.5pt" o:hralign="center" o:hrstd="t" o:hr="t" fillcolor="#a0a0a0" stroked="f"/>
        </w:pict>
      </w:r>
    </w:p>
    <w:p w14:paraId="1FDEB260" w14:textId="2E0337D1" w:rsidR="00847AEC" w:rsidRDefault="00847AEC" w:rsidP="00847AEC">
      <w:pPr>
        <w:jc w:val="center"/>
        <w:rPr>
          <w:rStyle w:val="Hypertextovodkaz"/>
          <w:rFonts w:ascii="Arial" w:eastAsia="Times New Roman" w:hAnsi="Arial" w:cs="Arial"/>
          <w:bCs/>
          <w:color w:val="0F0D29" w:themeColor="text1"/>
          <w:kern w:val="36"/>
          <w:sz w:val="24"/>
          <w:szCs w:val="20"/>
          <w:u w:val="none"/>
          <w:lang w:eastAsia="cs-CZ"/>
        </w:rPr>
      </w:pPr>
    </w:p>
    <w:p w14:paraId="1E6A2A22" w14:textId="20FC7836" w:rsidR="00E4461E" w:rsidRDefault="00E4461E" w:rsidP="00341F21">
      <w:pPr>
        <w:jc w:val="both"/>
        <w:rPr>
          <w:rStyle w:val="Hypertextovodkaz"/>
          <w:rFonts w:ascii="Arial" w:eastAsia="Times New Roman" w:hAnsi="Arial" w:cs="Arial"/>
          <w:b w:val="0"/>
          <w:color w:val="0F0D29" w:themeColor="text1"/>
          <w:kern w:val="36"/>
          <w:sz w:val="20"/>
          <w:szCs w:val="20"/>
          <w:u w:val="none"/>
          <w:lang w:eastAsia="cs-CZ"/>
        </w:rPr>
      </w:pPr>
      <w:r>
        <w:rPr>
          <w:rStyle w:val="Hypertextovodkaz"/>
          <w:rFonts w:ascii="Arial" w:eastAsia="Times New Roman" w:hAnsi="Arial" w:cs="Arial"/>
          <w:b w:val="0"/>
          <w:color w:val="0F0D29" w:themeColor="text1"/>
          <w:kern w:val="36"/>
          <w:sz w:val="20"/>
          <w:szCs w:val="20"/>
          <w:u w:val="none"/>
          <w:lang w:eastAsia="cs-CZ"/>
        </w:rPr>
        <w:t xml:space="preserve">Nejvyšší </w:t>
      </w:r>
      <w:r w:rsidRPr="00E4461E">
        <w:rPr>
          <w:rStyle w:val="Hypertextovodkaz"/>
          <w:rFonts w:ascii="Arial" w:eastAsia="Times New Roman" w:hAnsi="Arial" w:cs="Arial"/>
          <w:b w:val="0"/>
          <w:color w:val="0F0D29" w:themeColor="text1"/>
          <w:kern w:val="36"/>
          <w:sz w:val="20"/>
          <w:szCs w:val="20"/>
          <w:u w:val="none"/>
          <w:lang w:eastAsia="cs-CZ"/>
        </w:rPr>
        <w:t>soud (dospěl k závěru, že pokud si subdodavatelé najmou další pracovníky, může charakter vykonávané práce těchto třetích osob založit jejich pracovně právní vztah ve formě zaměstnaneckého poměru nikoliv se subdodavatelem, ale právě se společností, pro níž jsou práce fakticky vykonávány.</w:t>
      </w:r>
    </w:p>
    <w:p w14:paraId="109C75D4" w14:textId="77777777" w:rsidR="00341F21" w:rsidRP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p w14:paraId="69DF2BF2" w14:textId="05E4AFFD" w:rsidR="00E4461E" w:rsidRDefault="00E4461E" w:rsidP="00341F21">
      <w:pPr>
        <w:jc w:val="both"/>
        <w:rPr>
          <w:rStyle w:val="Hypertextovodkaz"/>
          <w:rFonts w:ascii="Arial" w:eastAsia="Times New Roman" w:hAnsi="Arial" w:cs="Arial"/>
          <w:b w:val="0"/>
          <w:color w:val="0F0D29" w:themeColor="text1"/>
          <w:kern w:val="36"/>
          <w:sz w:val="20"/>
          <w:szCs w:val="20"/>
          <w:u w:val="none"/>
          <w:lang w:eastAsia="cs-CZ"/>
        </w:rPr>
      </w:pPr>
      <w:r w:rsidRPr="00E4461E">
        <w:rPr>
          <w:rStyle w:val="Hypertextovodkaz"/>
          <w:rFonts w:ascii="Arial" w:eastAsia="Times New Roman" w:hAnsi="Arial" w:cs="Arial"/>
          <w:b w:val="0"/>
          <w:color w:val="0F0D29" w:themeColor="text1"/>
          <w:kern w:val="36"/>
          <w:sz w:val="20"/>
          <w:szCs w:val="20"/>
          <w:u w:val="none"/>
          <w:lang w:eastAsia="cs-CZ"/>
        </w:rPr>
        <w:t>„Posouzení právního vztahu mezi žalobcem a žalovanou jako vztahu pracovněprávního nebrání nedostatek úmyslu žalované takový právní vztah s žalobcem založit, neboť – jak vyplývá z výše uvedeného – pro zjištění, jaký právní vztah se mezi žalobcem a žalovanou vytvořil, nejsou rozhodující subjektivní představy účastníků o jejich vztazích, nýbrž významné je – bez ohledu na to, jak účastníci následně hodnotí své právní postavení – zjištění, co bylo skutečně projeveno</w:t>
      </w:r>
      <w:r w:rsidR="00341F21">
        <w:rPr>
          <w:rStyle w:val="Hypertextovodkaz"/>
          <w:rFonts w:ascii="Arial" w:eastAsia="Times New Roman" w:hAnsi="Arial" w:cs="Arial"/>
          <w:b w:val="0"/>
          <w:color w:val="0F0D29" w:themeColor="text1"/>
          <w:kern w:val="36"/>
          <w:sz w:val="20"/>
          <w:szCs w:val="20"/>
          <w:u w:val="none"/>
          <w:lang w:eastAsia="cs-CZ"/>
        </w:rPr>
        <w:t>.“</w:t>
      </w:r>
    </w:p>
    <w:p w14:paraId="3140358F" w14:textId="77777777" w:rsidR="00341F21" w:rsidRP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p w14:paraId="31A5DBB3" w14:textId="6DA1A9A6" w:rsid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r>
        <w:rPr>
          <w:rStyle w:val="Hypertextovodkaz"/>
          <w:rFonts w:ascii="Arial" w:eastAsia="Times New Roman" w:hAnsi="Arial" w:cs="Arial"/>
          <w:b w:val="0"/>
          <w:color w:val="0F0D29" w:themeColor="text1"/>
          <w:kern w:val="36"/>
          <w:sz w:val="20"/>
          <w:szCs w:val="20"/>
          <w:u w:val="none"/>
          <w:lang w:eastAsia="cs-CZ"/>
        </w:rPr>
        <w:t>Nejvyšší soud</w:t>
      </w:r>
      <w:r w:rsidR="00E4461E" w:rsidRPr="00E4461E">
        <w:rPr>
          <w:rStyle w:val="Hypertextovodkaz"/>
          <w:rFonts w:ascii="Arial" w:eastAsia="Times New Roman" w:hAnsi="Arial" w:cs="Arial"/>
          <w:b w:val="0"/>
          <w:color w:val="0F0D29" w:themeColor="text1"/>
          <w:kern w:val="36"/>
          <w:sz w:val="20"/>
          <w:szCs w:val="20"/>
          <w:u w:val="none"/>
          <w:lang w:eastAsia="cs-CZ"/>
        </w:rPr>
        <w:t xml:space="preserve"> posuzoval dovolání strojírenské </w:t>
      </w:r>
      <w:r>
        <w:rPr>
          <w:rStyle w:val="Hypertextovodkaz"/>
          <w:rFonts w:ascii="Arial" w:eastAsia="Times New Roman" w:hAnsi="Arial" w:cs="Arial"/>
          <w:b w:val="0"/>
          <w:color w:val="0F0D29" w:themeColor="text1"/>
          <w:kern w:val="36"/>
          <w:sz w:val="20"/>
          <w:szCs w:val="20"/>
          <w:u w:val="none"/>
          <w:lang w:eastAsia="cs-CZ"/>
        </w:rPr>
        <w:t>společnosti</w:t>
      </w:r>
      <w:r w:rsidR="00E4461E" w:rsidRPr="00E4461E">
        <w:rPr>
          <w:rStyle w:val="Hypertextovodkaz"/>
          <w:rFonts w:ascii="Arial" w:eastAsia="Times New Roman" w:hAnsi="Arial" w:cs="Arial"/>
          <w:b w:val="0"/>
          <w:color w:val="0F0D29" w:themeColor="text1"/>
          <w:kern w:val="36"/>
          <w:sz w:val="20"/>
          <w:szCs w:val="20"/>
          <w:u w:val="none"/>
          <w:lang w:eastAsia="cs-CZ"/>
        </w:rPr>
        <w:t xml:space="preserve">, která měla na starost v jednom ze severočeských povrchových dolů údržbu důlních strojů. </w:t>
      </w:r>
      <w:r>
        <w:rPr>
          <w:rStyle w:val="Hypertextovodkaz"/>
          <w:rFonts w:ascii="Arial" w:eastAsia="Times New Roman" w:hAnsi="Arial" w:cs="Arial"/>
          <w:b w:val="0"/>
          <w:color w:val="0F0D29" w:themeColor="text1"/>
          <w:kern w:val="36"/>
          <w:sz w:val="20"/>
          <w:szCs w:val="20"/>
          <w:u w:val="none"/>
          <w:lang w:eastAsia="cs-CZ"/>
        </w:rPr>
        <w:t>Společnost</w:t>
      </w:r>
      <w:r w:rsidR="00E4461E" w:rsidRPr="00E4461E">
        <w:rPr>
          <w:rStyle w:val="Hypertextovodkaz"/>
          <w:rFonts w:ascii="Arial" w:eastAsia="Times New Roman" w:hAnsi="Arial" w:cs="Arial"/>
          <w:b w:val="0"/>
          <w:color w:val="0F0D29" w:themeColor="text1"/>
          <w:kern w:val="36"/>
          <w:sz w:val="20"/>
          <w:szCs w:val="20"/>
          <w:u w:val="none"/>
          <w:lang w:eastAsia="cs-CZ"/>
        </w:rPr>
        <w:t xml:space="preserve"> si na část prací najala jako subdodavatele živnostníka, který se souhlasem strojírenské firmy zase část prací řešil subdodávkou od dělníka, který si pro tyto účely opatřil živnostenské oprávnění.</w:t>
      </w:r>
    </w:p>
    <w:p w14:paraId="6DF63DB6" w14:textId="77777777" w:rsidR="00341F21" w:rsidRP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p w14:paraId="42EA3460" w14:textId="1AAA6B6D" w:rsidR="00E4461E" w:rsidRDefault="00E4461E" w:rsidP="00341F21">
      <w:pPr>
        <w:jc w:val="both"/>
        <w:rPr>
          <w:rStyle w:val="Hypertextovodkaz"/>
          <w:rFonts w:ascii="Arial" w:eastAsia="Times New Roman" w:hAnsi="Arial" w:cs="Arial"/>
          <w:b w:val="0"/>
          <w:color w:val="0F0D29" w:themeColor="text1"/>
          <w:kern w:val="36"/>
          <w:sz w:val="20"/>
          <w:szCs w:val="20"/>
          <w:u w:val="none"/>
          <w:lang w:eastAsia="cs-CZ"/>
        </w:rPr>
      </w:pPr>
      <w:r w:rsidRPr="00E4461E">
        <w:rPr>
          <w:rStyle w:val="Hypertextovodkaz"/>
          <w:rFonts w:ascii="Arial" w:eastAsia="Times New Roman" w:hAnsi="Arial" w:cs="Arial"/>
          <w:b w:val="0"/>
          <w:color w:val="0F0D29" w:themeColor="text1"/>
          <w:kern w:val="36"/>
          <w:sz w:val="20"/>
          <w:szCs w:val="20"/>
          <w:u w:val="none"/>
          <w:lang w:eastAsia="cs-CZ"/>
        </w:rPr>
        <w:t>Tento dělník-živnostník však při práci utrpěl zranění s trvalými následky a nároky v podobě bolestného, náhrady za ušlý výdělek a ztížení společenského uplatnění, jakož i nárok na doživotní rentu vznesl jak vůči subdodavateli, který ho najal, tak vůči firmě, která zajišťovala servis strojů.</w:t>
      </w:r>
    </w:p>
    <w:p w14:paraId="16E7F543" w14:textId="77777777" w:rsidR="00341F21" w:rsidRP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p w14:paraId="2DE81241" w14:textId="63D7AE27" w:rsidR="00E4461E" w:rsidRPr="00E4461E" w:rsidRDefault="00E4461E" w:rsidP="00341F21">
      <w:pPr>
        <w:jc w:val="both"/>
        <w:rPr>
          <w:rStyle w:val="Hypertextovodkaz"/>
          <w:rFonts w:ascii="Arial" w:eastAsia="Times New Roman" w:hAnsi="Arial" w:cs="Arial"/>
          <w:b w:val="0"/>
          <w:color w:val="0F0D29" w:themeColor="text1"/>
          <w:kern w:val="36"/>
          <w:sz w:val="20"/>
          <w:szCs w:val="20"/>
          <w:u w:val="none"/>
          <w:lang w:eastAsia="cs-CZ"/>
        </w:rPr>
      </w:pPr>
      <w:r w:rsidRPr="00E4461E">
        <w:rPr>
          <w:rStyle w:val="Hypertextovodkaz"/>
          <w:rFonts w:ascii="Arial" w:eastAsia="Times New Roman" w:hAnsi="Arial" w:cs="Arial"/>
          <w:b w:val="0"/>
          <w:color w:val="0F0D29" w:themeColor="text1"/>
          <w:kern w:val="36"/>
          <w:sz w:val="20"/>
          <w:szCs w:val="20"/>
          <w:u w:val="none"/>
          <w:lang w:eastAsia="cs-CZ"/>
        </w:rPr>
        <w:t xml:space="preserve">Podle </w:t>
      </w:r>
      <w:r w:rsidR="00341F21">
        <w:rPr>
          <w:rStyle w:val="Hypertextovodkaz"/>
          <w:rFonts w:ascii="Arial" w:eastAsia="Times New Roman" w:hAnsi="Arial" w:cs="Arial"/>
          <w:b w:val="0"/>
          <w:color w:val="0F0D29" w:themeColor="text1"/>
          <w:kern w:val="36"/>
          <w:sz w:val="20"/>
          <w:szCs w:val="20"/>
          <w:u w:val="none"/>
          <w:lang w:eastAsia="cs-CZ"/>
        </w:rPr>
        <w:t xml:space="preserve">obecných soudů </w:t>
      </w:r>
      <w:r w:rsidRPr="00E4461E">
        <w:rPr>
          <w:rStyle w:val="Hypertextovodkaz"/>
          <w:rFonts w:ascii="Arial" w:eastAsia="Times New Roman" w:hAnsi="Arial" w:cs="Arial"/>
          <w:b w:val="0"/>
          <w:color w:val="0F0D29" w:themeColor="text1"/>
          <w:kern w:val="36"/>
          <w:sz w:val="20"/>
          <w:szCs w:val="20"/>
          <w:u w:val="none"/>
          <w:lang w:eastAsia="cs-CZ"/>
        </w:rPr>
        <w:t>byl</w:t>
      </w:r>
      <w:r w:rsidR="00341F21">
        <w:rPr>
          <w:rStyle w:val="Hypertextovodkaz"/>
          <w:rFonts w:ascii="Arial" w:eastAsia="Times New Roman" w:hAnsi="Arial" w:cs="Arial"/>
          <w:b w:val="0"/>
          <w:color w:val="0F0D29" w:themeColor="text1"/>
          <w:kern w:val="36"/>
          <w:sz w:val="20"/>
          <w:szCs w:val="20"/>
          <w:u w:val="none"/>
          <w:lang w:eastAsia="cs-CZ"/>
        </w:rPr>
        <w:t xml:space="preserve"> dělník</w:t>
      </w:r>
      <w:r w:rsidRPr="00E4461E">
        <w:rPr>
          <w:rStyle w:val="Hypertextovodkaz"/>
          <w:rFonts w:ascii="Arial" w:eastAsia="Times New Roman" w:hAnsi="Arial" w:cs="Arial"/>
          <w:b w:val="0"/>
          <w:color w:val="0F0D29" w:themeColor="text1"/>
          <w:kern w:val="36"/>
          <w:sz w:val="20"/>
          <w:szCs w:val="20"/>
          <w:u w:val="none"/>
          <w:lang w:eastAsia="cs-CZ"/>
        </w:rPr>
        <w:t xml:space="preserve"> v zaměstnaneckém poměru se strojírenskou firmou, neboť charakter jeho vykonávané činnosti nesl všechny znaky závislé práce: konal na pokyn zaměstnanců této firmy, bylo mu firmou poskytnuto školení o bezpečnosti práce v dole, byl firmou na místo práce dopravován, byla mu poskytnuta také šatní skříň firmy a musel se hlásit při nástupu i při odchodu z místa výkonu práce.</w:t>
      </w:r>
    </w:p>
    <w:p w14:paraId="2C757F58" w14:textId="77777777" w:rsidR="00341F21" w:rsidRDefault="00341F21" w:rsidP="00E4461E">
      <w:pPr>
        <w:rPr>
          <w:rStyle w:val="Hypertextovodkaz"/>
          <w:rFonts w:ascii="Arial" w:eastAsia="Times New Roman" w:hAnsi="Arial" w:cs="Arial"/>
          <w:b w:val="0"/>
          <w:color w:val="0F0D29" w:themeColor="text1"/>
          <w:kern w:val="36"/>
          <w:sz w:val="20"/>
          <w:szCs w:val="20"/>
          <w:u w:val="none"/>
          <w:lang w:eastAsia="cs-CZ"/>
        </w:rPr>
      </w:pPr>
    </w:p>
    <w:p w14:paraId="0AC04BDE" w14:textId="77777777" w:rsidR="00341F21" w:rsidRDefault="00E4461E" w:rsidP="00341F21">
      <w:pPr>
        <w:jc w:val="both"/>
        <w:rPr>
          <w:rStyle w:val="Hypertextovodkaz"/>
          <w:rFonts w:ascii="Arial" w:eastAsia="Times New Roman" w:hAnsi="Arial" w:cs="Arial"/>
          <w:b w:val="0"/>
          <w:color w:val="0F0D29" w:themeColor="text1"/>
          <w:kern w:val="36"/>
          <w:sz w:val="20"/>
          <w:szCs w:val="20"/>
          <w:u w:val="none"/>
          <w:lang w:eastAsia="cs-CZ"/>
        </w:rPr>
      </w:pPr>
      <w:r w:rsidRPr="00E4461E">
        <w:rPr>
          <w:rStyle w:val="Hypertextovodkaz"/>
          <w:rFonts w:ascii="Arial" w:eastAsia="Times New Roman" w:hAnsi="Arial" w:cs="Arial"/>
          <w:b w:val="0"/>
          <w:color w:val="0F0D29" w:themeColor="text1"/>
          <w:kern w:val="36"/>
          <w:sz w:val="20"/>
          <w:szCs w:val="20"/>
          <w:u w:val="none"/>
          <w:lang w:eastAsia="cs-CZ"/>
        </w:rPr>
        <w:t xml:space="preserve">V dovolání se </w:t>
      </w:r>
      <w:r w:rsidR="00341F21">
        <w:rPr>
          <w:rStyle w:val="Hypertextovodkaz"/>
          <w:rFonts w:ascii="Arial" w:eastAsia="Times New Roman" w:hAnsi="Arial" w:cs="Arial"/>
          <w:b w:val="0"/>
          <w:color w:val="0F0D29" w:themeColor="text1"/>
          <w:kern w:val="36"/>
          <w:sz w:val="20"/>
          <w:szCs w:val="20"/>
          <w:u w:val="none"/>
          <w:lang w:eastAsia="cs-CZ"/>
        </w:rPr>
        <w:t>společnost</w:t>
      </w:r>
      <w:r w:rsidRPr="00E4461E">
        <w:rPr>
          <w:rStyle w:val="Hypertextovodkaz"/>
          <w:rFonts w:ascii="Arial" w:eastAsia="Times New Roman" w:hAnsi="Arial" w:cs="Arial"/>
          <w:b w:val="0"/>
          <w:color w:val="0F0D29" w:themeColor="text1"/>
          <w:kern w:val="36"/>
          <w:sz w:val="20"/>
          <w:szCs w:val="20"/>
          <w:u w:val="none"/>
          <w:lang w:eastAsia="cs-CZ"/>
        </w:rPr>
        <w:t xml:space="preserve"> bránila tím, že výše zmíněné bylo dáno speciálním místem výkonu činnosti dělníka-živnostníka, kdy důl vyžaduje speciální režim práce, za jehož dodržování je firma odpovědná.</w:t>
      </w:r>
    </w:p>
    <w:p w14:paraId="2DE29649" w14:textId="77777777" w:rsidR="00341F21"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p w14:paraId="2391600B" w14:textId="6B1DB2F7" w:rsidR="00E4461E" w:rsidRP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r>
        <w:rPr>
          <w:rStyle w:val="Hypertextovodkaz"/>
          <w:rFonts w:ascii="Arial" w:eastAsia="Times New Roman" w:hAnsi="Arial" w:cs="Arial"/>
          <w:b w:val="0"/>
          <w:color w:val="0F0D29" w:themeColor="text1"/>
          <w:kern w:val="36"/>
          <w:sz w:val="20"/>
          <w:szCs w:val="20"/>
          <w:u w:val="none"/>
          <w:lang w:eastAsia="cs-CZ"/>
        </w:rPr>
        <w:lastRenderedPageBreak/>
        <w:t>Nejvyšší soud</w:t>
      </w:r>
      <w:r w:rsidR="00E4461E" w:rsidRPr="00E4461E">
        <w:rPr>
          <w:rStyle w:val="Hypertextovodkaz"/>
          <w:rFonts w:ascii="Arial" w:eastAsia="Times New Roman" w:hAnsi="Arial" w:cs="Arial"/>
          <w:b w:val="0"/>
          <w:color w:val="0F0D29" w:themeColor="text1"/>
          <w:kern w:val="36"/>
          <w:sz w:val="20"/>
          <w:szCs w:val="20"/>
          <w:u w:val="none"/>
          <w:lang w:eastAsia="cs-CZ"/>
        </w:rPr>
        <w:t xml:space="preserve"> však argumentům firmy nepřisvědčil a potvrdil předchozí rozhodnutí soudů. I podle jeho názoru se v případě najatého dělníka-živnostníka jednalo o zaměstnanecký poměr, který byl toliko maskován výkonem samostatné výdělečné činnosti.</w:t>
      </w:r>
    </w:p>
    <w:p w14:paraId="3B2CD6BB" w14:textId="77777777" w:rsidR="00341F21" w:rsidRDefault="00341F21" w:rsidP="00E4461E">
      <w:pPr>
        <w:rPr>
          <w:rStyle w:val="Hypertextovodkaz"/>
          <w:rFonts w:ascii="Arial" w:eastAsia="Times New Roman" w:hAnsi="Arial" w:cs="Arial"/>
          <w:b w:val="0"/>
          <w:color w:val="0F0D29" w:themeColor="text1"/>
          <w:kern w:val="36"/>
          <w:sz w:val="20"/>
          <w:szCs w:val="20"/>
          <w:u w:val="none"/>
          <w:lang w:eastAsia="cs-CZ"/>
        </w:rPr>
      </w:pPr>
    </w:p>
    <w:p w14:paraId="4C812365" w14:textId="59452DD9" w:rsidR="00E4461E" w:rsidRDefault="00E4461E" w:rsidP="00341F21">
      <w:pPr>
        <w:jc w:val="both"/>
        <w:rPr>
          <w:rStyle w:val="Hypertextovodkaz"/>
          <w:rFonts w:ascii="Arial" w:eastAsia="Times New Roman" w:hAnsi="Arial" w:cs="Arial"/>
          <w:b w:val="0"/>
          <w:color w:val="0F0D29" w:themeColor="text1"/>
          <w:kern w:val="36"/>
          <w:sz w:val="20"/>
          <w:szCs w:val="20"/>
          <w:u w:val="none"/>
          <w:lang w:eastAsia="cs-CZ"/>
        </w:rPr>
      </w:pPr>
      <w:r w:rsidRPr="00E4461E">
        <w:rPr>
          <w:rStyle w:val="Hypertextovodkaz"/>
          <w:rFonts w:ascii="Arial" w:eastAsia="Times New Roman" w:hAnsi="Arial" w:cs="Arial"/>
          <w:b w:val="0"/>
          <w:color w:val="0F0D29" w:themeColor="text1"/>
          <w:kern w:val="36"/>
          <w:sz w:val="20"/>
          <w:szCs w:val="20"/>
          <w:u w:val="none"/>
          <w:lang w:eastAsia="cs-CZ"/>
        </w:rPr>
        <w:t>Tyto skutečnosti odůvodňují závěr, že činnosti vykonávané žalobcem pro žalovanou při generální opravě zakladače naplňují znaky závislé práce, neboť byly vykonávané ve vztahu nadřízenosti žalované (jejíž zaměstnanci ukládali žalobci pracovní úkoly) a podřízenosti žalobce, jménem žalované (pro její potřeby), v jejích prostorách a na její náklady a odpovědnost; na naplnění znaků závislé práce lze tedy usuzovat i tam, kde zaměstnavatel a zaměstnanec její výkon zastírají smlouvami předstírajícími (simulujícími) výkon samostatné výdělečné činnosti pro třetí osobu. Posouzení právního vztahu mezi žalobcem a žalovanou jako vztahu pracovněprávního nebrání nedostatek úmyslu žalované takový právní vztah s žalobcem založit, neboť – jak vyplývá z výše uvedeného – pro zjištění, jaký právní vztah se mezi žalobcem a žalovanou vytvořil, nejsou rozhodující subjektivní představy účastníků o jejich vztazích, nýbrž významné je – bez ohledu na to, jak účastníci následně hodnotí své právní postavení – zjištění, co bylo skutečně projeveno</w:t>
      </w:r>
      <w:r w:rsidR="00341F21">
        <w:rPr>
          <w:rStyle w:val="Hypertextovodkaz"/>
          <w:rFonts w:ascii="Arial" w:eastAsia="Times New Roman" w:hAnsi="Arial" w:cs="Arial"/>
          <w:b w:val="0"/>
          <w:color w:val="0F0D29" w:themeColor="text1"/>
          <w:kern w:val="36"/>
          <w:sz w:val="20"/>
          <w:szCs w:val="20"/>
          <w:u w:val="none"/>
          <w:lang w:eastAsia="cs-CZ"/>
        </w:rPr>
        <w:t>.</w:t>
      </w:r>
    </w:p>
    <w:p w14:paraId="4DFCB4C0" w14:textId="72AEF832" w:rsidR="00341F21"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p w14:paraId="3DBEFA34" w14:textId="77777777" w:rsidR="00341F21" w:rsidRPr="005078C0" w:rsidRDefault="00341F21" w:rsidP="00341F2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POŘ.</w:t>
      </w:r>
    </w:p>
    <w:p w14:paraId="3D749D2F" w14:textId="77777777" w:rsidR="00341F21" w:rsidRPr="00E4461E" w:rsidRDefault="00341F21" w:rsidP="00341F21">
      <w:pPr>
        <w:jc w:val="both"/>
        <w:rPr>
          <w:rStyle w:val="Hypertextovodkaz"/>
          <w:rFonts w:ascii="Arial" w:eastAsia="Times New Roman" w:hAnsi="Arial" w:cs="Arial"/>
          <w:b w:val="0"/>
          <w:color w:val="0F0D29" w:themeColor="text1"/>
          <w:kern w:val="36"/>
          <w:sz w:val="20"/>
          <w:szCs w:val="20"/>
          <w:u w:val="none"/>
          <w:lang w:eastAsia="cs-CZ"/>
        </w:rPr>
      </w:pPr>
    </w:p>
    <w:sectPr w:rsidR="00341F21"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46487825" id="_x0000_i1026" style="width:0;height:1.5pt" o:hralign="center" o:bullet="t" o:hrstd="t" o:hr="t" fillcolor="#a0a0a0" stroked="f"/>
    </w:pict>
  </w:numPicBullet>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6"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8"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17"/>
  </w:num>
  <w:num w:numId="5">
    <w:abstractNumId w:val="15"/>
  </w:num>
  <w:num w:numId="6">
    <w:abstractNumId w:val="6"/>
  </w:num>
  <w:num w:numId="7">
    <w:abstractNumId w:val="8"/>
  </w:num>
  <w:num w:numId="8">
    <w:abstractNumId w:val="18"/>
  </w:num>
  <w:num w:numId="9">
    <w:abstractNumId w:val="13"/>
  </w:num>
  <w:num w:numId="10">
    <w:abstractNumId w:val="7"/>
  </w:num>
  <w:num w:numId="11">
    <w:abstractNumId w:val="3"/>
  </w:num>
  <w:num w:numId="12">
    <w:abstractNumId w:val="11"/>
  </w:num>
  <w:num w:numId="13">
    <w:abstractNumId w:val="4"/>
  </w:num>
  <w:num w:numId="14">
    <w:abstractNumId w:val="5"/>
  </w:num>
  <w:num w:numId="15">
    <w:abstractNumId w:val="2"/>
  </w:num>
  <w:num w:numId="16">
    <w:abstractNumId w:val="1"/>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21BDB"/>
    <w:rsid w:val="0002482E"/>
    <w:rsid w:val="00045505"/>
    <w:rsid w:val="00045D16"/>
    <w:rsid w:val="000472DA"/>
    <w:rsid w:val="00050324"/>
    <w:rsid w:val="00080627"/>
    <w:rsid w:val="00090ADC"/>
    <w:rsid w:val="00094F88"/>
    <w:rsid w:val="000954E9"/>
    <w:rsid w:val="000A0150"/>
    <w:rsid w:val="000B43A3"/>
    <w:rsid w:val="000E2BBE"/>
    <w:rsid w:val="000E63C9"/>
    <w:rsid w:val="00130E9D"/>
    <w:rsid w:val="00140D0B"/>
    <w:rsid w:val="00142E9F"/>
    <w:rsid w:val="00144F93"/>
    <w:rsid w:val="0014703E"/>
    <w:rsid w:val="00150A6D"/>
    <w:rsid w:val="001559DF"/>
    <w:rsid w:val="00160DC8"/>
    <w:rsid w:val="00170060"/>
    <w:rsid w:val="001822B6"/>
    <w:rsid w:val="00185B35"/>
    <w:rsid w:val="00196F8A"/>
    <w:rsid w:val="001A0DC1"/>
    <w:rsid w:val="001B54B1"/>
    <w:rsid w:val="001F081B"/>
    <w:rsid w:val="001F2BC8"/>
    <w:rsid w:val="001F5F6B"/>
    <w:rsid w:val="00220164"/>
    <w:rsid w:val="0022100C"/>
    <w:rsid w:val="002234C9"/>
    <w:rsid w:val="00240052"/>
    <w:rsid w:val="002419B4"/>
    <w:rsid w:val="00243EBC"/>
    <w:rsid w:val="00246A35"/>
    <w:rsid w:val="00283722"/>
    <w:rsid w:val="00284348"/>
    <w:rsid w:val="00285D32"/>
    <w:rsid w:val="002A5582"/>
    <w:rsid w:val="002E61AB"/>
    <w:rsid w:val="002F51F5"/>
    <w:rsid w:val="002F6DF2"/>
    <w:rsid w:val="00312137"/>
    <w:rsid w:val="00330359"/>
    <w:rsid w:val="0033762F"/>
    <w:rsid w:val="0034183A"/>
    <w:rsid w:val="00341F21"/>
    <w:rsid w:val="00360494"/>
    <w:rsid w:val="00361BA9"/>
    <w:rsid w:val="00366C7E"/>
    <w:rsid w:val="00372A73"/>
    <w:rsid w:val="00384EA3"/>
    <w:rsid w:val="003A39A1"/>
    <w:rsid w:val="003C2191"/>
    <w:rsid w:val="003C4763"/>
    <w:rsid w:val="003D3863"/>
    <w:rsid w:val="003D5145"/>
    <w:rsid w:val="004110DE"/>
    <w:rsid w:val="004325C8"/>
    <w:rsid w:val="00433509"/>
    <w:rsid w:val="0044085A"/>
    <w:rsid w:val="004646E1"/>
    <w:rsid w:val="00475E5C"/>
    <w:rsid w:val="0049783A"/>
    <w:rsid w:val="004B21A5"/>
    <w:rsid w:val="004B2C1D"/>
    <w:rsid w:val="004F0B76"/>
    <w:rsid w:val="005037F0"/>
    <w:rsid w:val="005054D5"/>
    <w:rsid w:val="005078C0"/>
    <w:rsid w:val="00516A86"/>
    <w:rsid w:val="00521069"/>
    <w:rsid w:val="0052653B"/>
    <w:rsid w:val="005275F6"/>
    <w:rsid w:val="00532EB6"/>
    <w:rsid w:val="005412CE"/>
    <w:rsid w:val="00560334"/>
    <w:rsid w:val="00572102"/>
    <w:rsid w:val="0058396E"/>
    <w:rsid w:val="005B0434"/>
    <w:rsid w:val="005B3D0D"/>
    <w:rsid w:val="005D3817"/>
    <w:rsid w:val="005E4904"/>
    <w:rsid w:val="005F1BB0"/>
    <w:rsid w:val="005F4E93"/>
    <w:rsid w:val="00616648"/>
    <w:rsid w:val="00625270"/>
    <w:rsid w:val="00656C4D"/>
    <w:rsid w:val="00657864"/>
    <w:rsid w:val="00660E12"/>
    <w:rsid w:val="00694EBE"/>
    <w:rsid w:val="006A077B"/>
    <w:rsid w:val="006A21D5"/>
    <w:rsid w:val="006E530F"/>
    <w:rsid w:val="006E5716"/>
    <w:rsid w:val="006E5B8D"/>
    <w:rsid w:val="006F0138"/>
    <w:rsid w:val="006F3D1A"/>
    <w:rsid w:val="006F41EA"/>
    <w:rsid w:val="007055E5"/>
    <w:rsid w:val="00706AC0"/>
    <w:rsid w:val="007237A1"/>
    <w:rsid w:val="007274B3"/>
    <w:rsid w:val="007302B3"/>
    <w:rsid w:val="00730733"/>
    <w:rsid w:val="00730E3A"/>
    <w:rsid w:val="00736AAF"/>
    <w:rsid w:val="00742128"/>
    <w:rsid w:val="00756BA5"/>
    <w:rsid w:val="00765B2A"/>
    <w:rsid w:val="00780112"/>
    <w:rsid w:val="00782B2D"/>
    <w:rsid w:val="00783A34"/>
    <w:rsid w:val="007A5D12"/>
    <w:rsid w:val="007C6B52"/>
    <w:rsid w:val="007C7E90"/>
    <w:rsid w:val="007D16C5"/>
    <w:rsid w:val="007E06C5"/>
    <w:rsid w:val="008070BF"/>
    <w:rsid w:val="00810E13"/>
    <w:rsid w:val="00815900"/>
    <w:rsid w:val="00824CAE"/>
    <w:rsid w:val="00834F4E"/>
    <w:rsid w:val="00847AEC"/>
    <w:rsid w:val="00862FE4"/>
    <w:rsid w:val="0086389A"/>
    <w:rsid w:val="0087605E"/>
    <w:rsid w:val="00886540"/>
    <w:rsid w:val="008B1FEE"/>
    <w:rsid w:val="008B3184"/>
    <w:rsid w:val="008E3CAD"/>
    <w:rsid w:val="00901622"/>
    <w:rsid w:val="00903C32"/>
    <w:rsid w:val="00911671"/>
    <w:rsid w:val="00916B16"/>
    <w:rsid w:val="009173B9"/>
    <w:rsid w:val="0092437E"/>
    <w:rsid w:val="0093335D"/>
    <w:rsid w:val="0093613E"/>
    <w:rsid w:val="00943026"/>
    <w:rsid w:val="00953AD4"/>
    <w:rsid w:val="0096395A"/>
    <w:rsid w:val="00966B81"/>
    <w:rsid w:val="0098645D"/>
    <w:rsid w:val="009915F2"/>
    <w:rsid w:val="00995144"/>
    <w:rsid w:val="009A17AB"/>
    <w:rsid w:val="009C7720"/>
    <w:rsid w:val="009D44EB"/>
    <w:rsid w:val="009E5DD7"/>
    <w:rsid w:val="009F2434"/>
    <w:rsid w:val="00A00B09"/>
    <w:rsid w:val="00A04739"/>
    <w:rsid w:val="00A0491A"/>
    <w:rsid w:val="00A22382"/>
    <w:rsid w:val="00A23AFA"/>
    <w:rsid w:val="00A31B3E"/>
    <w:rsid w:val="00A404F7"/>
    <w:rsid w:val="00A532F3"/>
    <w:rsid w:val="00A617BF"/>
    <w:rsid w:val="00A6323B"/>
    <w:rsid w:val="00A76167"/>
    <w:rsid w:val="00A83FFF"/>
    <w:rsid w:val="00A8489E"/>
    <w:rsid w:val="00A92FB5"/>
    <w:rsid w:val="00A97F50"/>
    <w:rsid w:val="00AB02A7"/>
    <w:rsid w:val="00AB3435"/>
    <w:rsid w:val="00AC0F35"/>
    <w:rsid w:val="00AC29F3"/>
    <w:rsid w:val="00AE31E2"/>
    <w:rsid w:val="00AF4FA4"/>
    <w:rsid w:val="00B00747"/>
    <w:rsid w:val="00B10A54"/>
    <w:rsid w:val="00B231E5"/>
    <w:rsid w:val="00B261E4"/>
    <w:rsid w:val="00B37492"/>
    <w:rsid w:val="00B466F0"/>
    <w:rsid w:val="00B47818"/>
    <w:rsid w:val="00B70AB7"/>
    <w:rsid w:val="00B85CCA"/>
    <w:rsid w:val="00BA07FC"/>
    <w:rsid w:val="00BA34E1"/>
    <w:rsid w:val="00BB4079"/>
    <w:rsid w:val="00BE00DE"/>
    <w:rsid w:val="00BE60C4"/>
    <w:rsid w:val="00BF2049"/>
    <w:rsid w:val="00BF3627"/>
    <w:rsid w:val="00BF66CB"/>
    <w:rsid w:val="00BF794B"/>
    <w:rsid w:val="00C02A22"/>
    <w:rsid w:val="00C02B87"/>
    <w:rsid w:val="00C2146C"/>
    <w:rsid w:val="00C22D74"/>
    <w:rsid w:val="00C26E3C"/>
    <w:rsid w:val="00C4086D"/>
    <w:rsid w:val="00C4729D"/>
    <w:rsid w:val="00C6736C"/>
    <w:rsid w:val="00C8555E"/>
    <w:rsid w:val="00C90A3E"/>
    <w:rsid w:val="00CA1896"/>
    <w:rsid w:val="00CB5B28"/>
    <w:rsid w:val="00CC07C6"/>
    <w:rsid w:val="00CC5DA6"/>
    <w:rsid w:val="00CD40D6"/>
    <w:rsid w:val="00CF5371"/>
    <w:rsid w:val="00D0323A"/>
    <w:rsid w:val="00D0559F"/>
    <w:rsid w:val="00D06200"/>
    <w:rsid w:val="00D06538"/>
    <w:rsid w:val="00D077E9"/>
    <w:rsid w:val="00D300B4"/>
    <w:rsid w:val="00D36AB7"/>
    <w:rsid w:val="00D42CB7"/>
    <w:rsid w:val="00D5413D"/>
    <w:rsid w:val="00D5608D"/>
    <w:rsid w:val="00D56C4F"/>
    <w:rsid w:val="00D570A9"/>
    <w:rsid w:val="00D67219"/>
    <w:rsid w:val="00D70D02"/>
    <w:rsid w:val="00D770C7"/>
    <w:rsid w:val="00D80850"/>
    <w:rsid w:val="00D86945"/>
    <w:rsid w:val="00D90290"/>
    <w:rsid w:val="00D92996"/>
    <w:rsid w:val="00D95647"/>
    <w:rsid w:val="00D97B4A"/>
    <w:rsid w:val="00DB5CE9"/>
    <w:rsid w:val="00DC4089"/>
    <w:rsid w:val="00DD152F"/>
    <w:rsid w:val="00DD262D"/>
    <w:rsid w:val="00DE0025"/>
    <w:rsid w:val="00DE213F"/>
    <w:rsid w:val="00DF027C"/>
    <w:rsid w:val="00E00A32"/>
    <w:rsid w:val="00E03770"/>
    <w:rsid w:val="00E12896"/>
    <w:rsid w:val="00E14283"/>
    <w:rsid w:val="00E22ACD"/>
    <w:rsid w:val="00E2705F"/>
    <w:rsid w:val="00E36A71"/>
    <w:rsid w:val="00E4461E"/>
    <w:rsid w:val="00E620B0"/>
    <w:rsid w:val="00E678E1"/>
    <w:rsid w:val="00E67A9D"/>
    <w:rsid w:val="00E702E0"/>
    <w:rsid w:val="00E81B40"/>
    <w:rsid w:val="00EB0E41"/>
    <w:rsid w:val="00EE2C49"/>
    <w:rsid w:val="00EF2EA3"/>
    <w:rsid w:val="00EF555B"/>
    <w:rsid w:val="00EF6723"/>
    <w:rsid w:val="00F027BB"/>
    <w:rsid w:val="00F11DCF"/>
    <w:rsid w:val="00F1485A"/>
    <w:rsid w:val="00F162EA"/>
    <w:rsid w:val="00F33158"/>
    <w:rsid w:val="00F3526A"/>
    <w:rsid w:val="00F4796C"/>
    <w:rsid w:val="00F52D27"/>
    <w:rsid w:val="00F5617F"/>
    <w:rsid w:val="00F72153"/>
    <w:rsid w:val="00F75C32"/>
    <w:rsid w:val="00F81C67"/>
    <w:rsid w:val="00F83527"/>
    <w:rsid w:val="00F878CF"/>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odok.cz/veklep-detail?pid=KORNCELHU7K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89316A"/>
    <w:rsid w:val="008C16DB"/>
    <w:rsid w:val="008D5E86"/>
    <w:rsid w:val="009A171D"/>
    <w:rsid w:val="00AB7DCF"/>
    <w:rsid w:val="00AD338E"/>
    <w:rsid w:val="00CA3A9D"/>
    <w:rsid w:val="00CB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127</TotalTime>
  <Pages>12</Pages>
  <Words>3138</Words>
  <Characters>18516</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8</cp:revision>
  <cp:lastPrinted>2006-08-01T17:47:00Z</cp:lastPrinted>
  <dcterms:created xsi:type="dcterms:W3CDTF">2022-06-02T17:54:00Z</dcterms:created>
  <dcterms:modified xsi:type="dcterms:W3CDTF">2022-06-03T06:02:00Z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