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2921F" w14:textId="0FE2A0A8" w:rsidR="00D077E9" w:rsidRPr="008E3CAD" w:rsidRDefault="00240052" w:rsidP="00D70D02">
      <w:pPr>
        <w:rPr>
          <w:noProof/>
          <w:color w:val="0F0D29" w:themeColor="text1"/>
        </w:rPr>
      </w:pPr>
      <w:r w:rsidRPr="008E3CAD">
        <w:rPr>
          <w:noProof/>
          <w:color w:val="0F0D29" w:themeColor="text1"/>
          <w:lang w:eastAsia="cs-CZ"/>
        </w:rPr>
        <w:drawing>
          <wp:anchor distT="0" distB="0" distL="114300" distR="114300" simplePos="0" relativeHeight="251662336" behindDoc="1" locked="0" layoutInCell="1" allowOverlap="1" wp14:anchorId="5D3EB1F1" wp14:editId="1969DD6F">
            <wp:simplePos x="0" y="0"/>
            <wp:positionH relativeFrom="page">
              <wp:align>right</wp:align>
            </wp:positionH>
            <wp:positionV relativeFrom="paragraph">
              <wp:posOffset>-918210</wp:posOffset>
            </wp:positionV>
            <wp:extent cx="7552060" cy="5029200"/>
            <wp:effectExtent l="0" t="0" r="0" b="0"/>
            <wp:wrapNone/>
            <wp:docPr id="4" name="Obrázek 4" descr="Obsah obrázku exteriér, obloha, tráva, doprav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exteriér, obloha, tráva, doprava&#10;&#10;Popis byl vytvořen automaticky"/>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2060" cy="5029200"/>
                    </a:xfrm>
                    <a:prstGeom prst="rect">
                      <a:avLst/>
                    </a:prstGeom>
                  </pic:spPr>
                </pic:pic>
              </a:graphicData>
            </a:graphic>
            <wp14:sizeRelH relativeFrom="page">
              <wp14:pctWidth>0</wp14:pctWidth>
            </wp14:sizeRelH>
            <wp14:sizeRelV relativeFrom="page">
              <wp14:pctHeight>0</wp14:pctHeight>
            </wp14:sizeRelV>
          </wp:anchor>
        </w:drawing>
      </w:r>
      <w:r w:rsidR="00AB02A7" w:rsidRPr="008E3CAD">
        <w:rPr>
          <w:noProof/>
          <w:color w:val="0F0D29" w:themeColor="text1"/>
          <w:lang w:eastAsia="cs-CZ"/>
        </w:rPr>
        <mc:AlternateContent>
          <mc:Choice Requires="wps">
            <w:drawing>
              <wp:anchor distT="0" distB="0" distL="114300" distR="114300" simplePos="0" relativeHeight="251663360" behindDoc="1" locked="0" layoutInCell="1" allowOverlap="1" wp14:anchorId="46487825" wp14:editId="3CFB0EBC">
                <wp:simplePos x="0" y="0"/>
                <wp:positionH relativeFrom="column">
                  <wp:posOffset>-203835</wp:posOffset>
                </wp:positionH>
                <wp:positionV relativeFrom="page">
                  <wp:posOffset>933450</wp:posOffset>
                </wp:positionV>
                <wp:extent cx="3938905" cy="8656955"/>
                <wp:effectExtent l="0" t="0" r="4445" b="0"/>
                <wp:wrapNone/>
                <wp:docPr id="3" name="Obdélník 3" descr="bílý obdélník pro text na titulní straně"/>
                <wp:cNvGraphicFramePr/>
                <a:graphic xmlns:a="http://schemas.openxmlformats.org/drawingml/2006/main">
                  <a:graphicData uri="http://schemas.microsoft.com/office/word/2010/wordprocessingShape">
                    <wps:wsp>
                      <wps:cNvSpPr/>
                      <wps:spPr>
                        <a:xfrm>
                          <a:off x="0" y="0"/>
                          <a:ext cx="3938905" cy="86569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70581" id="Obdélník 3" o:spid="_x0000_s1026" alt="bílý obdélník pro text na titulní straně" style="position:absolute;margin-left:-16.05pt;margin-top:73.5pt;width:310.15pt;height:681.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" fillcolor="white [3212]" stroked="f" strokeweight="2pt">
                <w10:wrap anchory="page"/>
              </v:rect>
            </w:pict>
          </mc:Fallback>
        </mc:AlternateContent>
      </w: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80"/>
      </w:tblGrid>
      <w:tr w:rsidR="008E3CAD" w:rsidRPr="008E3CAD" w14:paraId="5AE6E8E3" w14:textId="77777777" w:rsidTr="00E12896">
        <w:trPr>
          <w:trHeight w:val="1894"/>
        </w:trPr>
        <w:tc>
          <w:tcPr>
            <w:tcW w:w="5580" w:type="dxa"/>
            <w:tcBorders>
              <w:top w:val="nil"/>
              <w:left w:val="nil"/>
              <w:bottom w:val="nil"/>
              <w:right w:val="nil"/>
            </w:tcBorders>
          </w:tcPr>
          <w:p w14:paraId="28CC9923" w14:textId="3978D161" w:rsidR="00D077E9" w:rsidRPr="008E3CAD" w:rsidRDefault="00D077E9" w:rsidP="00E12896">
            <w:pPr>
              <w:rPr>
                <w:noProof/>
                <w:color w:val="0F0D29" w:themeColor="text1"/>
              </w:rPr>
            </w:pPr>
            <w:r w:rsidRPr="008E3CAD">
              <w:rPr>
                <w:noProof/>
                <w:color w:val="0F0D29" w:themeColor="text1"/>
                <w:lang w:eastAsia="cs-CZ"/>
              </w:rPr>
              <mc:AlternateContent>
                <mc:Choice Requires="wps">
                  <w:drawing>
                    <wp:inline distT="0" distB="0" distL="0" distR="0" wp14:anchorId="79AB1C24" wp14:editId="44319435">
                      <wp:extent cx="3528695" cy="2181225"/>
                      <wp:effectExtent l="0" t="0" r="0" b="0"/>
                      <wp:docPr id="8" name="Textové pole 8"/>
                      <wp:cNvGraphicFramePr/>
                      <a:graphic xmlns:a="http://schemas.openxmlformats.org/drawingml/2006/main">
                        <a:graphicData uri="http://schemas.microsoft.com/office/word/2010/wordprocessingShape">
                          <wps:wsp>
                            <wps:cNvSpPr txBox="1"/>
                            <wps:spPr>
                              <a:xfrm>
                                <a:off x="0" y="0"/>
                                <a:ext cx="3528695" cy="2181225"/>
                              </a:xfrm>
                              <a:prstGeom prst="rect">
                                <a:avLst/>
                              </a:prstGeom>
                              <a:noFill/>
                              <a:ln w="6350">
                                <a:noFill/>
                              </a:ln>
                            </wps:spPr>
                            <wps:txbx>
                              <w:txbxContent>
                                <w:p w14:paraId="7AD4FA48" w14:textId="1159B0FD" w:rsidR="00D077E9" w:rsidRPr="00815900" w:rsidRDefault="00240052" w:rsidP="00D077E9">
                                  <w:pPr>
                                    <w:pStyle w:val="Nzev"/>
                                    <w:spacing w:after="0"/>
                                    <w:rPr>
                                      <w:color w:val="0F0D29" w:themeColor="text1"/>
                                      <w:lang w:bidi="cs-CZ"/>
                                    </w:rPr>
                                  </w:pPr>
                                  <w:r w:rsidRPr="00815900">
                                    <w:rPr>
                                      <w:color w:val="0F0D29" w:themeColor="text1"/>
                                      <w:lang w:bidi="cs-CZ"/>
                                    </w:rPr>
                                    <w:t>MONITORING</w:t>
                                  </w:r>
                                </w:p>
                                <w:p w14:paraId="38E79375" w14:textId="03FA43E1" w:rsidR="00240052" w:rsidRPr="00815900" w:rsidRDefault="00240052" w:rsidP="00D077E9">
                                  <w:pPr>
                                    <w:pStyle w:val="Nzev"/>
                                    <w:spacing w:after="0"/>
                                    <w:rPr>
                                      <w:color w:val="0F0D29" w:themeColor="text1"/>
                                      <w:lang w:bidi="cs-CZ"/>
                                    </w:rPr>
                                  </w:pPr>
                                  <w:r w:rsidRPr="00815900">
                                    <w:rPr>
                                      <w:color w:val="0F0D29" w:themeColor="text1"/>
                                      <w:lang w:bidi="cs-CZ"/>
                                    </w:rPr>
                                    <w:t>LEGISLATIVY</w:t>
                                  </w:r>
                                </w:p>
                                <w:p w14:paraId="330AB6FA" w14:textId="3D1A5D0D" w:rsidR="00240052" w:rsidRPr="00045505" w:rsidRDefault="00240052" w:rsidP="00D077E9">
                                  <w:pPr>
                                    <w:pStyle w:val="Nzev"/>
                                    <w:spacing w:after="0"/>
                                    <w:rPr>
                                      <w:color w:val="0F0D29" w:themeColor="text1"/>
                                      <w:lang w:bidi="cs-CZ"/>
                                    </w:rPr>
                                  </w:pPr>
                                </w:p>
                                <w:p w14:paraId="37709975" w14:textId="0F6851FE" w:rsidR="00240052" w:rsidRPr="00815900" w:rsidRDefault="00B47818" w:rsidP="00D077E9">
                                  <w:pPr>
                                    <w:pStyle w:val="Nzev"/>
                                    <w:spacing w:after="0"/>
                                    <w:rPr>
                                      <w:color w:val="0F0D29" w:themeColor="text1"/>
                                      <w:sz w:val="56"/>
                                      <w:szCs w:val="48"/>
                                    </w:rPr>
                                  </w:pPr>
                                  <w:r>
                                    <w:rPr>
                                      <w:color w:val="0F0D29" w:themeColor="text1"/>
                                      <w:sz w:val="56"/>
                                      <w:szCs w:val="48"/>
                                      <w:lang w:bidi="cs-CZ"/>
                                    </w:rPr>
                                    <w:t>duben</w:t>
                                  </w:r>
                                  <w:r w:rsidR="00240052" w:rsidRPr="00815900">
                                    <w:rPr>
                                      <w:color w:val="0F0D29" w:themeColor="text1"/>
                                      <w:sz w:val="56"/>
                                      <w:szCs w:val="48"/>
                                      <w:lang w:bidi="cs-CZ"/>
                                    </w:rPr>
                                    <w:t xml:space="preserve">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9AB1C24" id="_x0000_t202" coordsize="21600,21600" o:spt="202" path="m,l,21600r21600,l21600,xe">
                      <v:stroke joinstyle="miter"/>
                      <v:path gradientshapeok="t" o:connecttype="rect"/>
                    </v:shapetype>
                    <v:shape id="Textové pole 8" o:spid="_x0000_s1026" type="#_x0000_t202" style="width:277.85pt;height:17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" filled="f" stroked="f" strokeweight=".5pt">
                      <v:textbox>
                        <w:txbxContent>
                          <w:p w14:paraId="7AD4FA48" w14:textId="1159B0FD" w:rsidR="00D077E9" w:rsidRPr="00815900" w:rsidRDefault="00240052" w:rsidP="00D077E9">
                            <w:pPr>
                              <w:pStyle w:val="Nzev"/>
                              <w:spacing w:after="0"/>
                              <w:rPr>
                                <w:color w:val="0F0D29" w:themeColor="text1"/>
                                <w:lang w:bidi="cs-CZ"/>
                              </w:rPr>
                            </w:pPr>
                            <w:r w:rsidRPr="00815900">
                              <w:rPr>
                                <w:color w:val="0F0D29" w:themeColor="text1"/>
                                <w:lang w:bidi="cs-CZ"/>
                              </w:rPr>
                              <w:t>MONITORING</w:t>
                            </w:r>
                          </w:p>
                          <w:p w14:paraId="38E79375" w14:textId="03FA43E1" w:rsidR="00240052" w:rsidRPr="00815900" w:rsidRDefault="00240052" w:rsidP="00D077E9">
                            <w:pPr>
                              <w:pStyle w:val="Nzev"/>
                              <w:spacing w:after="0"/>
                              <w:rPr>
                                <w:color w:val="0F0D29" w:themeColor="text1"/>
                                <w:lang w:bidi="cs-CZ"/>
                              </w:rPr>
                            </w:pPr>
                            <w:r w:rsidRPr="00815900">
                              <w:rPr>
                                <w:color w:val="0F0D29" w:themeColor="text1"/>
                                <w:lang w:bidi="cs-CZ"/>
                              </w:rPr>
                              <w:t>LEGISLATIVY</w:t>
                            </w:r>
                          </w:p>
                          <w:p w14:paraId="330AB6FA" w14:textId="3D1A5D0D" w:rsidR="00240052" w:rsidRPr="00045505" w:rsidRDefault="00240052" w:rsidP="00D077E9">
                            <w:pPr>
                              <w:pStyle w:val="Nzev"/>
                              <w:spacing w:after="0"/>
                              <w:rPr>
                                <w:color w:val="0F0D29" w:themeColor="text1"/>
                                <w:lang w:bidi="cs-CZ"/>
                              </w:rPr>
                            </w:pPr>
                          </w:p>
                          <w:p w14:paraId="37709975" w14:textId="0F6851FE" w:rsidR="00240052" w:rsidRPr="00815900" w:rsidRDefault="00B47818" w:rsidP="00D077E9">
                            <w:pPr>
                              <w:pStyle w:val="Nzev"/>
                              <w:spacing w:after="0"/>
                              <w:rPr>
                                <w:color w:val="0F0D29" w:themeColor="text1"/>
                                <w:sz w:val="56"/>
                                <w:szCs w:val="48"/>
                              </w:rPr>
                            </w:pPr>
                            <w:r>
                              <w:rPr>
                                <w:color w:val="0F0D29" w:themeColor="text1"/>
                                <w:sz w:val="56"/>
                                <w:szCs w:val="48"/>
                                <w:lang w:bidi="cs-CZ"/>
                              </w:rPr>
                              <w:t>duben</w:t>
                            </w:r>
                            <w:r w:rsidR="00240052" w:rsidRPr="00815900">
                              <w:rPr>
                                <w:color w:val="0F0D29" w:themeColor="text1"/>
                                <w:sz w:val="56"/>
                                <w:szCs w:val="48"/>
                                <w:lang w:bidi="cs-CZ"/>
                              </w:rPr>
                              <w:t xml:space="preserve"> 2022</w:t>
                            </w:r>
                          </w:p>
                        </w:txbxContent>
                      </v:textbox>
                      <w10:anchorlock/>
                    </v:shape>
                  </w:pict>
                </mc:Fallback>
              </mc:AlternateContent>
            </w:r>
          </w:p>
          <w:p w14:paraId="4C1BA071" w14:textId="77777777" w:rsidR="00D077E9" w:rsidRPr="008E3CAD" w:rsidRDefault="00D077E9" w:rsidP="00E12896">
            <w:pPr>
              <w:rPr>
                <w:noProof/>
                <w:color w:val="0F0D29" w:themeColor="text1"/>
              </w:rPr>
            </w:pPr>
            <w:r w:rsidRPr="008E3CAD">
              <w:rPr>
                <w:noProof/>
                <w:color w:val="0F0D29" w:themeColor="text1"/>
                <w:lang w:eastAsia="cs-CZ"/>
              </w:rPr>
              <mc:AlternateContent>
                <mc:Choice Requires="wps">
                  <w:drawing>
                    <wp:inline distT="0" distB="0" distL="0" distR="0" wp14:anchorId="6A92AB48" wp14:editId="29E9302C">
                      <wp:extent cx="1390918" cy="0"/>
                      <wp:effectExtent l="0" t="19050" r="19050" b="19050"/>
                      <wp:docPr id="5" name="Přímá spojnice 5" descr="oddělovač textu"/>
                      <wp:cNvGraphicFramePr/>
                      <a:graphic xmlns:a="http://schemas.openxmlformats.org/drawingml/2006/main">
                        <a:graphicData uri="http://schemas.microsoft.com/office/word/2010/wordprocessingShape">
                          <wps:wsp>
                            <wps:cNvCnPr/>
                            <wps:spPr>
                              <a:xfrm>
                                <a:off x="0" y="0"/>
                                <a:ext cx="1390918"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89E45DA" id="Přímá spojnice 5" o:spid="_x0000_s1026" alt="oddělovač textu" style="visibility:visible;mso-wrap-style:square;mso-left-percent:-10001;mso-top-percent:-10001;mso-position-horizontal:absolute;mso-position-horizontal-relative:char;mso-position-vertical:absolute;mso-position-vertical-relative:line;mso-left-percent:-10001;mso-top-percent:-10001" from="0,0" to="1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" strokecolor="#0f0d29 [3213]" strokeweight="3pt">
                      <w10:anchorlock/>
                    </v:line>
                  </w:pict>
                </mc:Fallback>
              </mc:AlternateContent>
            </w:r>
          </w:p>
        </w:tc>
      </w:tr>
      <w:tr w:rsidR="008E3CAD" w:rsidRPr="008E3CAD" w14:paraId="652DBBE3" w14:textId="77777777" w:rsidTr="00E12896">
        <w:trPr>
          <w:trHeight w:val="7313"/>
        </w:trPr>
        <w:tc>
          <w:tcPr>
            <w:tcW w:w="5580" w:type="dxa"/>
            <w:tcBorders>
              <w:top w:val="nil"/>
              <w:left w:val="nil"/>
              <w:bottom w:val="nil"/>
              <w:right w:val="nil"/>
            </w:tcBorders>
          </w:tcPr>
          <w:p w14:paraId="6781447F" w14:textId="5E591A8D" w:rsidR="00D077E9" w:rsidRPr="008E3CAD" w:rsidRDefault="00D077E9" w:rsidP="00E12896">
            <w:pPr>
              <w:rPr>
                <w:noProof/>
                <w:color w:val="0F0D29" w:themeColor="text1"/>
              </w:rPr>
            </w:pPr>
          </w:p>
        </w:tc>
      </w:tr>
      <w:tr w:rsidR="008E3CAD" w:rsidRPr="008E3CAD" w14:paraId="17C93C5B" w14:textId="77777777" w:rsidTr="00E12896">
        <w:trPr>
          <w:trHeight w:val="2438"/>
        </w:trPr>
        <w:tc>
          <w:tcPr>
            <w:tcW w:w="5580" w:type="dxa"/>
            <w:tcBorders>
              <w:top w:val="nil"/>
              <w:left w:val="nil"/>
              <w:bottom w:val="nil"/>
              <w:right w:val="nil"/>
            </w:tcBorders>
          </w:tcPr>
          <w:sdt>
            <w:sdtPr>
              <w:rPr>
                <w:noProof/>
                <w:color w:val="0F0D29" w:themeColor="text1"/>
              </w:rPr>
              <w:id w:val="1080870105"/>
              <w:placeholder>
                <w:docPart w:val="C5032037B8CC4739BA2DA327D25FEF75"/>
              </w:placeholder>
              <w15:appearance w15:val="hidden"/>
            </w:sdtPr>
            <w:sdtEndPr/>
            <w:sdtContent>
              <w:p w14:paraId="268DE80E" w14:textId="55D2037F" w:rsidR="00D077E9" w:rsidRPr="008E3CAD" w:rsidRDefault="008E3CAD" w:rsidP="00E12896">
                <w:pPr>
                  <w:rPr>
                    <w:noProof/>
                    <w:color w:val="0F0D29" w:themeColor="text1"/>
                  </w:rPr>
                </w:pPr>
                <w:r w:rsidRPr="008E3CAD">
                  <w:rPr>
                    <w:noProof/>
                    <w:color w:val="0F0D29" w:themeColor="text1"/>
                  </w:rPr>
                  <w:t>O</w:t>
                </w:r>
                <w:r w:rsidRPr="008E3CAD">
                  <w:rPr>
                    <w:bCs/>
                    <w:noProof/>
                    <w:color w:val="0F0D29" w:themeColor="text1"/>
                  </w:rPr>
                  <w:t>dbor právních služeb</w:t>
                </w:r>
              </w:p>
            </w:sdtContent>
          </w:sdt>
          <w:p w14:paraId="2D0C2CD7" w14:textId="77777777" w:rsidR="00D077E9" w:rsidRPr="008E3CAD" w:rsidRDefault="00D077E9" w:rsidP="00E12896">
            <w:pPr>
              <w:rPr>
                <w:noProof/>
                <w:color w:val="0F0D29" w:themeColor="text1"/>
                <w:sz w:val="10"/>
                <w:szCs w:val="10"/>
              </w:rPr>
            </w:pPr>
            <w:r w:rsidRPr="008E3CAD">
              <w:rPr>
                <w:noProof/>
                <w:color w:val="0F0D29" w:themeColor="text1"/>
                <w:sz w:val="10"/>
                <w:szCs w:val="10"/>
                <w:lang w:eastAsia="cs-CZ"/>
              </w:rPr>
              <mc:AlternateContent>
                <mc:Choice Requires="wps">
                  <w:drawing>
                    <wp:inline distT="0" distB="0" distL="0" distR="0" wp14:anchorId="054D5E28" wp14:editId="7820ACD8">
                      <wp:extent cx="1493949" cy="0"/>
                      <wp:effectExtent l="0" t="19050" r="30480" b="19050"/>
                      <wp:docPr id="6" name="Přímá spojnice 6" descr="oddělovač textu"/>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F0960D1" id="Přímá spojnice 6" o:spid="_x0000_s1026" alt="oddělovač textu" style="visibility:visible;mso-wrap-style:square;mso-left-percent:-10001;mso-top-percent:-10001;mso-position-horizontal:absolute;mso-position-horizontal-relative:char;mso-position-vertical:absolute;mso-position-vertical-relative:line;mso-left-percent:-10001;mso-top-percent:-10001" from="0,0" to="11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" strokecolor="#0f0d29 [3213]" strokeweight="3pt">
                      <w10:anchorlock/>
                    </v:line>
                  </w:pict>
                </mc:Fallback>
              </mc:AlternateContent>
            </w:r>
          </w:p>
          <w:p w14:paraId="47210015" w14:textId="77777777" w:rsidR="00D077E9" w:rsidRPr="008E3CAD" w:rsidRDefault="00D077E9" w:rsidP="00E12896">
            <w:pPr>
              <w:rPr>
                <w:noProof/>
                <w:color w:val="0F0D29" w:themeColor="text1"/>
                <w:sz w:val="10"/>
                <w:szCs w:val="10"/>
              </w:rPr>
            </w:pPr>
          </w:p>
          <w:p w14:paraId="580D0683" w14:textId="77777777" w:rsidR="00D077E9" w:rsidRPr="008E3CAD" w:rsidRDefault="00D077E9" w:rsidP="00E12896">
            <w:pPr>
              <w:rPr>
                <w:noProof/>
                <w:color w:val="0F0D29" w:themeColor="text1"/>
                <w:sz w:val="10"/>
                <w:szCs w:val="10"/>
              </w:rPr>
            </w:pPr>
          </w:p>
          <w:p w14:paraId="01079BD2" w14:textId="368412D9" w:rsidR="00D077E9" w:rsidRDefault="00090ADC" w:rsidP="00E12896">
            <w:pPr>
              <w:rPr>
                <w:noProof/>
                <w:color w:val="0F0D29" w:themeColor="text1"/>
              </w:rPr>
            </w:pPr>
            <w:r w:rsidRPr="008E3CAD">
              <w:rPr>
                <w:noProof/>
                <w:color w:val="0F0D29" w:themeColor="text1"/>
              </w:rPr>
              <w:t>ČEPRO, a.s.</w:t>
            </w:r>
          </w:p>
          <w:p w14:paraId="03D3E993" w14:textId="2EB70608" w:rsidR="00F33158" w:rsidRPr="00F33158" w:rsidRDefault="00F33158" w:rsidP="00F33158">
            <w:pPr>
              <w:jc w:val="right"/>
              <w:rPr>
                <w:b w:val="0"/>
                <w:bCs/>
                <w:noProof/>
                <w:color w:val="0F0D29" w:themeColor="text1"/>
              </w:rPr>
            </w:pPr>
            <w:r w:rsidRPr="00F33158">
              <w:rPr>
                <w:b w:val="0"/>
                <w:bCs/>
                <w:noProof/>
                <w:color w:val="0F0D29" w:themeColor="text1"/>
              </w:rPr>
              <w:t>Vypracováno k</w:t>
            </w:r>
            <w:r w:rsidR="00B47818">
              <w:rPr>
                <w:b w:val="0"/>
                <w:bCs/>
                <w:noProof/>
                <w:color w:val="0F0D29" w:themeColor="text1"/>
              </w:rPr>
              <w:t> 24.4.2022</w:t>
            </w:r>
          </w:p>
          <w:p w14:paraId="1BF16C02" w14:textId="77777777" w:rsidR="00D077E9" w:rsidRPr="008E3CAD" w:rsidRDefault="00D077E9" w:rsidP="00E12896">
            <w:pPr>
              <w:rPr>
                <w:noProof/>
                <w:color w:val="0F0D29" w:themeColor="text1"/>
                <w:sz w:val="10"/>
                <w:szCs w:val="10"/>
              </w:rPr>
            </w:pPr>
          </w:p>
        </w:tc>
      </w:tr>
    </w:tbl>
    <w:p w14:paraId="01F82EF8" w14:textId="3E7A33D0" w:rsidR="0014703E" w:rsidRPr="005078C0" w:rsidRDefault="00F33158" w:rsidP="005078C0">
      <w:pPr>
        <w:spacing w:after="200"/>
        <w:rPr>
          <w:noProof/>
          <w:color w:val="0F0D29" w:themeColor="text1"/>
        </w:rPr>
      </w:pPr>
      <w:r w:rsidRPr="008E3CAD">
        <w:rPr>
          <w:noProof/>
          <w:color w:val="0F0D29" w:themeColor="text1"/>
          <w:lang w:eastAsia="cs-CZ"/>
        </w:rPr>
        <mc:AlternateContent>
          <mc:Choice Requires="wps">
            <w:drawing>
              <wp:anchor distT="0" distB="0" distL="114300" distR="114300" simplePos="0" relativeHeight="251659264" behindDoc="1" locked="0" layoutInCell="1" allowOverlap="1" wp14:anchorId="79C67AC5" wp14:editId="14E529DF">
                <wp:simplePos x="0" y="0"/>
                <wp:positionH relativeFrom="column">
                  <wp:posOffset>-746760</wp:posOffset>
                </wp:positionH>
                <wp:positionV relativeFrom="page">
                  <wp:posOffset>4972050</wp:posOffset>
                </wp:positionV>
                <wp:extent cx="7760970" cy="5715000"/>
                <wp:effectExtent l="0" t="0" r="0" b="0"/>
                <wp:wrapNone/>
                <wp:docPr id="2" name="Obdélník 2" descr="barevný obdélník"/>
                <wp:cNvGraphicFramePr/>
                <a:graphic xmlns:a="http://schemas.openxmlformats.org/drawingml/2006/main">
                  <a:graphicData uri="http://schemas.microsoft.com/office/word/2010/wordprocessingShape">
                    <wps:wsp>
                      <wps:cNvSpPr/>
                      <wps:spPr>
                        <a:xfrm>
                          <a:off x="0" y="0"/>
                          <a:ext cx="7760970" cy="5715000"/>
                        </a:xfrm>
                        <a:prstGeom prst="rect">
                          <a:avLst/>
                        </a:prstGeom>
                        <a:solidFill>
                          <a:srgbClr val="007A5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9A11D7" id="Obdélník 2" o:spid="_x0000_s1026" alt="barevný obdélník" style="position:absolute;margin-left:-58.8pt;margin-top:391.5pt;width:611.1pt;height:450pt;z-index:-2516572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" fillcolor="#007a53" stroked="f" strokeweight="2pt">
                <w10:wrap anchory="page"/>
              </v:rect>
            </w:pict>
          </mc:Fallback>
        </mc:AlternateContent>
      </w:r>
      <w:r>
        <w:rPr>
          <w:noProof/>
          <w:color w:val="0F0D29" w:themeColor="text1"/>
          <w:lang w:eastAsia="cs-CZ"/>
        </w:rPr>
        <w:drawing>
          <wp:anchor distT="0" distB="0" distL="114300" distR="114300" simplePos="0" relativeHeight="251664384" behindDoc="0" locked="0" layoutInCell="1" allowOverlap="1" wp14:anchorId="57105471" wp14:editId="39C01BDD">
            <wp:simplePos x="0" y="0"/>
            <wp:positionH relativeFrom="column">
              <wp:posOffset>4320540</wp:posOffset>
            </wp:positionH>
            <wp:positionV relativeFrom="paragraph">
              <wp:posOffset>7138035</wp:posOffset>
            </wp:positionV>
            <wp:extent cx="1981204" cy="655321"/>
            <wp:effectExtent l="0" t="0" r="0" b="0"/>
            <wp:wrapNone/>
            <wp:docPr id="1" name="Obrázek 1"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klipart&#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1204" cy="655321"/>
                    </a:xfrm>
                    <a:prstGeom prst="rect">
                      <a:avLst/>
                    </a:prstGeom>
                  </pic:spPr>
                </pic:pic>
              </a:graphicData>
            </a:graphic>
            <wp14:sizeRelH relativeFrom="page">
              <wp14:pctWidth>0</wp14:pctWidth>
            </wp14:sizeRelH>
            <wp14:sizeRelV relativeFrom="page">
              <wp14:pctHeight>0</wp14:pctHeight>
            </wp14:sizeRelV>
          </wp:anchor>
        </w:drawing>
      </w:r>
      <w:r w:rsidR="00D077E9" w:rsidRPr="008E3CAD">
        <w:rPr>
          <w:noProof/>
          <w:color w:val="0F0D29" w:themeColor="text1"/>
          <w:lang w:bidi="cs-CZ"/>
        </w:rPr>
        <w:br w:type="page"/>
      </w:r>
    </w:p>
    <w:tbl>
      <w:tblPr>
        <w:tblpPr w:leftFromText="141" w:rightFromText="141" w:vertAnchor="text" w:tblpY="1"/>
        <w:tblOverlap w:val="never"/>
        <w:tblW w:w="9735" w:type="dxa"/>
        <w:tblCellMar>
          <w:left w:w="0" w:type="dxa"/>
          <w:right w:w="0" w:type="dxa"/>
        </w:tblCellMar>
        <w:tblLook w:val="0000" w:firstRow="0" w:lastRow="0" w:firstColumn="0" w:lastColumn="0" w:noHBand="0" w:noVBand="0"/>
      </w:tblPr>
      <w:tblGrid>
        <w:gridCol w:w="9735"/>
      </w:tblGrid>
      <w:tr w:rsidR="008E3CAD" w:rsidRPr="005078C0" w14:paraId="47FD99E1" w14:textId="77777777" w:rsidTr="00F5617F">
        <w:trPr>
          <w:trHeight w:val="5931"/>
        </w:trPr>
        <w:tc>
          <w:tcPr>
            <w:tcW w:w="9735" w:type="dxa"/>
          </w:tcPr>
          <w:p w14:paraId="147DAE18" w14:textId="77777777" w:rsidR="0014703E" w:rsidRPr="005078C0" w:rsidRDefault="0014703E" w:rsidP="008E3CAD">
            <w:pPr>
              <w:pStyle w:val="Bezmezer"/>
              <w:spacing w:line="360" w:lineRule="auto"/>
              <w:jc w:val="center"/>
              <w:rPr>
                <w:rFonts w:ascii="Arial" w:hAnsi="Arial" w:cs="Arial"/>
                <w:b/>
                <w:color w:val="0F0D29" w:themeColor="text1"/>
              </w:rPr>
            </w:pPr>
          </w:p>
          <w:p w14:paraId="348C9D52" w14:textId="77777777" w:rsidR="0014703E" w:rsidRPr="005078C0" w:rsidRDefault="0014703E" w:rsidP="008E3CAD">
            <w:pPr>
              <w:pStyle w:val="Bezmezer"/>
              <w:spacing w:line="360" w:lineRule="auto"/>
              <w:jc w:val="both"/>
              <w:rPr>
                <w:rFonts w:ascii="Arial" w:hAnsi="Arial" w:cs="Arial"/>
                <w:b/>
                <w:color w:val="0F0D29" w:themeColor="text1"/>
                <w:sz w:val="24"/>
              </w:rPr>
            </w:pPr>
            <w:r w:rsidRPr="005078C0">
              <w:rPr>
                <w:rFonts w:ascii="Arial" w:hAnsi="Arial" w:cs="Arial"/>
                <w:b/>
                <w:color w:val="0F0D29" w:themeColor="text1"/>
                <w:sz w:val="24"/>
              </w:rPr>
              <w:t xml:space="preserve">I. Platné právní předpisy vyhlášené ve Sbírce zákonů </w:t>
            </w:r>
          </w:p>
          <w:p w14:paraId="12877154" w14:textId="77777777" w:rsidR="00815900" w:rsidRDefault="00815900" w:rsidP="005078C0">
            <w:pPr>
              <w:pStyle w:val="Odstavecseseznamem"/>
              <w:spacing w:line="360" w:lineRule="auto"/>
              <w:ind w:left="284"/>
              <w:jc w:val="both"/>
              <w:rPr>
                <w:rFonts w:ascii="Arial" w:hAnsi="Arial" w:cs="Arial"/>
                <w:color w:val="0F0D29" w:themeColor="text1"/>
                <w:sz w:val="20"/>
                <w:szCs w:val="20"/>
              </w:rPr>
            </w:pPr>
          </w:p>
          <w:p w14:paraId="78D2EA68" w14:textId="58178493" w:rsidR="00815900" w:rsidRPr="005078C0" w:rsidRDefault="006E530F" w:rsidP="00DE0025">
            <w:pPr>
              <w:pStyle w:val="Odstavecseseznamem"/>
              <w:numPr>
                <w:ilvl w:val="0"/>
                <w:numId w:val="1"/>
              </w:numPr>
              <w:spacing w:line="360" w:lineRule="auto"/>
              <w:jc w:val="both"/>
              <w:rPr>
                <w:rFonts w:ascii="Arial" w:hAnsi="Arial" w:cs="Arial"/>
                <w:color w:val="0F0D29" w:themeColor="text1"/>
                <w:sz w:val="18"/>
                <w:szCs w:val="18"/>
              </w:rPr>
            </w:pPr>
            <w:r w:rsidRPr="006E530F">
              <w:rPr>
                <w:rFonts w:ascii="Arial" w:hAnsi="Arial" w:cs="Arial"/>
                <w:color w:val="0F0D29" w:themeColor="text1"/>
                <w:sz w:val="20"/>
                <w:szCs w:val="20"/>
              </w:rPr>
              <w:t>NAŘÍZENÍ RADY (EU) 2022/576 ze dne 8. dubna 2022, kterým se mění nařízení (EU) č. 833/2014 o omezujících opatřeních vzhledem k činnostem Ruska destabilizujícím situaci na Ukrajině</w:t>
            </w:r>
          </w:p>
          <w:p w14:paraId="43A3D180" w14:textId="77777777" w:rsidR="0014703E" w:rsidRPr="005078C0" w:rsidRDefault="0014703E" w:rsidP="008E3CAD">
            <w:pPr>
              <w:pStyle w:val="Bezmezer"/>
              <w:spacing w:line="360" w:lineRule="auto"/>
              <w:jc w:val="both"/>
              <w:rPr>
                <w:rFonts w:ascii="Arial" w:hAnsi="Arial" w:cs="Arial"/>
                <w:b/>
                <w:color w:val="0F0D29" w:themeColor="text1"/>
              </w:rPr>
            </w:pPr>
            <w:r w:rsidRPr="005078C0">
              <w:rPr>
                <w:rFonts w:ascii="Arial" w:hAnsi="Arial" w:cs="Arial"/>
                <w:b/>
                <w:color w:val="0F0D29" w:themeColor="text1"/>
                <w:sz w:val="24"/>
              </w:rPr>
              <w:t>II</w:t>
            </w:r>
            <w:r w:rsidRPr="005078C0">
              <w:rPr>
                <w:rFonts w:ascii="Arial" w:hAnsi="Arial" w:cs="Arial"/>
                <w:b/>
                <w:color w:val="0F0D29" w:themeColor="text1"/>
                <w:sz w:val="28"/>
                <w:szCs w:val="24"/>
              </w:rPr>
              <w:t xml:space="preserve">. </w:t>
            </w:r>
            <w:r w:rsidRPr="005078C0">
              <w:rPr>
                <w:rFonts w:ascii="Arial" w:hAnsi="Arial" w:cs="Arial"/>
                <w:b/>
                <w:color w:val="0F0D29" w:themeColor="text1"/>
                <w:sz w:val="24"/>
                <w:szCs w:val="24"/>
              </w:rPr>
              <w:t>Připravovaná legislativa</w:t>
            </w:r>
          </w:p>
          <w:p w14:paraId="0F4D70D1" w14:textId="77777777" w:rsidR="00815900" w:rsidRDefault="00815900" w:rsidP="00815900">
            <w:pPr>
              <w:pStyle w:val="Bezmezer"/>
              <w:spacing w:line="360" w:lineRule="auto"/>
              <w:ind w:left="720"/>
              <w:jc w:val="both"/>
              <w:rPr>
                <w:rFonts w:ascii="Arial" w:hAnsi="Arial" w:cs="Arial"/>
                <w:b/>
                <w:color w:val="0F0D29" w:themeColor="text1"/>
                <w:sz w:val="20"/>
                <w:szCs w:val="20"/>
              </w:rPr>
            </w:pPr>
          </w:p>
          <w:p w14:paraId="7EA8F6FC" w14:textId="71135FC1" w:rsidR="0014703E" w:rsidRPr="00815900" w:rsidRDefault="0014703E" w:rsidP="008E3CAD">
            <w:pPr>
              <w:pStyle w:val="Bezmezer"/>
              <w:numPr>
                <w:ilvl w:val="0"/>
                <w:numId w:val="2"/>
              </w:numPr>
              <w:spacing w:line="360" w:lineRule="auto"/>
              <w:jc w:val="both"/>
              <w:rPr>
                <w:rFonts w:ascii="Arial" w:hAnsi="Arial" w:cs="Arial"/>
                <w:b/>
                <w:color w:val="0F0D29" w:themeColor="text1"/>
                <w:sz w:val="20"/>
                <w:szCs w:val="20"/>
              </w:rPr>
            </w:pPr>
            <w:r w:rsidRPr="00815900">
              <w:rPr>
                <w:rFonts w:ascii="Arial" w:hAnsi="Arial" w:cs="Arial"/>
                <w:b/>
                <w:color w:val="0F0D29" w:themeColor="text1"/>
                <w:sz w:val="20"/>
                <w:szCs w:val="20"/>
              </w:rPr>
              <w:t>Výstupy</w:t>
            </w:r>
          </w:p>
          <w:p w14:paraId="4321B4D9" w14:textId="2E8723FC" w:rsidR="00080627" w:rsidRDefault="00901622" w:rsidP="00080627">
            <w:pPr>
              <w:pStyle w:val="Odstavecseseznamem"/>
              <w:numPr>
                <w:ilvl w:val="0"/>
                <w:numId w:val="1"/>
              </w:numPr>
              <w:spacing w:line="360" w:lineRule="auto"/>
              <w:jc w:val="both"/>
              <w:rPr>
                <w:rFonts w:ascii="Arial" w:hAnsi="Arial" w:cs="Arial"/>
                <w:color w:val="0F0D29" w:themeColor="text1"/>
                <w:sz w:val="20"/>
                <w:szCs w:val="20"/>
              </w:rPr>
            </w:pPr>
            <w:r>
              <w:rPr>
                <w:rFonts w:ascii="Arial" w:hAnsi="Arial" w:cs="Arial"/>
                <w:color w:val="0F0D29" w:themeColor="text1"/>
                <w:sz w:val="20"/>
                <w:szCs w:val="20"/>
              </w:rPr>
              <w:t>Ve sledovaném období nebyly předloženy žádné výstupy s dopady do činnosti společnosti.</w:t>
            </w:r>
          </w:p>
          <w:p w14:paraId="2D2C4039" w14:textId="77777777" w:rsidR="00080627" w:rsidRPr="00815900" w:rsidRDefault="00080627" w:rsidP="00080627">
            <w:pPr>
              <w:pStyle w:val="Odstavecseseznamem"/>
              <w:spacing w:line="360" w:lineRule="auto"/>
              <w:ind w:left="786"/>
              <w:jc w:val="both"/>
              <w:rPr>
                <w:rFonts w:ascii="Arial" w:hAnsi="Arial" w:cs="Arial"/>
                <w:color w:val="0F0D29" w:themeColor="text1"/>
                <w:sz w:val="20"/>
                <w:szCs w:val="20"/>
              </w:rPr>
            </w:pPr>
          </w:p>
          <w:p w14:paraId="132D1DD9" w14:textId="77777777" w:rsidR="0014703E" w:rsidRPr="00815900" w:rsidRDefault="0014703E" w:rsidP="008E3CAD">
            <w:pPr>
              <w:pStyle w:val="Bezmezer"/>
              <w:numPr>
                <w:ilvl w:val="0"/>
                <w:numId w:val="2"/>
              </w:numPr>
              <w:spacing w:line="360" w:lineRule="auto"/>
              <w:jc w:val="both"/>
              <w:rPr>
                <w:rFonts w:ascii="Arial" w:hAnsi="Arial" w:cs="Arial"/>
                <w:bCs/>
                <w:color w:val="0F0D29" w:themeColor="text1"/>
                <w:sz w:val="20"/>
                <w:szCs w:val="20"/>
              </w:rPr>
            </w:pPr>
            <w:r w:rsidRPr="00815900">
              <w:rPr>
                <w:rFonts w:ascii="Arial" w:hAnsi="Arial" w:cs="Arial"/>
                <w:b/>
                <w:color w:val="0F0D29" w:themeColor="text1"/>
                <w:sz w:val="20"/>
                <w:szCs w:val="20"/>
              </w:rPr>
              <w:t>Zadání</w:t>
            </w:r>
          </w:p>
          <w:p w14:paraId="12EFAECC" w14:textId="1573DC67" w:rsidR="001A0DC1" w:rsidRPr="001A0DC1" w:rsidRDefault="001A0DC1" w:rsidP="001A0DC1">
            <w:pPr>
              <w:pStyle w:val="Odstavecseseznamem"/>
              <w:numPr>
                <w:ilvl w:val="0"/>
                <w:numId w:val="1"/>
              </w:numPr>
              <w:spacing w:line="360" w:lineRule="auto"/>
              <w:jc w:val="both"/>
              <w:rPr>
                <w:rFonts w:ascii="Arial" w:hAnsi="Arial" w:cs="Arial"/>
                <w:bCs/>
                <w:color w:val="0F0D29" w:themeColor="text1"/>
                <w:sz w:val="20"/>
                <w:szCs w:val="20"/>
              </w:rPr>
            </w:pPr>
            <w:r w:rsidRPr="001A0DC1">
              <w:rPr>
                <w:rFonts w:ascii="Arial" w:hAnsi="Arial" w:cs="Arial"/>
                <w:bCs/>
                <w:color w:val="0F0D29" w:themeColor="text1"/>
                <w:sz w:val="20"/>
                <w:szCs w:val="20"/>
              </w:rPr>
              <w:t>Návrh zákona, kterým se mění zákon č. 37/2021 Sb., o evidenci skutečných majitelů</w:t>
            </w:r>
          </w:p>
          <w:p w14:paraId="10117598" w14:textId="77777777" w:rsidR="001A0DC1" w:rsidRPr="001A0DC1" w:rsidRDefault="001A0DC1" w:rsidP="001A0DC1">
            <w:pPr>
              <w:pStyle w:val="Odstavecseseznamem"/>
              <w:numPr>
                <w:ilvl w:val="0"/>
                <w:numId w:val="1"/>
              </w:numPr>
              <w:spacing w:line="360" w:lineRule="auto"/>
              <w:jc w:val="both"/>
              <w:rPr>
                <w:rFonts w:ascii="Arial" w:hAnsi="Arial" w:cs="Arial"/>
                <w:bCs/>
                <w:color w:val="0F0D29" w:themeColor="text1"/>
                <w:sz w:val="20"/>
                <w:szCs w:val="20"/>
              </w:rPr>
            </w:pPr>
            <w:r w:rsidRPr="001A0DC1">
              <w:rPr>
                <w:rFonts w:ascii="Arial" w:hAnsi="Arial" w:cs="Arial"/>
                <w:bCs/>
                <w:color w:val="0F0D29" w:themeColor="text1"/>
                <w:sz w:val="20"/>
                <w:szCs w:val="20"/>
              </w:rPr>
              <w:t>Návrh nařízení vlády o úpravě náhrady za ztrátu na výdělku po skončení pracovní neschopnosti vzniklé pracovním úrazem nebo nemocí z povolání a o úpravě náhrady nákladů na výživu pozůstalých podle pracovněprávních předpisů (nařízení o úpravě náhrady)</w:t>
            </w:r>
          </w:p>
          <w:p w14:paraId="08D90584" w14:textId="77777777" w:rsidR="001A0DC1" w:rsidRPr="001A0DC1" w:rsidRDefault="001A0DC1" w:rsidP="001A0DC1">
            <w:pPr>
              <w:pStyle w:val="Odstavecseseznamem"/>
              <w:numPr>
                <w:ilvl w:val="0"/>
                <w:numId w:val="1"/>
              </w:numPr>
              <w:spacing w:line="360" w:lineRule="auto"/>
              <w:jc w:val="both"/>
              <w:rPr>
                <w:rFonts w:ascii="Arial" w:hAnsi="Arial" w:cs="Arial"/>
                <w:bCs/>
                <w:color w:val="0F0D29" w:themeColor="text1"/>
                <w:sz w:val="20"/>
                <w:szCs w:val="20"/>
              </w:rPr>
            </w:pPr>
            <w:r w:rsidRPr="001A0DC1">
              <w:rPr>
                <w:rFonts w:ascii="Arial" w:hAnsi="Arial" w:cs="Arial"/>
                <w:bCs/>
                <w:color w:val="0F0D29" w:themeColor="text1"/>
                <w:sz w:val="20"/>
                <w:szCs w:val="20"/>
              </w:rPr>
              <w:t>Návrh zákona, kterým se mění zákon č. 258/2000 Sb., o ochraně veřejného zdraví a o změně některých souvisejících zákonů, ve znění pozdějších předpisů, a zákon č. 274/2001 Sb., o vodovodech a kanalizacích pro veřejnou potřebu a o změně některých zákonů (zákon o vodovodech a kanalizacích), ve znění pozdějších předpisů</w:t>
            </w:r>
          </w:p>
          <w:p w14:paraId="08B53C66" w14:textId="77777777" w:rsidR="001A0DC1" w:rsidRPr="001A0DC1" w:rsidRDefault="001A0DC1" w:rsidP="001A0DC1">
            <w:pPr>
              <w:pStyle w:val="Odstavecseseznamem"/>
              <w:numPr>
                <w:ilvl w:val="0"/>
                <w:numId w:val="1"/>
              </w:numPr>
              <w:spacing w:line="360" w:lineRule="auto"/>
              <w:jc w:val="both"/>
              <w:rPr>
                <w:rFonts w:ascii="Arial" w:hAnsi="Arial" w:cs="Arial"/>
                <w:bCs/>
                <w:color w:val="0F0D29" w:themeColor="text1"/>
                <w:sz w:val="20"/>
                <w:szCs w:val="20"/>
              </w:rPr>
            </w:pPr>
            <w:r w:rsidRPr="001A0DC1">
              <w:rPr>
                <w:rFonts w:ascii="Arial" w:hAnsi="Arial" w:cs="Arial"/>
                <w:bCs/>
                <w:color w:val="0F0D29" w:themeColor="text1"/>
                <w:sz w:val="20"/>
                <w:szCs w:val="20"/>
              </w:rPr>
              <w:t>Návrh nařízení o stanovení hodnoty vnitřního výnosového procenta pro jednotlivé druhy obnovitelných zdrojů</w:t>
            </w:r>
          </w:p>
          <w:p w14:paraId="2BDAC54F" w14:textId="50DB1C48" w:rsidR="001A0DC1" w:rsidRPr="001A0DC1" w:rsidRDefault="001A0DC1" w:rsidP="001A0DC1">
            <w:pPr>
              <w:pStyle w:val="Odstavecseseznamem"/>
              <w:numPr>
                <w:ilvl w:val="0"/>
                <w:numId w:val="1"/>
              </w:numPr>
              <w:spacing w:line="360" w:lineRule="auto"/>
              <w:jc w:val="both"/>
              <w:rPr>
                <w:rFonts w:ascii="Arial" w:hAnsi="Arial" w:cs="Arial"/>
                <w:bCs/>
                <w:color w:val="0F0D29" w:themeColor="text1"/>
                <w:sz w:val="20"/>
                <w:szCs w:val="20"/>
              </w:rPr>
            </w:pPr>
            <w:r w:rsidRPr="001A0DC1">
              <w:rPr>
                <w:rFonts w:ascii="Arial" w:hAnsi="Arial" w:cs="Arial"/>
                <w:bCs/>
                <w:color w:val="0F0D29" w:themeColor="text1"/>
                <w:sz w:val="20"/>
                <w:szCs w:val="20"/>
              </w:rPr>
              <w:t xml:space="preserve">Návrh zákona, kterým se mění zákon č. 99/1963 Sb., občanský soudní řád, zákon č. 120/2001 Sb., </w:t>
            </w:r>
            <w:r w:rsidR="00BE00DE">
              <w:rPr>
                <w:rFonts w:ascii="Arial" w:hAnsi="Arial" w:cs="Arial"/>
                <w:bCs/>
                <w:color w:val="0F0D29" w:themeColor="text1"/>
                <w:sz w:val="20"/>
                <w:szCs w:val="20"/>
              </w:rPr>
              <w:t xml:space="preserve">exekuční řád a </w:t>
            </w:r>
            <w:r w:rsidRPr="001A0DC1">
              <w:rPr>
                <w:rFonts w:ascii="Arial" w:hAnsi="Arial" w:cs="Arial"/>
                <w:bCs/>
                <w:color w:val="0F0D29" w:themeColor="text1"/>
                <w:sz w:val="20"/>
                <w:szCs w:val="20"/>
              </w:rPr>
              <w:t>zákon č. 286/2021 Sb.</w:t>
            </w:r>
          </w:p>
          <w:p w14:paraId="02D040A5" w14:textId="77777777" w:rsidR="001A0DC1" w:rsidRPr="001A0DC1" w:rsidRDefault="001A0DC1" w:rsidP="001A0DC1">
            <w:pPr>
              <w:pStyle w:val="Odstavecseseznamem"/>
              <w:numPr>
                <w:ilvl w:val="0"/>
                <w:numId w:val="1"/>
              </w:numPr>
              <w:spacing w:line="360" w:lineRule="auto"/>
              <w:jc w:val="both"/>
              <w:rPr>
                <w:rFonts w:ascii="Arial" w:hAnsi="Arial" w:cs="Arial"/>
                <w:bCs/>
                <w:color w:val="0F0D29" w:themeColor="text1"/>
                <w:sz w:val="20"/>
                <w:szCs w:val="20"/>
              </w:rPr>
            </w:pPr>
            <w:r w:rsidRPr="001A0DC1">
              <w:rPr>
                <w:rFonts w:ascii="Arial" w:hAnsi="Arial" w:cs="Arial"/>
                <w:bCs/>
                <w:color w:val="0F0D29" w:themeColor="text1"/>
                <w:sz w:val="20"/>
                <w:szCs w:val="20"/>
              </w:rPr>
              <w:t>Návrh zákona o jednotném povolování v oblasti ochrany životního prostředí a o změně některých souvisejících zákonů (zákon o jednotném povolování v oblasti ochrany životního prostředí)</w:t>
            </w:r>
          </w:p>
          <w:p w14:paraId="1256303F" w14:textId="77777777" w:rsidR="001A0DC1" w:rsidRDefault="001A0DC1" w:rsidP="001A0DC1">
            <w:pPr>
              <w:pStyle w:val="Odstavecseseznamem"/>
              <w:numPr>
                <w:ilvl w:val="0"/>
                <w:numId w:val="1"/>
              </w:numPr>
              <w:spacing w:line="360" w:lineRule="auto"/>
              <w:jc w:val="both"/>
              <w:rPr>
                <w:rFonts w:ascii="Arial" w:hAnsi="Arial" w:cs="Arial"/>
                <w:bCs/>
                <w:color w:val="0F0D29" w:themeColor="text1"/>
                <w:sz w:val="20"/>
                <w:szCs w:val="20"/>
              </w:rPr>
            </w:pPr>
            <w:r w:rsidRPr="001A0DC1">
              <w:rPr>
                <w:rFonts w:ascii="Arial" w:hAnsi="Arial" w:cs="Arial"/>
                <w:bCs/>
                <w:color w:val="0F0D29" w:themeColor="text1"/>
                <w:sz w:val="20"/>
                <w:szCs w:val="20"/>
              </w:rPr>
              <w:t>Návrh zákona, kterým se mění zákon č.283/2021 Sb., stavební zákon, a některé další související zákony</w:t>
            </w:r>
          </w:p>
          <w:p w14:paraId="3863ED8A" w14:textId="0EF7509A" w:rsidR="001A0DC1" w:rsidRPr="001A0DC1" w:rsidRDefault="001A0DC1" w:rsidP="001A0DC1">
            <w:pPr>
              <w:pStyle w:val="Odstavecseseznamem"/>
              <w:numPr>
                <w:ilvl w:val="0"/>
                <w:numId w:val="1"/>
              </w:numPr>
              <w:spacing w:line="360" w:lineRule="auto"/>
              <w:jc w:val="both"/>
              <w:rPr>
                <w:rFonts w:ascii="Arial" w:hAnsi="Arial" w:cs="Arial"/>
                <w:bCs/>
                <w:color w:val="0F0D29" w:themeColor="text1"/>
                <w:sz w:val="20"/>
                <w:szCs w:val="20"/>
              </w:rPr>
            </w:pPr>
            <w:r w:rsidRPr="001A0DC1">
              <w:rPr>
                <w:rFonts w:ascii="Arial" w:hAnsi="Arial" w:cs="Arial"/>
                <w:bCs/>
                <w:color w:val="0F0D29" w:themeColor="text1"/>
                <w:sz w:val="20"/>
                <w:szCs w:val="20"/>
              </w:rPr>
              <w:t>Návrh vyhlášky, kterou se mění vyhláška č.500/2006 Sb., o územně analytických podkladech, územně plánovací dokumentaci a způsobu evidence územně plánovací činnosti</w:t>
            </w:r>
          </w:p>
          <w:p w14:paraId="6F3E29E2" w14:textId="77777777" w:rsidR="00F1485A" w:rsidRDefault="00F1485A" w:rsidP="001A0DC1">
            <w:pPr>
              <w:pStyle w:val="Odstavecseseznamem"/>
              <w:numPr>
                <w:ilvl w:val="0"/>
                <w:numId w:val="1"/>
              </w:numPr>
              <w:spacing w:line="360" w:lineRule="auto"/>
              <w:jc w:val="both"/>
              <w:rPr>
                <w:rFonts w:ascii="Arial" w:hAnsi="Arial" w:cs="Arial"/>
                <w:bCs/>
                <w:color w:val="0F0D29" w:themeColor="text1"/>
                <w:sz w:val="20"/>
                <w:szCs w:val="20"/>
              </w:rPr>
            </w:pPr>
            <w:r w:rsidRPr="00F1485A">
              <w:rPr>
                <w:rFonts w:ascii="Arial" w:hAnsi="Arial" w:cs="Arial"/>
                <w:bCs/>
                <w:color w:val="0F0D29" w:themeColor="text1"/>
                <w:sz w:val="20"/>
                <w:szCs w:val="20"/>
              </w:rPr>
              <w:t>Návrh zákona, kterým se mění zákon č. 586/1992 Sb., o daních z příjmů, zákon č. 16/1993 Sb., o dani silniční, a zákon č. 201/2012 Sb., o ochraně ovzduší</w:t>
            </w:r>
          </w:p>
          <w:p w14:paraId="50E05A38" w14:textId="151C06D1" w:rsidR="001A0DC1" w:rsidRPr="001A0DC1" w:rsidRDefault="001A0DC1" w:rsidP="001A0DC1">
            <w:pPr>
              <w:pStyle w:val="Odstavecseseznamem"/>
              <w:numPr>
                <w:ilvl w:val="0"/>
                <w:numId w:val="1"/>
              </w:numPr>
              <w:spacing w:line="360" w:lineRule="auto"/>
              <w:jc w:val="both"/>
              <w:rPr>
                <w:rFonts w:ascii="Arial" w:hAnsi="Arial" w:cs="Arial"/>
                <w:bCs/>
                <w:color w:val="0F0D29" w:themeColor="text1"/>
                <w:sz w:val="20"/>
                <w:szCs w:val="20"/>
              </w:rPr>
            </w:pPr>
            <w:r w:rsidRPr="001A0DC1">
              <w:rPr>
                <w:rFonts w:ascii="Arial" w:hAnsi="Arial" w:cs="Arial"/>
                <w:bCs/>
                <w:color w:val="0F0D29" w:themeColor="text1"/>
                <w:sz w:val="20"/>
                <w:szCs w:val="20"/>
              </w:rPr>
              <w:t>Novela zákona</w:t>
            </w:r>
            <w:r>
              <w:rPr>
                <w:rFonts w:ascii="Arial" w:hAnsi="Arial" w:cs="Arial"/>
                <w:bCs/>
                <w:color w:val="0F0D29" w:themeColor="text1"/>
                <w:sz w:val="20"/>
                <w:szCs w:val="20"/>
              </w:rPr>
              <w:t xml:space="preserve"> č. 159/2006 Sb.,</w:t>
            </w:r>
            <w:r w:rsidRPr="001A0DC1">
              <w:rPr>
                <w:rFonts w:ascii="Arial" w:hAnsi="Arial" w:cs="Arial"/>
                <w:bCs/>
                <w:color w:val="0F0D29" w:themeColor="text1"/>
                <w:sz w:val="20"/>
                <w:szCs w:val="20"/>
              </w:rPr>
              <w:t xml:space="preserve"> o střetu zájmů</w:t>
            </w:r>
          </w:p>
          <w:p w14:paraId="49F1F248" w14:textId="269E93AE" w:rsidR="001A0DC1" w:rsidRPr="001A0DC1" w:rsidRDefault="001A0DC1" w:rsidP="001A0DC1">
            <w:pPr>
              <w:pStyle w:val="Odstavecseseznamem"/>
              <w:numPr>
                <w:ilvl w:val="0"/>
                <w:numId w:val="1"/>
              </w:numPr>
              <w:spacing w:line="360" w:lineRule="auto"/>
              <w:jc w:val="both"/>
              <w:rPr>
                <w:rFonts w:ascii="Arial" w:hAnsi="Arial" w:cs="Arial"/>
                <w:bCs/>
                <w:color w:val="0F0D29" w:themeColor="text1"/>
                <w:sz w:val="20"/>
                <w:szCs w:val="20"/>
              </w:rPr>
            </w:pPr>
            <w:r w:rsidRPr="001A0DC1">
              <w:rPr>
                <w:rFonts w:ascii="Arial" w:hAnsi="Arial" w:cs="Arial"/>
                <w:bCs/>
                <w:color w:val="0F0D29" w:themeColor="text1"/>
                <w:sz w:val="20"/>
                <w:szCs w:val="20"/>
              </w:rPr>
              <w:t>Novela zákona</w:t>
            </w:r>
            <w:r>
              <w:rPr>
                <w:rFonts w:ascii="Arial" w:hAnsi="Arial" w:cs="Arial"/>
                <w:bCs/>
                <w:color w:val="0F0D29" w:themeColor="text1"/>
                <w:sz w:val="20"/>
                <w:szCs w:val="20"/>
              </w:rPr>
              <w:t xml:space="preserve"> č. 353/2003 Sb.,</w:t>
            </w:r>
            <w:r w:rsidRPr="001A0DC1">
              <w:rPr>
                <w:rFonts w:ascii="Arial" w:hAnsi="Arial" w:cs="Arial"/>
                <w:bCs/>
                <w:color w:val="0F0D29" w:themeColor="text1"/>
                <w:sz w:val="20"/>
                <w:szCs w:val="20"/>
              </w:rPr>
              <w:t xml:space="preserve"> o spotřebních daních</w:t>
            </w:r>
          </w:p>
          <w:p w14:paraId="6F5B02D9" w14:textId="35151958" w:rsidR="0014703E" w:rsidRDefault="001A0DC1" w:rsidP="001A0DC1">
            <w:pPr>
              <w:pStyle w:val="Odstavecseseznamem"/>
              <w:numPr>
                <w:ilvl w:val="0"/>
                <w:numId w:val="1"/>
              </w:numPr>
              <w:spacing w:line="360" w:lineRule="auto"/>
              <w:jc w:val="both"/>
              <w:rPr>
                <w:rFonts w:ascii="Arial" w:hAnsi="Arial" w:cs="Arial"/>
                <w:bCs/>
                <w:color w:val="0F0D29" w:themeColor="text1"/>
                <w:sz w:val="20"/>
                <w:szCs w:val="20"/>
              </w:rPr>
            </w:pPr>
            <w:r w:rsidRPr="001A0DC1">
              <w:rPr>
                <w:rFonts w:ascii="Arial" w:hAnsi="Arial" w:cs="Arial"/>
                <w:bCs/>
                <w:color w:val="0F0D29" w:themeColor="text1"/>
                <w:sz w:val="20"/>
                <w:szCs w:val="20"/>
              </w:rPr>
              <w:t>Návrh zákona, kterým se mění zákon č. 155/1995 Sb., o důchodovém pojištění, ve znění pozdějších předpisů, a některé další zákony</w:t>
            </w:r>
          </w:p>
          <w:p w14:paraId="1BFCD3CA" w14:textId="77777777" w:rsidR="00D06200" w:rsidRPr="00D06200" w:rsidRDefault="00D06200" w:rsidP="00D06200">
            <w:pPr>
              <w:pStyle w:val="Odstavecseseznamem"/>
              <w:numPr>
                <w:ilvl w:val="0"/>
                <w:numId w:val="1"/>
              </w:numPr>
              <w:spacing w:line="360" w:lineRule="auto"/>
              <w:jc w:val="both"/>
              <w:rPr>
                <w:rFonts w:ascii="Arial" w:hAnsi="Arial" w:cs="Arial"/>
                <w:bCs/>
                <w:color w:val="0F0D29" w:themeColor="text1"/>
                <w:sz w:val="20"/>
                <w:szCs w:val="20"/>
              </w:rPr>
            </w:pPr>
            <w:r w:rsidRPr="00D06200">
              <w:rPr>
                <w:rFonts w:ascii="Arial" w:hAnsi="Arial" w:cs="Arial"/>
                <w:bCs/>
                <w:color w:val="0F0D29" w:themeColor="text1"/>
                <w:sz w:val="20"/>
                <w:szCs w:val="20"/>
              </w:rPr>
              <w:t>Návrh vyhlášky, kterou se mění vyhláška č. 511/2021 Sb., o změně sazby základní náhrady za používání silničních motorových vozidel a stravného a o stanovení průměrné ceny pohonných hmot pro účely poskytování cestovních náhrad, ve znění vyhlášky č. 47/2022 Sb.</w:t>
            </w:r>
          </w:p>
          <w:p w14:paraId="4D559D16" w14:textId="46D58FBD" w:rsidR="00D06200" w:rsidRPr="00D06200" w:rsidRDefault="00D06200" w:rsidP="00D06200">
            <w:pPr>
              <w:pStyle w:val="Odstavecseseznamem"/>
              <w:numPr>
                <w:ilvl w:val="0"/>
                <w:numId w:val="1"/>
              </w:numPr>
              <w:spacing w:line="360" w:lineRule="auto"/>
              <w:jc w:val="both"/>
              <w:rPr>
                <w:rFonts w:ascii="Arial" w:hAnsi="Arial" w:cs="Arial"/>
                <w:bCs/>
                <w:color w:val="0F0D29" w:themeColor="text1"/>
                <w:sz w:val="20"/>
                <w:szCs w:val="20"/>
              </w:rPr>
            </w:pPr>
            <w:r w:rsidRPr="00D06200">
              <w:rPr>
                <w:rFonts w:ascii="Arial" w:hAnsi="Arial" w:cs="Arial"/>
                <w:bCs/>
                <w:color w:val="0F0D29" w:themeColor="text1"/>
                <w:sz w:val="20"/>
                <w:szCs w:val="20"/>
              </w:rPr>
              <w:lastRenderedPageBreak/>
              <w:t>Návrh zákona, kterým se mění zákon č. 106/1999 Sb., o svobodném přístupu k informacím, zákon č. 123/1998 Sb., o právu na informace o životním prostředí,</w:t>
            </w:r>
            <w:r>
              <w:rPr>
                <w:rFonts w:ascii="Arial" w:hAnsi="Arial" w:cs="Arial"/>
                <w:bCs/>
                <w:color w:val="0F0D29" w:themeColor="text1"/>
                <w:sz w:val="20"/>
                <w:szCs w:val="20"/>
              </w:rPr>
              <w:t xml:space="preserve"> </w:t>
            </w:r>
            <w:r w:rsidRPr="00D06200">
              <w:rPr>
                <w:rFonts w:ascii="Arial" w:hAnsi="Arial" w:cs="Arial"/>
                <w:bCs/>
                <w:color w:val="0F0D29" w:themeColor="text1"/>
                <w:sz w:val="20"/>
                <w:szCs w:val="20"/>
              </w:rPr>
              <w:t>a zákon č. 130/2002 Sb., o podpoře výzkumu, experimentálního vývoje a inovací z veřejných prostředků a o změně některých souvisejících zákonů (zákon o podpoře výzkumu, experimentálního vývoje a inovací)</w:t>
            </w:r>
          </w:p>
          <w:p w14:paraId="68783160" w14:textId="77777777" w:rsidR="00D06200" w:rsidRPr="00D06200" w:rsidRDefault="00D06200" w:rsidP="00D06200">
            <w:pPr>
              <w:pStyle w:val="Odstavecseseznamem"/>
              <w:numPr>
                <w:ilvl w:val="0"/>
                <w:numId w:val="1"/>
              </w:numPr>
              <w:spacing w:line="360" w:lineRule="auto"/>
              <w:jc w:val="both"/>
              <w:rPr>
                <w:rFonts w:ascii="Arial" w:hAnsi="Arial" w:cs="Arial"/>
                <w:bCs/>
                <w:color w:val="0F0D29" w:themeColor="text1"/>
                <w:sz w:val="20"/>
                <w:szCs w:val="20"/>
              </w:rPr>
            </w:pPr>
            <w:r w:rsidRPr="00D06200">
              <w:rPr>
                <w:rFonts w:ascii="Arial" w:hAnsi="Arial" w:cs="Arial"/>
                <w:bCs/>
                <w:color w:val="0F0D29" w:themeColor="text1"/>
                <w:sz w:val="20"/>
                <w:szCs w:val="20"/>
              </w:rPr>
              <w:t>Návrh zákona, kterým se mění zákon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ve znění pozdějších předpisů, a zákon č. 634/2004 Sb., o správních poplatcích</w:t>
            </w:r>
          </w:p>
          <w:p w14:paraId="660B2EA7" w14:textId="77777777" w:rsidR="00D06200" w:rsidRPr="00D06200" w:rsidRDefault="00D06200" w:rsidP="00D06200">
            <w:pPr>
              <w:pStyle w:val="Odstavecseseznamem"/>
              <w:numPr>
                <w:ilvl w:val="0"/>
                <w:numId w:val="1"/>
              </w:numPr>
              <w:spacing w:line="360" w:lineRule="auto"/>
              <w:jc w:val="both"/>
              <w:rPr>
                <w:rFonts w:ascii="Arial" w:hAnsi="Arial" w:cs="Arial"/>
                <w:bCs/>
                <w:color w:val="0F0D29" w:themeColor="text1"/>
                <w:sz w:val="20"/>
                <w:szCs w:val="20"/>
              </w:rPr>
            </w:pPr>
            <w:r w:rsidRPr="00D06200">
              <w:rPr>
                <w:rFonts w:ascii="Arial" w:hAnsi="Arial" w:cs="Arial"/>
                <w:bCs/>
                <w:color w:val="0F0D29" w:themeColor="text1"/>
                <w:sz w:val="20"/>
                <w:szCs w:val="20"/>
              </w:rPr>
              <w:t>Návrh zákona, kterým se mění zákon č. 49/1997 Sb., o civilním letectví a o změně a doplnění zákona č. 455/1991 Sb., o živnostenském podnikání (živnostenský zákon), ve znění pozdějších předpisů, ve znění pozdějších předpisů, a některé související zákony</w:t>
            </w:r>
          </w:p>
          <w:p w14:paraId="5609A365" w14:textId="77777777" w:rsidR="00D06200" w:rsidRPr="00D06200" w:rsidRDefault="00D06200" w:rsidP="00D06200">
            <w:pPr>
              <w:pStyle w:val="Odstavecseseznamem"/>
              <w:numPr>
                <w:ilvl w:val="0"/>
                <w:numId w:val="1"/>
              </w:numPr>
              <w:spacing w:line="360" w:lineRule="auto"/>
              <w:jc w:val="both"/>
              <w:rPr>
                <w:rFonts w:ascii="Arial" w:hAnsi="Arial" w:cs="Arial"/>
                <w:bCs/>
                <w:color w:val="0F0D29" w:themeColor="text1"/>
                <w:sz w:val="20"/>
                <w:szCs w:val="20"/>
              </w:rPr>
            </w:pPr>
            <w:r w:rsidRPr="00D06200">
              <w:rPr>
                <w:rFonts w:ascii="Arial" w:hAnsi="Arial" w:cs="Arial"/>
                <w:bCs/>
                <w:color w:val="0F0D29" w:themeColor="text1"/>
                <w:sz w:val="20"/>
                <w:szCs w:val="20"/>
              </w:rPr>
              <w:t>Návrh nařízení vlády, kterým se mění nařízení vlády č. 481/2012 Sb., o omezení používání některých nebezpečných látek v elektrických a elektronických zařízeních, ve znění pozdějších předpisů</w:t>
            </w:r>
          </w:p>
          <w:p w14:paraId="057A270E" w14:textId="02461921" w:rsidR="00D06200" w:rsidRDefault="00D06200" w:rsidP="00D06200">
            <w:pPr>
              <w:pStyle w:val="Odstavecseseznamem"/>
              <w:numPr>
                <w:ilvl w:val="0"/>
                <w:numId w:val="1"/>
              </w:numPr>
              <w:spacing w:line="360" w:lineRule="auto"/>
              <w:jc w:val="both"/>
              <w:rPr>
                <w:rFonts w:ascii="Arial" w:hAnsi="Arial" w:cs="Arial"/>
                <w:bCs/>
                <w:color w:val="0F0D29" w:themeColor="text1"/>
                <w:sz w:val="20"/>
                <w:szCs w:val="20"/>
              </w:rPr>
            </w:pPr>
            <w:r w:rsidRPr="00D06200">
              <w:rPr>
                <w:rFonts w:ascii="Arial" w:hAnsi="Arial" w:cs="Arial"/>
                <w:bCs/>
                <w:color w:val="0F0D29" w:themeColor="text1"/>
                <w:sz w:val="20"/>
                <w:szCs w:val="20"/>
              </w:rPr>
              <w:t>Návrh zákona o požadavcích na přístupnost služeb</w:t>
            </w:r>
          </w:p>
          <w:p w14:paraId="563EAC14" w14:textId="4892247B" w:rsidR="000472DA" w:rsidRDefault="000472DA" w:rsidP="00D06200">
            <w:pPr>
              <w:pStyle w:val="Odstavecseseznamem"/>
              <w:numPr>
                <w:ilvl w:val="0"/>
                <w:numId w:val="1"/>
              </w:numPr>
              <w:spacing w:line="360" w:lineRule="auto"/>
              <w:jc w:val="both"/>
              <w:rPr>
                <w:rFonts w:ascii="Arial" w:hAnsi="Arial" w:cs="Arial"/>
                <w:bCs/>
                <w:color w:val="0F0D29" w:themeColor="text1"/>
                <w:sz w:val="20"/>
                <w:szCs w:val="20"/>
              </w:rPr>
            </w:pPr>
            <w:r w:rsidRPr="000472DA">
              <w:rPr>
                <w:rFonts w:ascii="Arial" w:hAnsi="Arial" w:cs="Arial"/>
                <w:bCs/>
                <w:color w:val="0F0D29" w:themeColor="text1"/>
                <w:sz w:val="20"/>
                <w:szCs w:val="20"/>
              </w:rPr>
              <w:t>Návrh zákona o ochraně oznamovatelů</w:t>
            </w:r>
          </w:p>
          <w:p w14:paraId="298E55A2" w14:textId="51D76F4C" w:rsidR="000472DA" w:rsidRPr="009F2434" w:rsidRDefault="000472DA" w:rsidP="00D06200">
            <w:pPr>
              <w:pStyle w:val="Odstavecseseznamem"/>
              <w:numPr>
                <w:ilvl w:val="0"/>
                <w:numId w:val="1"/>
              </w:numPr>
              <w:spacing w:line="360" w:lineRule="auto"/>
              <w:jc w:val="both"/>
              <w:rPr>
                <w:rFonts w:ascii="Arial" w:hAnsi="Arial" w:cs="Arial"/>
                <w:bCs/>
                <w:color w:val="0F0D29" w:themeColor="text1"/>
                <w:sz w:val="20"/>
                <w:szCs w:val="20"/>
              </w:rPr>
            </w:pPr>
            <w:r w:rsidRPr="000472DA">
              <w:rPr>
                <w:rFonts w:ascii="Arial" w:hAnsi="Arial" w:cs="Arial"/>
                <w:bCs/>
                <w:color w:val="0F0D29" w:themeColor="text1"/>
                <w:sz w:val="20"/>
                <w:szCs w:val="20"/>
              </w:rPr>
              <w:t>Návrh zákona, kterým se mění některé zákony v souvislosti s přijetím zákona o ochraně oznamovatelů</w:t>
            </w:r>
          </w:p>
          <w:p w14:paraId="5BEEFD3A" w14:textId="77777777" w:rsidR="00815900" w:rsidRPr="005078C0" w:rsidRDefault="00815900" w:rsidP="008E3CAD">
            <w:pPr>
              <w:pStyle w:val="Bezmezer"/>
              <w:spacing w:line="360" w:lineRule="auto"/>
              <w:ind w:left="720"/>
              <w:jc w:val="both"/>
              <w:rPr>
                <w:rFonts w:ascii="Arial" w:hAnsi="Arial" w:cs="Arial"/>
                <w:b/>
                <w:color w:val="0F0D29" w:themeColor="text1"/>
                <w:sz w:val="18"/>
                <w:szCs w:val="18"/>
              </w:rPr>
            </w:pPr>
          </w:p>
          <w:p w14:paraId="118937B2" w14:textId="24983B9D" w:rsidR="0014703E" w:rsidRDefault="0014703E" w:rsidP="008E3CAD">
            <w:pPr>
              <w:pStyle w:val="Bezmezer"/>
              <w:spacing w:line="360" w:lineRule="auto"/>
              <w:jc w:val="both"/>
              <w:rPr>
                <w:rFonts w:ascii="Arial" w:hAnsi="Arial" w:cs="Arial"/>
                <w:b/>
                <w:color w:val="0F0D29" w:themeColor="text1"/>
                <w:sz w:val="24"/>
                <w:szCs w:val="24"/>
              </w:rPr>
            </w:pPr>
            <w:r w:rsidRPr="005078C0">
              <w:rPr>
                <w:rFonts w:ascii="Arial" w:hAnsi="Arial" w:cs="Arial"/>
                <w:b/>
                <w:color w:val="0F0D29" w:themeColor="text1"/>
                <w:sz w:val="24"/>
                <w:szCs w:val="24"/>
              </w:rPr>
              <w:t>III. Judikatura a stanoviska</w:t>
            </w:r>
          </w:p>
          <w:p w14:paraId="41DDCEBE" w14:textId="393C63AF" w:rsidR="00E67A9D" w:rsidRDefault="00BB4079" w:rsidP="00E67A9D">
            <w:pPr>
              <w:pStyle w:val="Odstavecseseznamem"/>
              <w:numPr>
                <w:ilvl w:val="0"/>
                <w:numId w:val="1"/>
              </w:numPr>
              <w:spacing w:line="360" w:lineRule="auto"/>
              <w:jc w:val="both"/>
              <w:rPr>
                <w:rFonts w:ascii="Arial" w:hAnsi="Arial" w:cs="Arial"/>
                <w:bCs/>
                <w:color w:val="0F0D29" w:themeColor="text1"/>
                <w:sz w:val="20"/>
                <w:szCs w:val="20"/>
              </w:rPr>
            </w:pPr>
            <w:r w:rsidRPr="00BB4079">
              <w:rPr>
                <w:rFonts w:ascii="Arial" w:hAnsi="Arial" w:cs="Arial"/>
                <w:bCs/>
                <w:color w:val="0F0D29" w:themeColor="text1"/>
                <w:sz w:val="20"/>
                <w:szCs w:val="20"/>
              </w:rPr>
              <w:t>Nepeněžní plnění ve formě benefitu od zaměstnavatele</w:t>
            </w:r>
          </w:p>
          <w:p w14:paraId="6D992471" w14:textId="5E98E5A9" w:rsidR="00B47818" w:rsidRDefault="009915F2" w:rsidP="00E67A9D">
            <w:pPr>
              <w:pStyle w:val="Odstavecseseznamem"/>
              <w:numPr>
                <w:ilvl w:val="0"/>
                <w:numId w:val="1"/>
              </w:numPr>
              <w:spacing w:line="360" w:lineRule="auto"/>
              <w:jc w:val="both"/>
              <w:rPr>
                <w:rFonts w:ascii="Arial" w:hAnsi="Arial" w:cs="Arial"/>
                <w:bCs/>
                <w:color w:val="0F0D29" w:themeColor="text1"/>
                <w:sz w:val="20"/>
                <w:szCs w:val="20"/>
              </w:rPr>
            </w:pPr>
            <w:r>
              <w:rPr>
                <w:rFonts w:ascii="Arial" w:hAnsi="Arial" w:cs="Arial"/>
                <w:bCs/>
                <w:color w:val="0F0D29" w:themeColor="text1"/>
                <w:sz w:val="20"/>
                <w:szCs w:val="20"/>
              </w:rPr>
              <w:t>Právní domněnky ve smluvní dokumentaci</w:t>
            </w:r>
          </w:p>
          <w:p w14:paraId="2AAF6820" w14:textId="4C4BBFCB" w:rsidR="004646E1" w:rsidRDefault="004646E1" w:rsidP="00E67A9D">
            <w:pPr>
              <w:pStyle w:val="Odstavecseseznamem"/>
              <w:numPr>
                <w:ilvl w:val="0"/>
                <w:numId w:val="1"/>
              </w:numPr>
              <w:spacing w:line="360" w:lineRule="auto"/>
              <w:jc w:val="both"/>
              <w:rPr>
                <w:rFonts w:ascii="Arial" w:hAnsi="Arial" w:cs="Arial"/>
                <w:bCs/>
                <w:color w:val="0F0D29" w:themeColor="text1"/>
                <w:sz w:val="20"/>
                <w:szCs w:val="20"/>
              </w:rPr>
            </w:pPr>
            <w:r>
              <w:rPr>
                <w:rFonts w:ascii="Arial" w:hAnsi="Arial" w:cs="Arial"/>
                <w:bCs/>
                <w:color w:val="0F0D29" w:themeColor="text1"/>
                <w:sz w:val="20"/>
                <w:szCs w:val="20"/>
              </w:rPr>
              <w:t>Zadržení věci věřitelem</w:t>
            </w:r>
          </w:p>
          <w:p w14:paraId="11099F99" w14:textId="16DB258E" w:rsidR="00E702E0" w:rsidRDefault="00E702E0" w:rsidP="00E67A9D">
            <w:pPr>
              <w:pStyle w:val="Odstavecseseznamem"/>
              <w:numPr>
                <w:ilvl w:val="0"/>
                <w:numId w:val="1"/>
              </w:numPr>
              <w:spacing w:line="360" w:lineRule="auto"/>
              <w:jc w:val="both"/>
              <w:rPr>
                <w:rFonts w:ascii="Arial" w:hAnsi="Arial" w:cs="Arial"/>
                <w:bCs/>
                <w:color w:val="0F0D29" w:themeColor="text1"/>
                <w:sz w:val="20"/>
                <w:szCs w:val="20"/>
              </w:rPr>
            </w:pPr>
            <w:r w:rsidRPr="00E702E0">
              <w:rPr>
                <w:rFonts w:ascii="Arial" w:hAnsi="Arial" w:cs="Arial"/>
                <w:bCs/>
                <w:color w:val="0F0D29" w:themeColor="text1"/>
                <w:sz w:val="20"/>
                <w:szCs w:val="20"/>
              </w:rPr>
              <w:t>Škoda způsobená porušením kontraktační povinnosti vybraného dodavatele</w:t>
            </w:r>
          </w:p>
          <w:p w14:paraId="5184ED24" w14:textId="7344ED2F" w:rsidR="00142E9F" w:rsidRPr="00EB0E41" w:rsidRDefault="00142E9F" w:rsidP="00E67A9D">
            <w:pPr>
              <w:pStyle w:val="Odstavecseseznamem"/>
              <w:numPr>
                <w:ilvl w:val="0"/>
                <w:numId w:val="1"/>
              </w:numPr>
              <w:spacing w:line="360" w:lineRule="auto"/>
              <w:jc w:val="both"/>
              <w:rPr>
                <w:rFonts w:ascii="Arial" w:hAnsi="Arial" w:cs="Arial"/>
                <w:bCs/>
                <w:color w:val="0F0D29" w:themeColor="text1"/>
                <w:sz w:val="20"/>
                <w:szCs w:val="20"/>
              </w:rPr>
            </w:pPr>
            <w:r w:rsidRPr="00EB0E41">
              <w:rPr>
                <w:rFonts w:ascii="Arial" w:hAnsi="Arial" w:cs="Arial"/>
                <w:bCs/>
                <w:color w:val="0F0D29" w:themeColor="text1"/>
                <w:sz w:val="20"/>
                <w:szCs w:val="20"/>
              </w:rPr>
              <w:t>Prostý</w:t>
            </w:r>
            <w:r w:rsidRPr="00EB0E41">
              <w:rPr>
                <w:rFonts w:ascii="Arial" w:hAnsi="Arial" w:cs="Arial"/>
                <w:sz w:val="20"/>
                <w:szCs w:val="20"/>
              </w:rPr>
              <w:t xml:space="preserve"> elektronický podpis v soudní praxi</w:t>
            </w:r>
          </w:p>
          <w:p w14:paraId="364C0A94" w14:textId="63C0986B" w:rsidR="00EB0E41" w:rsidRPr="00E67A9D" w:rsidRDefault="00EB0E41" w:rsidP="00E67A9D">
            <w:pPr>
              <w:pStyle w:val="Odstavecseseznamem"/>
              <w:numPr>
                <w:ilvl w:val="0"/>
                <w:numId w:val="1"/>
              </w:numPr>
              <w:spacing w:line="360" w:lineRule="auto"/>
              <w:jc w:val="both"/>
              <w:rPr>
                <w:rFonts w:ascii="Arial" w:hAnsi="Arial" w:cs="Arial"/>
                <w:bCs/>
                <w:color w:val="0F0D29" w:themeColor="text1"/>
                <w:sz w:val="20"/>
                <w:szCs w:val="20"/>
              </w:rPr>
            </w:pPr>
            <w:r w:rsidRPr="00EB0E41">
              <w:rPr>
                <w:rFonts w:ascii="Arial" w:hAnsi="Arial" w:cs="Arial"/>
                <w:bCs/>
                <w:color w:val="0F0D29" w:themeColor="text1"/>
                <w:sz w:val="20"/>
                <w:szCs w:val="20"/>
              </w:rPr>
              <w:t>Metrostav a uložení trestu zákazu plnění veřejných zakázek</w:t>
            </w:r>
          </w:p>
          <w:p w14:paraId="44C1E628" w14:textId="04EE0B2E" w:rsidR="00815900" w:rsidRDefault="00815900" w:rsidP="008E3CAD">
            <w:pPr>
              <w:pStyle w:val="Bezmezer"/>
              <w:spacing w:line="360" w:lineRule="auto"/>
              <w:jc w:val="both"/>
              <w:rPr>
                <w:rFonts w:ascii="Arial" w:hAnsi="Arial" w:cs="Arial"/>
                <w:b/>
                <w:color w:val="0F0D29" w:themeColor="text1"/>
              </w:rPr>
            </w:pPr>
          </w:p>
          <w:p w14:paraId="3B2F9BAF" w14:textId="2C74565A" w:rsidR="00BB4079" w:rsidRDefault="00BB4079" w:rsidP="008E3CAD">
            <w:pPr>
              <w:pStyle w:val="Bezmezer"/>
              <w:spacing w:line="360" w:lineRule="auto"/>
              <w:jc w:val="both"/>
              <w:rPr>
                <w:rFonts w:ascii="Arial" w:hAnsi="Arial" w:cs="Arial"/>
                <w:b/>
                <w:color w:val="0F0D29" w:themeColor="text1"/>
              </w:rPr>
            </w:pPr>
          </w:p>
          <w:p w14:paraId="06218301" w14:textId="4EAB7BB4" w:rsidR="00BB4079" w:rsidRDefault="00BB4079" w:rsidP="008E3CAD">
            <w:pPr>
              <w:pStyle w:val="Bezmezer"/>
              <w:spacing w:line="360" w:lineRule="auto"/>
              <w:jc w:val="both"/>
              <w:rPr>
                <w:rFonts w:ascii="Arial" w:hAnsi="Arial" w:cs="Arial"/>
                <w:b/>
                <w:color w:val="0F0D29" w:themeColor="text1"/>
              </w:rPr>
            </w:pPr>
          </w:p>
          <w:p w14:paraId="23B58707" w14:textId="482264B5" w:rsidR="00BB4079" w:rsidRDefault="00BB4079" w:rsidP="008E3CAD">
            <w:pPr>
              <w:pStyle w:val="Bezmezer"/>
              <w:spacing w:line="360" w:lineRule="auto"/>
              <w:jc w:val="both"/>
              <w:rPr>
                <w:rFonts w:ascii="Arial" w:hAnsi="Arial" w:cs="Arial"/>
                <w:b/>
                <w:color w:val="0F0D29" w:themeColor="text1"/>
              </w:rPr>
            </w:pPr>
          </w:p>
          <w:p w14:paraId="6A7E3E61" w14:textId="082C0C26" w:rsidR="00D97B4A" w:rsidRDefault="00D97B4A" w:rsidP="008E3CAD">
            <w:pPr>
              <w:pStyle w:val="Bezmezer"/>
              <w:spacing w:line="360" w:lineRule="auto"/>
              <w:jc w:val="both"/>
              <w:rPr>
                <w:rFonts w:ascii="Arial" w:hAnsi="Arial" w:cs="Arial"/>
                <w:b/>
                <w:color w:val="0F0D29" w:themeColor="text1"/>
              </w:rPr>
            </w:pPr>
          </w:p>
          <w:p w14:paraId="1CDAB96A" w14:textId="77777777" w:rsidR="00D97B4A" w:rsidRDefault="00D97B4A" w:rsidP="008E3CAD">
            <w:pPr>
              <w:pStyle w:val="Bezmezer"/>
              <w:spacing w:line="360" w:lineRule="auto"/>
              <w:jc w:val="both"/>
              <w:rPr>
                <w:rFonts w:ascii="Arial" w:hAnsi="Arial" w:cs="Arial"/>
                <w:b/>
                <w:color w:val="0F0D29" w:themeColor="text1"/>
              </w:rPr>
            </w:pPr>
          </w:p>
          <w:p w14:paraId="431CD533" w14:textId="442BEBBB" w:rsidR="00BB4079" w:rsidRDefault="00BB4079" w:rsidP="008E3CAD">
            <w:pPr>
              <w:pStyle w:val="Bezmezer"/>
              <w:spacing w:line="360" w:lineRule="auto"/>
              <w:jc w:val="both"/>
              <w:rPr>
                <w:rFonts w:ascii="Arial" w:hAnsi="Arial" w:cs="Arial"/>
                <w:b/>
                <w:color w:val="0F0D29" w:themeColor="text1"/>
              </w:rPr>
            </w:pPr>
          </w:p>
          <w:p w14:paraId="63FF357B" w14:textId="50B393A3" w:rsidR="00BB4079" w:rsidRDefault="00BB4079" w:rsidP="008E3CAD">
            <w:pPr>
              <w:pStyle w:val="Bezmezer"/>
              <w:spacing w:line="360" w:lineRule="auto"/>
              <w:jc w:val="both"/>
              <w:rPr>
                <w:rFonts w:ascii="Arial" w:hAnsi="Arial" w:cs="Arial"/>
                <w:b/>
                <w:color w:val="0F0D29" w:themeColor="text1"/>
              </w:rPr>
            </w:pPr>
          </w:p>
          <w:p w14:paraId="1433B9E5" w14:textId="1F6F4C54" w:rsidR="00BB4079" w:rsidRDefault="00BB4079" w:rsidP="008E3CAD">
            <w:pPr>
              <w:pStyle w:val="Bezmezer"/>
              <w:spacing w:line="360" w:lineRule="auto"/>
              <w:jc w:val="both"/>
              <w:rPr>
                <w:rFonts w:ascii="Arial" w:hAnsi="Arial" w:cs="Arial"/>
                <w:b/>
                <w:color w:val="0F0D29" w:themeColor="text1"/>
              </w:rPr>
            </w:pPr>
          </w:p>
          <w:p w14:paraId="0BCFE698" w14:textId="41CE11E9" w:rsidR="00BB4079" w:rsidRDefault="00BB4079" w:rsidP="008E3CAD">
            <w:pPr>
              <w:pStyle w:val="Bezmezer"/>
              <w:spacing w:line="360" w:lineRule="auto"/>
              <w:jc w:val="both"/>
              <w:rPr>
                <w:rFonts w:ascii="Arial" w:hAnsi="Arial" w:cs="Arial"/>
                <w:b/>
                <w:color w:val="0F0D29" w:themeColor="text1"/>
              </w:rPr>
            </w:pPr>
          </w:p>
          <w:p w14:paraId="1991F66E" w14:textId="0FA7AB30" w:rsidR="00BB4079" w:rsidRDefault="00BB4079" w:rsidP="008E3CAD">
            <w:pPr>
              <w:pStyle w:val="Bezmezer"/>
              <w:spacing w:line="360" w:lineRule="auto"/>
              <w:jc w:val="both"/>
              <w:rPr>
                <w:rFonts w:ascii="Arial" w:hAnsi="Arial" w:cs="Arial"/>
                <w:b/>
                <w:color w:val="0F0D29" w:themeColor="text1"/>
              </w:rPr>
            </w:pPr>
          </w:p>
          <w:p w14:paraId="2E5F0005" w14:textId="0D908068" w:rsidR="00BB4079" w:rsidRDefault="00BB4079" w:rsidP="008E3CAD">
            <w:pPr>
              <w:pStyle w:val="Bezmezer"/>
              <w:spacing w:line="360" w:lineRule="auto"/>
              <w:jc w:val="both"/>
              <w:rPr>
                <w:rFonts w:ascii="Arial" w:hAnsi="Arial" w:cs="Arial"/>
                <w:b/>
                <w:color w:val="0F0D29" w:themeColor="text1"/>
              </w:rPr>
            </w:pPr>
          </w:p>
          <w:p w14:paraId="7B9ADF48" w14:textId="7F74D4A0" w:rsidR="00BB4079" w:rsidRDefault="00BB4079" w:rsidP="008E3CAD">
            <w:pPr>
              <w:pStyle w:val="Bezmezer"/>
              <w:spacing w:line="360" w:lineRule="auto"/>
              <w:jc w:val="both"/>
              <w:rPr>
                <w:rFonts w:ascii="Arial" w:hAnsi="Arial" w:cs="Arial"/>
                <w:b/>
                <w:color w:val="0F0D29" w:themeColor="text1"/>
              </w:rPr>
            </w:pPr>
          </w:p>
          <w:p w14:paraId="400DE78D" w14:textId="7078D593" w:rsidR="00BB4079" w:rsidRDefault="00BB4079" w:rsidP="008E3CAD">
            <w:pPr>
              <w:pStyle w:val="Bezmezer"/>
              <w:spacing w:line="360" w:lineRule="auto"/>
              <w:jc w:val="both"/>
              <w:rPr>
                <w:rFonts w:ascii="Arial" w:hAnsi="Arial" w:cs="Arial"/>
                <w:b/>
                <w:color w:val="0F0D29" w:themeColor="text1"/>
              </w:rPr>
            </w:pPr>
          </w:p>
          <w:p w14:paraId="6ED62FA4" w14:textId="77777777" w:rsidR="0014703E" w:rsidRPr="005078C0" w:rsidRDefault="0014703E" w:rsidP="005078C0">
            <w:pPr>
              <w:pStyle w:val="Bezmezer"/>
              <w:numPr>
                <w:ilvl w:val="0"/>
                <w:numId w:val="4"/>
              </w:numP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lastRenderedPageBreak/>
              <w:t>Platné právní předpisy vyhlášené ve Sbírce zákonů</w:t>
            </w:r>
          </w:p>
          <w:p w14:paraId="5081D4CD" w14:textId="47A2F9AF" w:rsidR="00BF66CB" w:rsidRDefault="00BF66CB" w:rsidP="00BF66CB">
            <w:pPr>
              <w:pStyle w:val="Bezmezer"/>
              <w:spacing w:line="360" w:lineRule="auto"/>
              <w:rPr>
                <w:rStyle w:val="Hypertextovodkaz"/>
                <w:rFonts w:ascii="Arial" w:eastAsia="Times New Roman" w:hAnsi="Arial" w:cs="Arial"/>
                <w:b/>
                <w:bCs/>
                <w:color w:val="0F0D29" w:themeColor="text1"/>
                <w:kern w:val="36"/>
                <w:sz w:val="24"/>
                <w:szCs w:val="24"/>
                <w:lang w:eastAsia="cs-CZ"/>
              </w:rPr>
            </w:pPr>
          </w:p>
          <w:p w14:paraId="525192D4" w14:textId="30E04A3B" w:rsidR="006E530F" w:rsidRPr="006E530F" w:rsidRDefault="006E530F" w:rsidP="006E530F">
            <w:pPr>
              <w:pStyle w:val="Bezmezer"/>
              <w:spacing w:line="360" w:lineRule="auto"/>
              <w:jc w:val="center"/>
              <w:rPr>
                <w:rStyle w:val="Hypertextovodkaz"/>
                <w:rFonts w:ascii="Arial" w:eastAsia="Times New Roman" w:hAnsi="Arial" w:cs="Arial"/>
                <w:b/>
                <w:bCs/>
                <w:color w:val="0F0D29" w:themeColor="text1"/>
                <w:kern w:val="36"/>
                <w:sz w:val="24"/>
                <w:szCs w:val="24"/>
                <w:u w:val="none"/>
                <w:lang w:eastAsia="cs-CZ"/>
              </w:rPr>
            </w:pPr>
            <w:r w:rsidRPr="006E530F">
              <w:rPr>
                <w:rStyle w:val="Hypertextovodkaz"/>
                <w:rFonts w:ascii="Arial" w:eastAsia="Times New Roman" w:hAnsi="Arial" w:cs="Arial"/>
                <w:b/>
                <w:bCs/>
                <w:color w:val="0F0D29" w:themeColor="text1"/>
                <w:kern w:val="36"/>
                <w:sz w:val="24"/>
                <w:szCs w:val="24"/>
                <w:u w:val="none"/>
                <w:lang w:eastAsia="cs-CZ"/>
              </w:rPr>
              <w:t>NAŘÍZENÍ RADY (EU) 2022/576 ze dne 8. dubna 2022, kterým se mění nařízení (EU) č. 833/2014 o omezujících opatřeních vzhledem k činnostem Ruska destabilizujícím situaci na Ukrajině</w:t>
            </w:r>
            <w:r w:rsidR="00EF6723">
              <w:rPr>
                <w:rStyle w:val="Hypertextovodkaz"/>
                <w:rFonts w:ascii="Arial" w:eastAsia="Times New Roman" w:hAnsi="Arial" w:cs="Arial"/>
                <w:b/>
                <w:bCs/>
                <w:color w:val="0F0D29" w:themeColor="text1"/>
                <w:kern w:val="36"/>
                <w:sz w:val="24"/>
                <w:szCs w:val="24"/>
                <w:u w:val="none"/>
                <w:lang w:eastAsia="cs-CZ"/>
              </w:rPr>
              <w:pict w14:anchorId="412B3014">
                <v:rect id="_x0000_i1026" style="width:0;height:1.5pt" o:hralign="center" o:hrstd="t" o:hr="t" fillcolor="#a0a0a0" stroked="f"/>
              </w:pict>
            </w:r>
          </w:p>
          <w:p w14:paraId="3BEB4A33" w14:textId="77777777" w:rsidR="006E530F" w:rsidRPr="006E530F" w:rsidRDefault="006E530F"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r w:rsidRPr="006E530F">
              <w:rPr>
                <w:rFonts w:asciiTheme="majorHAnsi" w:hAnsiTheme="majorHAnsi" w:cstheme="majorHAnsi"/>
                <w:color w:val="3B3B3B"/>
                <w:sz w:val="20"/>
                <w:szCs w:val="20"/>
              </w:rPr>
              <w:t>Rada EU rozhodla o </w:t>
            </w:r>
            <w:r w:rsidRPr="006E530F">
              <w:rPr>
                <w:rStyle w:val="Siln"/>
                <w:rFonts w:asciiTheme="majorHAnsi" w:hAnsiTheme="majorHAnsi" w:cstheme="majorHAnsi"/>
                <w:color w:val="3B3B3B"/>
                <w:sz w:val="20"/>
                <w:szCs w:val="20"/>
              </w:rPr>
              <w:t>uvalení dalších ekonomických a individuálních sankcí proti Rusku a Bělorusku </w:t>
            </w:r>
            <w:r w:rsidRPr="006E530F">
              <w:rPr>
                <w:rFonts w:asciiTheme="majorHAnsi" w:hAnsiTheme="majorHAnsi" w:cstheme="majorHAnsi"/>
                <w:color w:val="3B3B3B"/>
                <w:sz w:val="20"/>
                <w:szCs w:val="20"/>
              </w:rPr>
              <w:t>v rámci tzv. 5. sankčního balíčku, který obsahuje tato omezující opatření:</w:t>
            </w:r>
          </w:p>
          <w:p w14:paraId="4C8A6191" w14:textId="77777777" w:rsidR="006E530F" w:rsidRPr="006E530F" w:rsidRDefault="006E530F" w:rsidP="006E530F">
            <w:pPr>
              <w:pStyle w:val="text-large"/>
              <w:numPr>
                <w:ilvl w:val="0"/>
                <w:numId w:val="19"/>
              </w:numPr>
              <w:shd w:val="clear" w:color="auto" w:fill="FFFFFF"/>
              <w:spacing w:line="408" w:lineRule="atLeast"/>
              <w:rPr>
                <w:rFonts w:asciiTheme="majorHAnsi" w:hAnsiTheme="majorHAnsi" w:cstheme="majorHAnsi"/>
                <w:color w:val="3B3B3B"/>
                <w:sz w:val="20"/>
                <w:szCs w:val="20"/>
              </w:rPr>
            </w:pPr>
            <w:r w:rsidRPr="006E530F">
              <w:rPr>
                <w:rStyle w:val="Siln"/>
                <w:rFonts w:asciiTheme="majorHAnsi" w:hAnsiTheme="majorHAnsi" w:cstheme="majorHAnsi"/>
                <w:color w:val="3B3B3B"/>
                <w:sz w:val="20"/>
                <w:szCs w:val="20"/>
              </w:rPr>
              <w:t>Od srpna 2022</w:t>
            </w:r>
            <w:r w:rsidRPr="006E530F">
              <w:rPr>
                <w:rFonts w:asciiTheme="majorHAnsi" w:hAnsiTheme="majorHAnsi" w:cstheme="majorHAnsi"/>
                <w:color w:val="3B3B3B"/>
                <w:sz w:val="20"/>
                <w:szCs w:val="20"/>
              </w:rPr>
              <w:t> začne platit </w:t>
            </w:r>
            <w:r w:rsidRPr="006E530F">
              <w:rPr>
                <w:rStyle w:val="Siln"/>
                <w:rFonts w:asciiTheme="majorHAnsi" w:hAnsiTheme="majorHAnsi" w:cstheme="majorHAnsi"/>
                <w:color w:val="3B3B3B"/>
                <w:sz w:val="20"/>
                <w:szCs w:val="20"/>
              </w:rPr>
              <w:t>zákaz nákupu, dovozu nebo převodu uhlí a jiných pevných fosilních paliv do EU</w:t>
            </w:r>
            <w:r w:rsidRPr="006E530F">
              <w:rPr>
                <w:rFonts w:asciiTheme="majorHAnsi" w:hAnsiTheme="majorHAnsi" w:cstheme="majorHAnsi"/>
                <w:color w:val="3B3B3B"/>
                <w:sz w:val="20"/>
                <w:szCs w:val="20"/>
              </w:rPr>
              <w:t>, pokud pocházejí z Ruska nebo jsou z Ruska vyváženy</w:t>
            </w:r>
          </w:p>
          <w:p w14:paraId="73CDC5C0" w14:textId="77777777" w:rsidR="006E530F" w:rsidRPr="006E530F" w:rsidRDefault="006E530F" w:rsidP="006E530F">
            <w:pPr>
              <w:pStyle w:val="text-large"/>
              <w:numPr>
                <w:ilvl w:val="0"/>
                <w:numId w:val="19"/>
              </w:numPr>
              <w:shd w:val="clear" w:color="auto" w:fill="FFFFFF"/>
              <w:spacing w:line="408" w:lineRule="atLeast"/>
              <w:rPr>
                <w:rFonts w:asciiTheme="majorHAnsi" w:hAnsiTheme="majorHAnsi" w:cstheme="majorHAnsi"/>
                <w:color w:val="3B3B3B"/>
                <w:sz w:val="20"/>
                <w:szCs w:val="20"/>
              </w:rPr>
            </w:pPr>
            <w:r w:rsidRPr="006E530F">
              <w:rPr>
                <w:rStyle w:val="Siln"/>
                <w:rFonts w:asciiTheme="majorHAnsi" w:hAnsiTheme="majorHAnsi" w:cstheme="majorHAnsi"/>
                <w:color w:val="3B3B3B"/>
                <w:sz w:val="20"/>
                <w:szCs w:val="20"/>
              </w:rPr>
              <w:t>Zákaz poskytovat přístup do přístavů EU plavidlům registrovaným v Rusku</w:t>
            </w:r>
            <w:r w:rsidRPr="006E530F">
              <w:rPr>
                <w:rFonts w:asciiTheme="majorHAnsi" w:hAnsiTheme="majorHAnsi" w:cstheme="majorHAnsi"/>
                <w:color w:val="3B3B3B"/>
                <w:sz w:val="20"/>
                <w:szCs w:val="20"/>
              </w:rPr>
              <w:t>. Výjimky se uplatní pro zemědělské produkty a potravinářské produkty, humanitární pomoc a energii.</w:t>
            </w:r>
          </w:p>
          <w:p w14:paraId="38283AEE" w14:textId="77777777" w:rsidR="006E530F" w:rsidRPr="006E530F" w:rsidRDefault="006E530F" w:rsidP="006E530F">
            <w:pPr>
              <w:pStyle w:val="text-large"/>
              <w:numPr>
                <w:ilvl w:val="0"/>
                <w:numId w:val="19"/>
              </w:numPr>
              <w:shd w:val="clear" w:color="auto" w:fill="FFFFFF"/>
              <w:spacing w:line="408" w:lineRule="atLeast"/>
              <w:rPr>
                <w:rFonts w:asciiTheme="majorHAnsi" w:hAnsiTheme="majorHAnsi" w:cstheme="majorHAnsi"/>
                <w:color w:val="3B3B3B"/>
                <w:sz w:val="20"/>
                <w:szCs w:val="20"/>
              </w:rPr>
            </w:pPr>
            <w:r w:rsidRPr="006E530F">
              <w:rPr>
                <w:rStyle w:val="Siln"/>
                <w:rFonts w:asciiTheme="majorHAnsi" w:hAnsiTheme="majorHAnsi" w:cstheme="majorHAnsi"/>
                <w:color w:val="3B3B3B"/>
                <w:sz w:val="20"/>
                <w:szCs w:val="20"/>
              </w:rPr>
              <w:t>Zákaz silniční přepravy zboží v rámci EU, včetně tranzitu, pro jakoukoli ruskou a běloruskou společnost/podnik provozující silniční dopravu</w:t>
            </w:r>
            <w:r w:rsidRPr="006E530F">
              <w:rPr>
                <w:rFonts w:asciiTheme="majorHAnsi" w:hAnsiTheme="majorHAnsi" w:cstheme="majorHAnsi"/>
                <w:color w:val="3B3B3B"/>
                <w:sz w:val="20"/>
                <w:szCs w:val="20"/>
              </w:rPr>
              <w:t>. Udělení výjimky je možné pro silniční dopravu řady produktů, jako jsou farmaceutické, lékařské, zemědělské a potravinářské produkty, včetně pšenice, a také výjimka pro humanitární účely.</w:t>
            </w:r>
          </w:p>
          <w:p w14:paraId="7A6990C1" w14:textId="77777777" w:rsidR="006E530F" w:rsidRPr="006E530F" w:rsidRDefault="006E530F" w:rsidP="006E530F">
            <w:pPr>
              <w:pStyle w:val="text-large"/>
              <w:numPr>
                <w:ilvl w:val="0"/>
                <w:numId w:val="19"/>
              </w:numPr>
              <w:shd w:val="clear" w:color="auto" w:fill="FFFFFF"/>
              <w:spacing w:line="408" w:lineRule="atLeast"/>
              <w:rPr>
                <w:rFonts w:asciiTheme="majorHAnsi" w:hAnsiTheme="majorHAnsi" w:cstheme="majorHAnsi"/>
                <w:color w:val="3B3B3B"/>
                <w:sz w:val="20"/>
                <w:szCs w:val="20"/>
              </w:rPr>
            </w:pPr>
            <w:r w:rsidRPr="006E530F">
              <w:rPr>
                <w:rFonts w:asciiTheme="majorHAnsi" w:hAnsiTheme="majorHAnsi" w:cstheme="majorHAnsi"/>
                <w:color w:val="3B3B3B"/>
                <w:sz w:val="20"/>
                <w:szCs w:val="20"/>
              </w:rPr>
              <w:t>Další </w:t>
            </w:r>
            <w:r w:rsidRPr="006E530F">
              <w:rPr>
                <w:rStyle w:val="Siln"/>
                <w:rFonts w:asciiTheme="majorHAnsi" w:hAnsiTheme="majorHAnsi" w:cstheme="majorHAnsi"/>
                <w:color w:val="3B3B3B"/>
                <w:sz w:val="20"/>
                <w:szCs w:val="20"/>
              </w:rPr>
              <w:t>zákazy se týkají vývozu zaměřeného na tryskové palivo a na další zboží</w:t>
            </w:r>
            <w:r w:rsidRPr="006E530F">
              <w:rPr>
                <w:rFonts w:asciiTheme="majorHAnsi" w:hAnsiTheme="majorHAnsi" w:cstheme="majorHAnsi"/>
                <w:color w:val="3B3B3B"/>
                <w:sz w:val="20"/>
                <w:szCs w:val="20"/>
              </w:rPr>
              <w:t>, jako jsou kvantové počítače a pokročilé polovodiče, špičková elektronika, software, citlivé stroje a dopravní zařízení. Nové </w:t>
            </w:r>
            <w:r w:rsidRPr="006E530F">
              <w:rPr>
                <w:rStyle w:val="Siln"/>
                <w:rFonts w:asciiTheme="majorHAnsi" w:hAnsiTheme="majorHAnsi" w:cstheme="majorHAnsi"/>
                <w:color w:val="3B3B3B"/>
                <w:sz w:val="20"/>
                <w:szCs w:val="20"/>
              </w:rPr>
              <w:t>zákazy cílí na dovoz produktů</w:t>
            </w:r>
            <w:r w:rsidRPr="006E530F">
              <w:rPr>
                <w:rFonts w:asciiTheme="majorHAnsi" w:hAnsiTheme="majorHAnsi" w:cstheme="majorHAnsi"/>
                <w:color w:val="3B3B3B"/>
                <w:sz w:val="20"/>
                <w:szCs w:val="20"/>
              </w:rPr>
              <w:t>, jako je např. </w:t>
            </w:r>
            <w:r w:rsidRPr="006E530F">
              <w:rPr>
                <w:rStyle w:val="Siln"/>
                <w:rFonts w:asciiTheme="majorHAnsi" w:hAnsiTheme="majorHAnsi" w:cstheme="majorHAnsi"/>
                <w:color w:val="3B3B3B"/>
                <w:sz w:val="20"/>
                <w:szCs w:val="20"/>
              </w:rPr>
              <w:t>dřevo, cement, hnojiva, mořské plody a alkohol.</w:t>
            </w:r>
          </w:p>
          <w:p w14:paraId="3EE32337" w14:textId="77777777" w:rsidR="006E530F" w:rsidRPr="006E530F" w:rsidRDefault="006E530F" w:rsidP="006E530F">
            <w:pPr>
              <w:pStyle w:val="text-large"/>
              <w:numPr>
                <w:ilvl w:val="0"/>
                <w:numId w:val="19"/>
              </w:numPr>
              <w:shd w:val="clear" w:color="auto" w:fill="FFFFFF"/>
              <w:spacing w:line="408" w:lineRule="atLeast"/>
              <w:rPr>
                <w:rFonts w:asciiTheme="majorHAnsi" w:hAnsiTheme="majorHAnsi" w:cstheme="majorHAnsi"/>
                <w:color w:val="3B3B3B"/>
                <w:sz w:val="20"/>
                <w:szCs w:val="20"/>
              </w:rPr>
            </w:pPr>
            <w:r w:rsidRPr="006E530F">
              <w:rPr>
                <w:rFonts w:asciiTheme="majorHAnsi" w:hAnsiTheme="majorHAnsi" w:cstheme="majorHAnsi"/>
                <w:color w:val="3B3B3B"/>
                <w:sz w:val="20"/>
                <w:szCs w:val="20"/>
              </w:rPr>
              <w:t>Posílení stávajících cílených ekonomických opatření a odstranění mezer je zaměřeno na všeobecný unijní </w:t>
            </w:r>
            <w:r w:rsidRPr="006E530F">
              <w:rPr>
                <w:rStyle w:val="Siln"/>
                <w:rFonts w:asciiTheme="majorHAnsi" w:hAnsiTheme="majorHAnsi" w:cstheme="majorHAnsi"/>
                <w:color w:val="3B3B3B"/>
                <w:sz w:val="20"/>
                <w:szCs w:val="20"/>
              </w:rPr>
              <w:t>zákaz účasti ruských společností na veřejných zakázkách v členských státech a vyloučení veškeré finanční podpory ruským veřejným orgánům</w:t>
            </w:r>
            <w:r w:rsidRPr="006E530F">
              <w:rPr>
                <w:rFonts w:asciiTheme="majorHAnsi" w:hAnsiTheme="majorHAnsi" w:cstheme="majorHAnsi"/>
                <w:color w:val="3B3B3B"/>
                <w:sz w:val="20"/>
                <w:szCs w:val="20"/>
              </w:rPr>
              <w:t>. Dále dochází k rozšíření </w:t>
            </w:r>
            <w:r w:rsidRPr="006E530F">
              <w:rPr>
                <w:rStyle w:val="Siln"/>
                <w:rFonts w:asciiTheme="majorHAnsi" w:hAnsiTheme="majorHAnsi" w:cstheme="majorHAnsi"/>
                <w:color w:val="3B3B3B"/>
                <w:sz w:val="20"/>
                <w:szCs w:val="20"/>
              </w:rPr>
              <w:t xml:space="preserve">zákazu přijímání vkladů i na peněženky </w:t>
            </w:r>
            <w:proofErr w:type="spellStart"/>
            <w:r w:rsidRPr="006E530F">
              <w:rPr>
                <w:rStyle w:val="Siln"/>
                <w:rFonts w:asciiTheme="majorHAnsi" w:hAnsiTheme="majorHAnsi" w:cstheme="majorHAnsi"/>
                <w:color w:val="3B3B3B"/>
                <w:sz w:val="20"/>
                <w:szCs w:val="20"/>
              </w:rPr>
              <w:t>kryptoaktiv</w:t>
            </w:r>
            <w:proofErr w:type="spellEnd"/>
            <w:r w:rsidRPr="006E530F">
              <w:rPr>
                <w:rStyle w:val="Siln"/>
                <w:rFonts w:asciiTheme="majorHAnsi" w:hAnsiTheme="majorHAnsi" w:cstheme="majorHAnsi"/>
                <w:color w:val="3B3B3B"/>
                <w:sz w:val="20"/>
                <w:szCs w:val="20"/>
              </w:rPr>
              <w:t xml:space="preserve"> a na účty s </w:t>
            </w:r>
            <w:proofErr w:type="spellStart"/>
            <w:r w:rsidRPr="006E530F">
              <w:rPr>
                <w:rStyle w:val="Siln"/>
                <w:rFonts w:asciiTheme="majorHAnsi" w:hAnsiTheme="majorHAnsi" w:cstheme="majorHAnsi"/>
                <w:color w:val="3B3B3B"/>
                <w:sz w:val="20"/>
                <w:szCs w:val="20"/>
              </w:rPr>
              <w:t>kryptoaktivy</w:t>
            </w:r>
            <w:proofErr w:type="spellEnd"/>
            <w:r w:rsidRPr="006E530F">
              <w:rPr>
                <w:rStyle w:val="Siln"/>
                <w:rFonts w:asciiTheme="majorHAnsi" w:hAnsiTheme="majorHAnsi" w:cstheme="majorHAnsi"/>
                <w:color w:val="3B3B3B"/>
                <w:sz w:val="20"/>
                <w:szCs w:val="20"/>
              </w:rPr>
              <w:t xml:space="preserve"> nebo jejich úschovu, pokud celková hodnota </w:t>
            </w:r>
            <w:proofErr w:type="spellStart"/>
            <w:r w:rsidRPr="006E530F">
              <w:rPr>
                <w:rStyle w:val="Siln"/>
                <w:rFonts w:asciiTheme="majorHAnsi" w:hAnsiTheme="majorHAnsi" w:cstheme="majorHAnsi"/>
                <w:color w:val="3B3B3B"/>
                <w:sz w:val="20"/>
                <w:szCs w:val="20"/>
              </w:rPr>
              <w:t>kryptoaktiv</w:t>
            </w:r>
            <w:proofErr w:type="spellEnd"/>
            <w:r w:rsidRPr="006E530F">
              <w:rPr>
                <w:rStyle w:val="Siln"/>
                <w:rFonts w:asciiTheme="majorHAnsi" w:hAnsiTheme="majorHAnsi" w:cstheme="majorHAnsi"/>
                <w:color w:val="3B3B3B"/>
                <w:sz w:val="20"/>
                <w:szCs w:val="20"/>
              </w:rPr>
              <w:t xml:space="preserve"> jedné fyzické nebo právnické osoby přesáhne 10.000 EUR</w:t>
            </w:r>
            <w:r w:rsidRPr="006E530F">
              <w:rPr>
                <w:rFonts w:asciiTheme="majorHAnsi" w:hAnsiTheme="majorHAnsi" w:cstheme="majorHAnsi"/>
                <w:color w:val="3B3B3B"/>
                <w:sz w:val="20"/>
                <w:szCs w:val="20"/>
              </w:rPr>
              <w:t>.  Rozšiřuje se původní </w:t>
            </w:r>
            <w:r w:rsidRPr="006E530F">
              <w:rPr>
                <w:rStyle w:val="Siln"/>
                <w:rFonts w:asciiTheme="majorHAnsi" w:hAnsiTheme="majorHAnsi" w:cstheme="majorHAnsi"/>
                <w:color w:val="3B3B3B"/>
                <w:sz w:val="20"/>
                <w:szCs w:val="20"/>
              </w:rPr>
              <w:t>zákaz vývozu</w:t>
            </w:r>
            <w:r w:rsidRPr="006E530F">
              <w:rPr>
                <w:rFonts w:asciiTheme="majorHAnsi" w:hAnsiTheme="majorHAnsi" w:cstheme="majorHAnsi"/>
                <w:color w:val="3B3B3B"/>
                <w:sz w:val="20"/>
                <w:szCs w:val="20"/>
              </w:rPr>
              <w:t> eurobankovek na </w:t>
            </w:r>
            <w:r w:rsidRPr="006E530F">
              <w:rPr>
                <w:rStyle w:val="Siln"/>
                <w:rFonts w:asciiTheme="majorHAnsi" w:hAnsiTheme="majorHAnsi" w:cstheme="majorHAnsi"/>
                <w:color w:val="3B3B3B"/>
                <w:sz w:val="20"/>
                <w:szCs w:val="20"/>
              </w:rPr>
              <w:t>veškeré bankovky v měnách členských států EU</w:t>
            </w:r>
            <w:r w:rsidRPr="006E530F">
              <w:rPr>
                <w:rFonts w:asciiTheme="majorHAnsi" w:hAnsiTheme="majorHAnsi" w:cstheme="majorHAnsi"/>
                <w:color w:val="3B3B3B"/>
                <w:sz w:val="20"/>
                <w:szCs w:val="20"/>
              </w:rPr>
              <w:t> a </w:t>
            </w:r>
            <w:r w:rsidRPr="006E530F">
              <w:rPr>
                <w:rStyle w:val="Siln"/>
                <w:rFonts w:asciiTheme="majorHAnsi" w:hAnsiTheme="majorHAnsi" w:cstheme="majorHAnsi"/>
                <w:color w:val="3B3B3B"/>
                <w:sz w:val="20"/>
                <w:szCs w:val="20"/>
              </w:rPr>
              <w:t>zakazuje se převod převoditelných cenných papírů denominovaných v jakýchkoli oficiálních měnách členských států EU</w:t>
            </w:r>
            <w:r w:rsidRPr="006E530F">
              <w:rPr>
                <w:rFonts w:asciiTheme="majorHAnsi" w:hAnsiTheme="majorHAnsi" w:cstheme="majorHAnsi"/>
                <w:color w:val="3B3B3B"/>
                <w:sz w:val="20"/>
                <w:szCs w:val="20"/>
              </w:rPr>
              <w:t> do Ruska a Běloruska nebo jakékoli fyzické nebo právnické osobě, subjektu nebo orgánu v Rusku a Bělorusku.</w:t>
            </w:r>
          </w:p>
          <w:p w14:paraId="2ACACC6C" w14:textId="081E3B80" w:rsidR="006E530F" w:rsidRPr="006E530F" w:rsidRDefault="006E530F" w:rsidP="006E530F">
            <w:pPr>
              <w:pStyle w:val="text-large"/>
              <w:numPr>
                <w:ilvl w:val="0"/>
                <w:numId w:val="19"/>
              </w:numPr>
              <w:shd w:val="clear" w:color="auto" w:fill="FFFFFF"/>
              <w:spacing w:line="408" w:lineRule="atLeast"/>
              <w:rPr>
                <w:rFonts w:asciiTheme="majorHAnsi" w:hAnsiTheme="majorHAnsi" w:cstheme="majorHAnsi"/>
                <w:color w:val="3B3B3B"/>
                <w:sz w:val="20"/>
                <w:szCs w:val="20"/>
              </w:rPr>
            </w:pPr>
            <w:r w:rsidRPr="006E530F">
              <w:rPr>
                <w:rFonts w:asciiTheme="majorHAnsi" w:hAnsiTheme="majorHAnsi" w:cstheme="majorHAnsi"/>
                <w:color w:val="3B3B3B"/>
                <w:sz w:val="20"/>
                <w:szCs w:val="20"/>
              </w:rPr>
              <w:t xml:space="preserve">V oblasti individuálních sankcí jsou na sankční seznam zařazeny společnosti, jejichž produkty nebo technologie sehrály roli při invazi, klíčoví ruští oligarchové a podnikatelé, vysoce postavení úředníci Kremlu, zastánci dezinformací a manipulací s informacemi o válečné agresi Ruska na Ukrajině, rodinní příslušníci již sankcionovaných osob. Celkem se jedná o 207 fyzických osob a 18 subjektů </w:t>
            </w:r>
            <w:r w:rsidRPr="00EF6723">
              <w:rPr>
                <w:rFonts w:ascii="Arial" w:hAnsi="Arial" w:cs="Arial"/>
                <w:color w:val="3B3B3B"/>
                <w:sz w:val="20"/>
                <w:szCs w:val="20"/>
              </w:rPr>
              <w:t>uvedených v </w:t>
            </w:r>
            <w:hyperlink r:id="rId9" w:tgtFrame="_blank" w:history="1">
              <w:r w:rsidRPr="00EF6723">
                <w:rPr>
                  <w:rFonts w:ascii="Arial" w:hAnsi="Arial" w:cs="Arial"/>
                  <w:color w:val="3B3B3B"/>
                  <w:sz w:val="20"/>
                  <w:szCs w:val="20"/>
                </w:rPr>
                <w:t>prov</w:t>
              </w:r>
              <w:r w:rsidR="00EF6723" w:rsidRPr="00EF6723">
                <w:rPr>
                  <w:rFonts w:ascii="Arial" w:hAnsi="Arial" w:cs="Arial"/>
                  <w:color w:val="3B3B3B"/>
                  <w:sz w:val="20"/>
                  <w:szCs w:val="20"/>
                </w:rPr>
                <w:t>á</w:t>
              </w:r>
              <w:r w:rsidRPr="00EF6723">
                <w:rPr>
                  <w:rFonts w:ascii="Arial" w:hAnsi="Arial" w:cs="Arial"/>
                  <w:color w:val="3B3B3B"/>
                  <w:sz w:val="20"/>
                  <w:szCs w:val="20"/>
                </w:rPr>
                <w:t>děcím nařízení 2022/581</w:t>
              </w:r>
            </w:hyperlink>
            <w:r w:rsidRPr="006E530F">
              <w:rPr>
                <w:rFonts w:asciiTheme="majorHAnsi" w:hAnsiTheme="majorHAnsi" w:cstheme="majorHAnsi"/>
                <w:color w:val="3B3B3B"/>
                <w:sz w:val="20"/>
                <w:szCs w:val="20"/>
              </w:rPr>
              <w:t>.</w:t>
            </w:r>
          </w:p>
          <w:p w14:paraId="41112419" w14:textId="77777777" w:rsidR="006E530F" w:rsidRPr="006E530F" w:rsidRDefault="006E530F" w:rsidP="006E530F">
            <w:pPr>
              <w:pStyle w:val="text-large"/>
              <w:numPr>
                <w:ilvl w:val="0"/>
                <w:numId w:val="19"/>
              </w:numPr>
              <w:shd w:val="clear" w:color="auto" w:fill="FFFFFF"/>
              <w:spacing w:line="408" w:lineRule="atLeast"/>
              <w:rPr>
                <w:rFonts w:asciiTheme="majorHAnsi" w:hAnsiTheme="majorHAnsi" w:cstheme="majorHAnsi"/>
                <w:color w:val="3B3B3B"/>
                <w:sz w:val="20"/>
                <w:szCs w:val="20"/>
              </w:rPr>
            </w:pPr>
            <w:r w:rsidRPr="006E530F">
              <w:rPr>
                <w:rFonts w:asciiTheme="majorHAnsi" w:hAnsiTheme="majorHAnsi" w:cstheme="majorHAnsi"/>
                <w:color w:val="3B3B3B"/>
                <w:sz w:val="20"/>
                <w:szCs w:val="20"/>
              </w:rPr>
              <w:lastRenderedPageBreak/>
              <w:t>Významné je zařazení dalších čtyř klíčových ruských bank: </w:t>
            </w:r>
            <w:proofErr w:type="spellStart"/>
            <w:r w:rsidRPr="006E530F">
              <w:rPr>
                <w:rStyle w:val="Siln"/>
                <w:rFonts w:asciiTheme="majorHAnsi" w:hAnsiTheme="majorHAnsi" w:cstheme="majorHAnsi"/>
                <w:color w:val="3B3B3B"/>
                <w:sz w:val="20"/>
                <w:szCs w:val="20"/>
              </w:rPr>
              <w:t>Otkritie</w:t>
            </w:r>
            <w:proofErr w:type="spellEnd"/>
            <w:r w:rsidRPr="006E530F">
              <w:rPr>
                <w:rStyle w:val="Siln"/>
                <w:rFonts w:asciiTheme="majorHAnsi" w:hAnsiTheme="majorHAnsi" w:cstheme="majorHAnsi"/>
                <w:color w:val="3B3B3B"/>
                <w:sz w:val="20"/>
                <w:szCs w:val="20"/>
              </w:rPr>
              <w:t xml:space="preserve"> FC Bank</w:t>
            </w:r>
            <w:r w:rsidRPr="006E530F">
              <w:rPr>
                <w:rFonts w:asciiTheme="majorHAnsi" w:hAnsiTheme="majorHAnsi" w:cstheme="majorHAnsi"/>
                <w:color w:val="3B3B3B"/>
                <w:sz w:val="20"/>
                <w:szCs w:val="20"/>
              </w:rPr>
              <w:t>, </w:t>
            </w:r>
            <w:proofErr w:type="spellStart"/>
            <w:r w:rsidRPr="006E530F">
              <w:rPr>
                <w:rStyle w:val="Siln"/>
                <w:rFonts w:asciiTheme="majorHAnsi" w:hAnsiTheme="majorHAnsi" w:cstheme="majorHAnsi"/>
                <w:color w:val="3B3B3B"/>
                <w:sz w:val="20"/>
                <w:szCs w:val="20"/>
              </w:rPr>
              <w:t>Novikombank</w:t>
            </w:r>
            <w:proofErr w:type="spellEnd"/>
            <w:r w:rsidRPr="006E530F">
              <w:rPr>
                <w:rFonts w:asciiTheme="majorHAnsi" w:hAnsiTheme="majorHAnsi" w:cstheme="majorHAnsi"/>
                <w:color w:val="3B3B3B"/>
                <w:sz w:val="20"/>
                <w:szCs w:val="20"/>
              </w:rPr>
              <w:t>, </w:t>
            </w:r>
            <w:proofErr w:type="spellStart"/>
            <w:r w:rsidRPr="006E530F">
              <w:rPr>
                <w:rStyle w:val="Siln"/>
                <w:rFonts w:asciiTheme="majorHAnsi" w:hAnsiTheme="majorHAnsi" w:cstheme="majorHAnsi"/>
                <w:color w:val="3B3B3B"/>
                <w:sz w:val="20"/>
                <w:szCs w:val="20"/>
              </w:rPr>
              <w:t>Sovcombank</w:t>
            </w:r>
            <w:proofErr w:type="spellEnd"/>
            <w:r w:rsidRPr="006E530F">
              <w:rPr>
                <w:rFonts w:asciiTheme="majorHAnsi" w:hAnsiTheme="majorHAnsi" w:cstheme="majorHAnsi"/>
                <w:color w:val="3B3B3B"/>
                <w:sz w:val="20"/>
                <w:szCs w:val="20"/>
              </w:rPr>
              <w:t xml:space="preserve"> (dříve známa jako </w:t>
            </w:r>
            <w:proofErr w:type="spellStart"/>
            <w:r w:rsidRPr="006E530F">
              <w:rPr>
                <w:rFonts w:asciiTheme="majorHAnsi" w:hAnsiTheme="majorHAnsi" w:cstheme="majorHAnsi"/>
                <w:color w:val="3B3B3B"/>
                <w:sz w:val="20"/>
                <w:szCs w:val="20"/>
              </w:rPr>
              <w:t>Buycombank</w:t>
            </w:r>
            <w:proofErr w:type="spellEnd"/>
            <w:r w:rsidRPr="006E530F">
              <w:rPr>
                <w:rFonts w:asciiTheme="majorHAnsi" w:hAnsiTheme="majorHAnsi" w:cstheme="majorHAnsi"/>
                <w:color w:val="3B3B3B"/>
                <w:sz w:val="20"/>
                <w:szCs w:val="20"/>
              </w:rPr>
              <w:t>), </w:t>
            </w:r>
            <w:r w:rsidRPr="006E530F">
              <w:rPr>
                <w:rStyle w:val="Siln"/>
                <w:rFonts w:asciiTheme="majorHAnsi" w:hAnsiTheme="majorHAnsi" w:cstheme="majorHAnsi"/>
                <w:color w:val="3B3B3B"/>
                <w:sz w:val="20"/>
                <w:szCs w:val="20"/>
              </w:rPr>
              <w:t>VTB Bank</w:t>
            </w:r>
            <w:r w:rsidRPr="006E530F">
              <w:rPr>
                <w:rFonts w:asciiTheme="majorHAnsi" w:hAnsiTheme="majorHAnsi" w:cstheme="majorHAnsi"/>
                <w:color w:val="3B3B3B"/>
                <w:sz w:val="20"/>
                <w:szCs w:val="20"/>
              </w:rPr>
              <w:t> na sankční seznam subjektů, vůči nimž se uplatní finanční sankce v podobě zmrazení jejich aktiv a v zákazu zpřístupnění jakýchkoli aktiv těmto bankám, čímž tyto budou zcela odříznuty od trhů EU.</w:t>
            </w:r>
          </w:p>
          <w:p w14:paraId="50BA973B" w14:textId="77777777" w:rsidR="00DE0025" w:rsidRPr="00DE0025" w:rsidRDefault="00DE0025" w:rsidP="00DE0025">
            <w:pPr>
              <w:pStyle w:val="Bezmezer"/>
              <w:jc w:val="both"/>
              <w:rPr>
                <w:rStyle w:val="Hypertextovodkaz"/>
                <w:rFonts w:ascii="Arial" w:eastAsia="Times New Roman" w:hAnsi="Arial" w:cs="Arial"/>
                <w:color w:val="0F0D29" w:themeColor="text1"/>
                <w:kern w:val="36"/>
                <w:sz w:val="20"/>
                <w:szCs w:val="20"/>
                <w:u w:val="none"/>
                <w:lang w:eastAsia="cs-CZ"/>
              </w:rPr>
            </w:pPr>
          </w:p>
          <w:p w14:paraId="745291D9" w14:textId="3E9798D4" w:rsidR="0014703E" w:rsidRPr="005078C0" w:rsidRDefault="0014703E" w:rsidP="00DE0025">
            <w:pPr>
              <w:pStyle w:val="Bezmezer"/>
              <w:numPr>
                <w:ilvl w:val="0"/>
                <w:numId w:val="3"/>
              </w:numPr>
              <w:shd w:val="clear" w:color="auto" w:fill="007A53"/>
              <w:spacing w:line="360" w:lineRule="auto"/>
              <w:ind w:hanging="710"/>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Připravovaná legislativa</w:t>
            </w:r>
          </w:p>
          <w:p w14:paraId="1EB2211A" w14:textId="77777777" w:rsidR="0014703E" w:rsidRPr="005078C0" w:rsidRDefault="0014703E" w:rsidP="005078C0">
            <w:pPr>
              <w:pStyle w:val="Bezmeze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a) výstupy</w:t>
            </w:r>
          </w:p>
          <w:p w14:paraId="263EDF86" w14:textId="77777777" w:rsidR="0014703E" w:rsidRPr="00815900" w:rsidRDefault="0014703E" w:rsidP="001822B6">
            <w:pPr>
              <w:pStyle w:val="Bezmezer"/>
              <w:jc w:val="both"/>
              <w:rPr>
                <w:rStyle w:val="Hypertextovodkaz"/>
                <w:rFonts w:ascii="Arial" w:eastAsia="Times New Roman" w:hAnsi="Arial" w:cs="Arial"/>
                <w:b/>
                <w:bCs/>
                <w:color w:val="0F0D29" w:themeColor="text1"/>
                <w:kern w:val="36"/>
                <w:u w:val="none"/>
                <w:lang w:eastAsia="cs-CZ"/>
              </w:rPr>
            </w:pPr>
          </w:p>
          <w:p w14:paraId="69C96BF5" w14:textId="77777777" w:rsidR="00901622" w:rsidRPr="00BF66CB" w:rsidRDefault="00901622" w:rsidP="00901622">
            <w:pPr>
              <w:spacing w:line="360" w:lineRule="auto"/>
              <w:jc w:val="both"/>
              <w:rPr>
                <w:rFonts w:ascii="Arial" w:hAnsi="Arial" w:cs="Arial"/>
                <w:b w:val="0"/>
                <w:bCs/>
                <w:i/>
                <w:iCs/>
                <w:color w:val="0F0D29" w:themeColor="text1"/>
                <w:sz w:val="20"/>
                <w:szCs w:val="20"/>
              </w:rPr>
            </w:pPr>
            <w:r w:rsidRPr="00BF66CB">
              <w:rPr>
                <w:rFonts w:ascii="Arial" w:hAnsi="Arial" w:cs="Arial"/>
                <w:b w:val="0"/>
                <w:bCs/>
                <w:i/>
                <w:iCs/>
                <w:color w:val="0F0D29" w:themeColor="text1"/>
                <w:sz w:val="20"/>
                <w:szCs w:val="20"/>
              </w:rPr>
              <w:t>Ve sledovaném období nebyly předloženy žádné výstupy s dopady do činnosti společnosti.</w:t>
            </w:r>
          </w:p>
          <w:p w14:paraId="12279A0E" w14:textId="77777777" w:rsidR="004325C8" w:rsidRPr="005078C0" w:rsidRDefault="004325C8" w:rsidP="00080627">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3EA2DB20" w14:textId="77777777" w:rsidR="0014703E" w:rsidRPr="005078C0" w:rsidRDefault="0014703E" w:rsidP="005078C0">
            <w:pPr>
              <w:pStyle w:val="Bezmezer"/>
              <w:shd w:val="clear" w:color="auto" w:fill="007A53"/>
              <w:ind w:firstLine="720"/>
              <w:jc w:val="both"/>
              <w:rPr>
                <w:rStyle w:val="Hypertextovodkaz"/>
                <w:rFonts w:ascii="Arial" w:eastAsia="Times New Roman" w:hAnsi="Arial" w:cs="Arial"/>
                <w:b/>
                <w:bCs/>
                <w:color w:val="FFFFFF" w:themeColor="background1"/>
                <w:kern w:val="36"/>
                <w:sz w:val="20"/>
                <w:szCs w:val="20"/>
                <w:u w:val="none"/>
                <w:lang w:eastAsia="cs-CZ"/>
              </w:rPr>
            </w:pPr>
          </w:p>
          <w:p w14:paraId="08BD26AE" w14:textId="77777777" w:rsidR="0014703E" w:rsidRPr="005078C0" w:rsidRDefault="0014703E" w:rsidP="005078C0">
            <w:pPr>
              <w:pStyle w:val="Bezmezer"/>
              <w:numPr>
                <w:ilvl w:val="0"/>
                <w:numId w:val="5"/>
              </w:numP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Připravovaná legislativa</w:t>
            </w:r>
          </w:p>
          <w:p w14:paraId="5B81A2B2" w14:textId="77777777" w:rsidR="0014703E" w:rsidRPr="005078C0" w:rsidRDefault="0014703E" w:rsidP="005078C0">
            <w:pPr>
              <w:pStyle w:val="Bezmeze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b) zadání</w:t>
            </w:r>
          </w:p>
          <w:p w14:paraId="174B7D6E" w14:textId="77777777" w:rsidR="0014703E" w:rsidRPr="005078C0" w:rsidRDefault="0014703E" w:rsidP="008E3CAD">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28455D94" w14:textId="77777777" w:rsidR="00C90A3E" w:rsidRPr="005078C0" w:rsidRDefault="00C90A3E" w:rsidP="00C90A3E">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4B2C1D">
              <w:rPr>
                <w:rStyle w:val="Hypertextovodkaz"/>
                <w:rFonts w:ascii="Arial" w:eastAsia="Times New Roman" w:hAnsi="Arial" w:cs="Arial"/>
                <w:b/>
                <w:bCs/>
                <w:color w:val="0F0D29" w:themeColor="text1"/>
                <w:kern w:val="36"/>
                <w:sz w:val="24"/>
                <w:szCs w:val="20"/>
                <w:u w:val="none"/>
                <w:lang w:eastAsia="cs-CZ"/>
              </w:rPr>
              <w:t>Návrh zákona, kterým se mění zákon č. 37/2021 Sb., o evidenci skutečných majitelů</w:t>
            </w:r>
            <w:r w:rsidR="00EF6723">
              <w:rPr>
                <w:rStyle w:val="Hypertextovodkaz"/>
                <w:rFonts w:ascii="Arial" w:eastAsia="Times New Roman" w:hAnsi="Arial" w:cs="Arial"/>
                <w:b/>
                <w:bCs/>
                <w:color w:val="0F0D29" w:themeColor="text1"/>
                <w:kern w:val="36"/>
                <w:sz w:val="24"/>
                <w:szCs w:val="24"/>
                <w:u w:val="none"/>
                <w:lang w:eastAsia="cs-CZ"/>
              </w:rPr>
              <w:pict w14:anchorId="32314C35">
                <v:rect id="_x0000_i1027" style="width:0;height:1.5pt" o:hralign="center" o:hrstd="t" o:hr="t" fillcolor="#a0a0a0" stroked="f"/>
              </w:pict>
            </w:r>
          </w:p>
          <w:p w14:paraId="0823C5D2" w14:textId="77777777" w:rsidR="00C90A3E" w:rsidRDefault="00C90A3E" w:rsidP="00C90A3E">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roofErr w:type="gramStart"/>
            <w:r>
              <w:rPr>
                <w:rStyle w:val="Hypertextovodkaz"/>
                <w:rFonts w:ascii="Arial" w:eastAsia="Times New Roman" w:hAnsi="Arial" w:cs="Arial"/>
                <w:bCs/>
                <w:color w:val="0F0D29" w:themeColor="text1"/>
                <w:kern w:val="36"/>
                <w:sz w:val="20"/>
                <w:szCs w:val="20"/>
                <w:u w:val="none"/>
                <w:lang w:eastAsia="cs-CZ"/>
              </w:rPr>
              <w:t xml:space="preserve">EKLEP </w:t>
            </w:r>
            <w:r>
              <w:t xml:space="preserve"> </w:t>
            </w:r>
            <w:r w:rsidRPr="004B2C1D">
              <w:rPr>
                <w:rStyle w:val="Hypertextovodkaz"/>
                <w:rFonts w:ascii="Arial" w:eastAsia="Times New Roman" w:hAnsi="Arial" w:cs="Arial"/>
                <w:bCs/>
                <w:color w:val="0F0D29" w:themeColor="text1"/>
                <w:kern w:val="36"/>
                <w:sz w:val="20"/>
                <w:szCs w:val="20"/>
                <w:u w:val="none"/>
                <w:lang w:eastAsia="cs-CZ"/>
              </w:rPr>
              <w:t>ALBSCCYG</w:t>
            </w:r>
            <w:proofErr w:type="gramEnd"/>
            <w:r w:rsidRPr="004B2C1D">
              <w:rPr>
                <w:rStyle w:val="Hypertextovodkaz"/>
                <w:rFonts w:ascii="Arial" w:eastAsia="Times New Roman" w:hAnsi="Arial" w:cs="Arial"/>
                <w:bCs/>
                <w:color w:val="0F0D29" w:themeColor="text1"/>
                <w:kern w:val="36"/>
                <w:sz w:val="20"/>
                <w:szCs w:val="20"/>
                <w:u w:val="none"/>
                <w:lang w:eastAsia="cs-CZ"/>
              </w:rPr>
              <w:t>8XHD</w:t>
            </w:r>
            <w:r>
              <w:rPr>
                <w:rStyle w:val="Hypertextovodkaz"/>
                <w:rFonts w:ascii="Arial" w:eastAsia="Times New Roman" w:hAnsi="Arial" w:cs="Arial"/>
                <w:bCs/>
                <w:color w:val="0F0D29" w:themeColor="text1"/>
                <w:kern w:val="36"/>
                <w:sz w:val="20"/>
                <w:szCs w:val="20"/>
                <w:u w:val="none"/>
                <w:lang w:eastAsia="cs-CZ"/>
              </w:rPr>
              <w:t xml:space="preserve"> </w:t>
            </w:r>
          </w:p>
          <w:p w14:paraId="5F68AE9A" w14:textId="73973BEE" w:rsidR="00C90A3E" w:rsidRDefault="00C90A3E" w:rsidP="00C90A3E">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Připomínkové řízení ukončeno</w:t>
            </w:r>
          </w:p>
          <w:p w14:paraId="0BE31C5D" w14:textId="77777777" w:rsidR="00A22382" w:rsidRDefault="00A22382" w:rsidP="00C90A3E">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76B05721" w14:textId="20D89A03" w:rsidR="00A22382" w:rsidRDefault="00A22382" w:rsidP="00A2238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N</w:t>
            </w:r>
            <w:r w:rsidRPr="00A22382">
              <w:rPr>
                <w:rStyle w:val="Hypertextovodkaz"/>
                <w:rFonts w:ascii="Arial" w:eastAsia="Times New Roman" w:hAnsi="Arial" w:cs="Arial"/>
                <w:bCs/>
                <w:color w:val="0F0D29" w:themeColor="text1"/>
                <w:kern w:val="36"/>
                <w:sz w:val="20"/>
                <w:szCs w:val="20"/>
                <w:u w:val="none"/>
                <w:lang w:eastAsia="cs-CZ"/>
              </w:rPr>
              <w:t xml:space="preserve">ávrhem </w:t>
            </w:r>
            <w:r>
              <w:rPr>
                <w:rStyle w:val="Hypertextovodkaz"/>
                <w:rFonts w:ascii="Arial" w:eastAsia="Times New Roman" w:hAnsi="Arial" w:cs="Arial"/>
                <w:bCs/>
                <w:color w:val="0F0D29" w:themeColor="text1"/>
                <w:kern w:val="36"/>
                <w:sz w:val="20"/>
                <w:szCs w:val="20"/>
                <w:u w:val="none"/>
                <w:lang w:eastAsia="cs-CZ"/>
              </w:rPr>
              <w:t>novely</w:t>
            </w:r>
            <w:r w:rsidRPr="00A22382">
              <w:rPr>
                <w:rStyle w:val="Hypertextovodkaz"/>
                <w:rFonts w:ascii="Arial" w:eastAsia="Times New Roman" w:hAnsi="Arial" w:cs="Arial"/>
                <w:bCs/>
                <w:color w:val="0F0D29" w:themeColor="text1"/>
                <w:kern w:val="36"/>
                <w:sz w:val="20"/>
                <w:szCs w:val="20"/>
                <w:u w:val="none"/>
                <w:lang w:eastAsia="cs-CZ"/>
              </w:rPr>
              <w:t xml:space="preserve"> se reaguje na probíhající řízení o nesplnění povinnosti pro nesprávné provedení směrnice </w:t>
            </w:r>
            <w:r>
              <w:rPr>
                <w:rStyle w:val="Hypertextovodkaz"/>
                <w:rFonts w:ascii="Arial" w:eastAsia="Times New Roman" w:hAnsi="Arial" w:cs="Arial"/>
                <w:bCs/>
                <w:color w:val="0F0D29" w:themeColor="text1"/>
                <w:kern w:val="36"/>
                <w:sz w:val="20"/>
                <w:szCs w:val="20"/>
                <w:u w:val="none"/>
                <w:lang w:eastAsia="cs-CZ"/>
              </w:rPr>
              <w:t>dle</w:t>
            </w:r>
            <w:r w:rsidRPr="00A22382">
              <w:rPr>
                <w:rStyle w:val="Hypertextovodkaz"/>
                <w:rFonts w:ascii="Arial" w:eastAsia="Times New Roman" w:hAnsi="Arial" w:cs="Arial"/>
                <w:bCs/>
                <w:color w:val="0F0D29" w:themeColor="text1"/>
                <w:kern w:val="36"/>
                <w:sz w:val="20"/>
                <w:szCs w:val="20"/>
                <w:u w:val="none"/>
                <w:lang w:eastAsia="cs-CZ"/>
              </w:rPr>
              <w:t xml:space="preserve"> Smlouvy o fungování EU. Evropská komise spatřuje nesoulad právní úpravy zákona č. 37/2021 Sb., o e</w:t>
            </w:r>
            <w:r>
              <w:rPr>
                <w:rStyle w:val="Hypertextovodkaz"/>
                <w:rFonts w:ascii="Arial" w:eastAsia="Times New Roman" w:hAnsi="Arial" w:cs="Arial"/>
                <w:bCs/>
                <w:color w:val="0F0D29" w:themeColor="text1"/>
                <w:kern w:val="36"/>
                <w:sz w:val="20"/>
                <w:szCs w:val="20"/>
                <w:u w:val="none"/>
                <w:lang w:eastAsia="cs-CZ"/>
              </w:rPr>
              <w:t>videnci skutečných majitelů s AML směrnicí</w:t>
            </w:r>
            <w:r w:rsidRPr="00A22382">
              <w:rPr>
                <w:rStyle w:val="Hypertextovodkaz"/>
                <w:rFonts w:ascii="Arial" w:eastAsia="Times New Roman" w:hAnsi="Arial" w:cs="Arial"/>
                <w:bCs/>
                <w:color w:val="0F0D29" w:themeColor="text1"/>
                <w:kern w:val="36"/>
                <w:sz w:val="20"/>
                <w:szCs w:val="20"/>
                <w:u w:val="none"/>
                <w:lang w:eastAsia="cs-CZ"/>
              </w:rPr>
              <w:t>. Změnou zákona č. 37/2021 Sb. současně Evropská komise dodatečně podmínila možnost podání první žádosti o platbu v rámci Národního plánu obnovy.</w:t>
            </w:r>
          </w:p>
          <w:p w14:paraId="30993497" w14:textId="77777777" w:rsidR="00A22382" w:rsidRPr="00A22382" w:rsidRDefault="00A22382" w:rsidP="00A2238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5FD6BB72" w14:textId="0EE96F91" w:rsidR="0014703E" w:rsidRPr="005078C0" w:rsidRDefault="00A22382" w:rsidP="00A2238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A22382">
              <w:rPr>
                <w:rStyle w:val="Hypertextovodkaz"/>
                <w:rFonts w:ascii="Arial" w:eastAsia="Times New Roman" w:hAnsi="Arial" w:cs="Arial"/>
                <w:bCs/>
                <w:color w:val="0F0D29" w:themeColor="text1"/>
                <w:kern w:val="36"/>
                <w:sz w:val="20"/>
                <w:szCs w:val="20"/>
                <w:u w:val="none"/>
                <w:lang w:eastAsia="cs-CZ"/>
              </w:rPr>
              <w:t>Hlavní navrhované změny zákona č. 37/2021 Sb., o evidenci skutečných majitelů, spočívají v (1) reformulaci vymezení skutečného majitele podle vzoru AML směrnice [její čl. 3 odst. 6 písm. a) bod i)] a (2) omezení výjimek pro subjekty, o nichž platí, že nemají skutečného majitele, pouze na veřejnoprávní právnické osoby (§ 7 zákona). Rozsah a podoba základních změn zákona (změny § 2 až 5 a § 7 zákona č. 37/2021 Sb.) byly konzultovány přímo se zástupci Evropské komise. Další změny pak navazují na uvedené základní úpravy. Jde jednak o terminologické změny, jednak o úpravu souvisejících institutů, zejména mechanismu automatického průpisu údajů do evidence z veřejného rejstříku a registru osob.</w:t>
            </w:r>
          </w:p>
          <w:p w14:paraId="5E3658A4" w14:textId="77777777" w:rsidR="001F081B" w:rsidRPr="005078C0" w:rsidRDefault="001F081B" w:rsidP="001F081B">
            <w:pPr>
              <w:pStyle w:val="Bezmezer"/>
              <w:spacing w:line="276" w:lineRule="auto"/>
              <w:jc w:val="both"/>
              <w:rPr>
                <w:rStyle w:val="Hypertextovodkaz"/>
                <w:rFonts w:ascii="Arial" w:eastAsia="Times New Roman" w:hAnsi="Arial" w:cs="Arial"/>
                <w:bCs/>
                <w:color w:val="0F0D29" w:themeColor="text1"/>
                <w:kern w:val="36"/>
                <w:sz w:val="20"/>
                <w:szCs w:val="20"/>
                <w:u w:val="none"/>
                <w:lang w:eastAsia="cs-CZ"/>
              </w:rPr>
            </w:pPr>
          </w:p>
          <w:p w14:paraId="1D09A34F" w14:textId="5B407605" w:rsidR="0014703E" w:rsidRPr="005078C0" w:rsidRDefault="0014703E" w:rsidP="008E3CAD">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1F081B">
              <w:rPr>
                <w:rStyle w:val="Hypertextovodkaz"/>
                <w:rFonts w:ascii="Arial" w:eastAsia="Times New Roman" w:hAnsi="Arial" w:cs="Arial"/>
                <w:bCs/>
                <w:i/>
                <w:color w:val="0F0D29" w:themeColor="text1"/>
                <w:kern w:val="36"/>
                <w:sz w:val="20"/>
                <w:szCs w:val="20"/>
                <w:u w:val="none"/>
                <w:lang w:eastAsia="cs-CZ"/>
              </w:rPr>
              <w:t>O</w:t>
            </w:r>
            <w:r w:rsidR="00C90A3E">
              <w:rPr>
                <w:rStyle w:val="Hypertextovodkaz"/>
                <w:rFonts w:ascii="Arial" w:eastAsia="Times New Roman" w:hAnsi="Arial" w:cs="Arial"/>
                <w:bCs/>
                <w:i/>
                <w:color w:val="0F0D29" w:themeColor="text1"/>
                <w:kern w:val="36"/>
                <w:sz w:val="20"/>
                <w:szCs w:val="20"/>
                <w:u w:val="none"/>
                <w:lang w:eastAsia="cs-CZ"/>
              </w:rPr>
              <w:t>PS</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15CACB85" w14:textId="77777777" w:rsidR="0014703E" w:rsidRPr="005078C0" w:rsidRDefault="0014703E" w:rsidP="008E3CAD">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1FEE5B2D" w14:textId="0D034905" w:rsidR="0014703E" w:rsidRPr="005078C0" w:rsidRDefault="0014703E" w:rsidP="008E3CAD">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C90A3E" w:rsidRPr="00C90A3E">
              <w:rPr>
                <w:rStyle w:val="Hypertextovodkaz"/>
                <w:rFonts w:ascii="Arial" w:eastAsia="Times New Roman" w:hAnsi="Arial" w:cs="Arial"/>
                <w:i/>
                <w:color w:val="0F0D29" w:themeColor="text1"/>
                <w:kern w:val="36"/>
                <w:sz w:val="20"/>
                <w:szCs w:val="20"/>
                <w:u w:val="none"/>
                <w:lang w:eastAsia="cs-CZ"/>
              </w:rPr>
              <w:t>OPS – Mgr. Pavel Císař</w:t>
            </w:r>
            <w:r w:rsidRPr="005078C0">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ab/>
            </w:r>
            <w:proofErr w:type="gramStart"/>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sidR="00C90A3E">
              <w:rPr>
                <w:rStyle w:val="Hypertextovodkaz"/>
                <w:rFonts w:ascii="Arial" w:eastAsia="Times New Roman" w:hAnsi="Arial" w:cs="Arial"/>
                <w:b/>
                <w:bCs/>
                <w:i/>
                <w:color w:val="0F0D29" w:themeColor="text1"/>
                <w:kern w:val="36"/>
                <w:sz w:val="20"/>
                <w:szCs w:val="20"/>
                <w:u w:val="none"/>
                <w:lang w:eastAsia="cs-CZ"/>
              </w:rPr>
              <w:t>31.</w:t>
            </w:r>
            <w:proofErr w:type="gramEnd"/>
            <w:r w:rsidR="00C90A3E">
              <w:rPr>
                <w:rStyle w:val="Hypertextovodkaz"/>
                <w:rFonts w:ascii="Arial" w:eastAsia="Times New Roman" w:hAnsi="Arial" w:cs="Arial"/>
                <w:b/>
                <w:bCs/>
                <w:i/>
                <w:color w:val="0F0D29" w:themeColor="text1"/>
                <w:kern w:val="36"/>
                <w:sz w:val="20"/>
                <w:szCs w:val="20"/>
                <w:u w:val="none"/>
                <w:lang w:eastAsia="cs-CZ"/>
              </w:rPr>
              <w:t xml:space="preserve"> 5. 2022</w:t>
            </w:r>
          </w:p>
          <w:p w14:paraId="162C871F" w14:textId="77777777" w:rsidR="0014703E" w:rsidRPr="005078C0" w:rsidRDefault="0014703E" w:rsidP="008E3CAD">
            <w:pPr>
              <w:pStyle w:val="Bezmezer"/>
              <w:spacing w:line="276" w:lineRule="auto"/>
              <w:jc w:val="both"/>
              <w:rPr>
                <w:rStyle w:val="Hypertextovodkaz"/>
                <w:rFonts w:ascii="Arial" w:eastAsia="Times New Roman" w:hAnsi="Arial" w:cs="Arial"/>
                <w:bCs/>
                <w:color w:val="0F0D29" w:themeColor="text1"/>
                <w:kern w:val="36"/>
                <w:sz w:val="20"/>
                <w:szCs w:val="20"/>
                <w:u w:val="none"/>
                <w:lang w:eastAsia="cs-CZ"/>
              </w:rPr>
            </w:pPr>
          </w:p>
          <w:p w14:paraId="56ED7888" w14:textId="022B3277" w:rsidR="00815900" w:rsidRDefault="00815900" w:rsidP="008E3CAD">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4E3BAB10" w14:textId="621E689E" w:rsidR="00A404F7" w:rsidRDefault="00A404F7" w:rsidP="008E3CAD">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43A06424" w14:textId="7B2EA4BF" w:rsidR="00A404F7" w:rsidRDefault="00A404F7" w:rsidP="008E3CAD">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0BF4481F" w14:textId="258701EE" w:rsidR="00C90A3E" w:rsidRPr="005078C0" w:rsidRDefault="00C90A3E" w:rsidP="00C90A3E">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C90A3E">
              <w:rPr>
                <w:rStyle w:val="Hypertextovodkaz"/>
                <w:rFonts w:ascii="Arial" w:eastAsia="Times New Roman" w:hAnsi="Arial" w:cs="Arial"/>
                <w:b/>
                <w:bCs/>
                <w:color w:val="0F0D29" w:themeColor="text1"/>
                <w:kern w:val="36"/>
                <w:sz w:val="24"/>
                <w:szCs w:val="20"/>
                <w:u w:val="none"/>
                <w:lang w:eastAsia="cs-CZ"/>
              </w:rPr>
              <w:lastRenderedPageBreak/>
              <w:t>Návrh nařízení vlády o úpravě náhrady za ztrátu na výdělku po skončení pracovní neschopnosti vzniklé pracovním úrazem nebo nemocí z povolání a o úpravě náhrady nákladů na výživu pozůstalých podle pracovněprávních předpisů (nařízení o úpravě náhrady)</w:t>
            </w:r>
            <w:r w:rsidR="00EF6723">
              <w:rPr>
                <w:rStyle w:val="Hypertextovodkaz"/>
                <w:rFonts w:ascii="Arial" w:eastAsia="Times New Roman" w:hAnsi="Arial" w:cs="Arial"/>
                <w:b/>
                <w:bCs/>
                <w:color w:val="0F0D29" w:themeColor="text1"/>
                <w:kern w:val="36"/>
                <w:sz w:val="24"/>
                <w:szCs w:val="24"/>
                <w:u w:val="none"/>
                <w:lang w:eastAsia="cs-CZ"/>
              </w:rPr>
              <w:pict w14:anchorId="4EB1897C">
                <v:rect id="_x0000_i1028" style="width:0;height:1.5pt" o:hralign="center" o:hrstd="t" o:hr="t" fillcolor="#a0a0a0" stroked="f"/>
              </w:pict>
            </w:r>
          </w:p>
          <w:p w14:paraId="357F7A38" w14:textId="282B57F6" w:rsidR="00C90A3E" w:rsidRDefault="00C90A3E" w:rsidP="00C90A3E">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EKLEP</w:t>
            </w:r>
            <w:r>
              <w:t xml:space="preserve"> </w:t>
            </w:r>
            <w:r w:rsidRPr="00C90A3E">
              <w:rPr>
                <w:rStyle w:val="Hypertextovodkaz"/>
                <w:rFonts w:ascii="Arial" w:eastAsia="Times New Roman" w:hAnsi="Arial" w:cs="Arial"/>
                <w:bCs/>
                <w:color w:val="0F0D29" w:themeColor="text1"/>
                <w:kern w:val="36"/>
                <w:sz w:val="20"/>
                <w:szCs w:val="20"/>
                <w:u w:val="none"/>
                <w:lang w:eastAsia="cs-CZ"/>
              </w:rPr>
              <w:t>ALBSCCUGC77P</w:t>
            </w:r>
            <w:r>
              <w:rPr>
                <w:rStyle w:val="Hypertextovodkaz"/>
                <w:rFonts w:ascii="Arial" w:eastAsia="Times New Roman" w:hAnsi="Arial" w:cs="Arial"/>
                <w:bCs/>
                <w:color w:val="0F0D29" w:themeColor="text1"/>
                <w:kern w:val="36"/>
                <w:sz w:val="20"/>
                <w:szCs w:val="20"/>
                <w:u w:val="none"/>
                <w:lang w:eastAsia="cs-CZ"/>
              </w:rPr>
              <w:t xml:space="preserve"> </w:t>
            </w:r>
          </w:p>
          <w:p w14:paraId="76808F95" w14:textId="77777777" w:rsidR="00C90A3E" w:rsidRDefault="00C90A3E" w:rsidP="00C90A3E">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Připomínkové řízení ukončeno</w:t>
            </w:r>
          </w:p>
          <w:p w14:paraId="3D112DC8" w14:textId="77777777" w:rsidR="00C90A3E" w:rsidRPr="005078C0" w:rsidRDefault="00C90A3E" w:rsidP="00A404F7">
            <w:pPr>
              <w:pStyle w:val="Bezmezer"/>
              <w:spacing w:line="360" w:lineRule="auto"/>
              <w:jc w:val="right"/>
              <w:rPr>
                <w:rStyle w:val="Hypertextovodkaz"/>
                <w:rFonts w:ascii="Arial" w:eastAsia="Times New Roman" w:hAnsi="Arial" w:cs="Arial"/>
                <w:bCs/>
                <w:color w:val="0F0D29" w:themeColor="text1"/>
                <w:kern w:val="36"/>
                <w:sz w:val="20"/>
                <w:szCs w:val="20"/>
                <w:u w:val="none"/>
                <w:lang w:eastAsia="cs-CZ"/>
              </w:rPr>
            </w:pPr>
          </w:p>
          <w:p w14:paraId="571625CD" w14:textId="21E43BF2" w:rsidR="00C90A3E" w:rsidRDefault="00D92996" w:rsidP="00A404F7">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 xml:space="preserve">Ministerstvo práce a sociálních věcí </w:t>
            </w:r>
            <w:r w:rsidRPr="00D92996">
              <w:rPr>
                <w:rStyle w:val="Hypertextovodkaz"/>
                <w:rFonts w:ascii="Arial" w:eastAsia="Times New Roman" w:hAnsi="Arial" w:cs="Arial"/>
                <w:bCs/>
                <w:color w:val="0F0D29" w:themeColor="text1"/>
                <w:kern w:val="36"/>
                <w:sz w:val="20"/>
                <w:szCs w:val="20"/>
                <w:u w:val="none"/>
                <w:lang w:eastAsia="cs-CZ"/>
              </w:rPr>
              <w:t>mimo Plán legislativních prací vlády</w:t>
            </w:r>
            <w:r>
              <w:rPr>
                <w:rStyle w:val="Hypertextovodkaz"/>
                <w:rFonts w:ascii="Arial" w:eastAsia="Times New Roman" w:hAnsi="Arial" w:cs="Arial"/>
                <w:bCs/>
                <w:color w:val="0F0D29" w:themeColor="text1"/>
                <w:kern w:val="36"/>
                <w:sz w:val="20"/>
                <w:szCs w:val="20"/>
                <w:u w:val="none"/>
                <w:lang w:eastAsia="cs-CZ"/>
              </w:rPr>
              <w:t xml:space="preserve"> předkládá novelu nařízení o úpravě náhrady</w:t>
            </w:r>
            <w:r w:rsidRPr="00D92996">
              <w:rPr>
                <w:rStyle w:val="Hypertextovodkaz"/>
                <w:rFonts w:ascii="Arial" w:eastAsia="Times New Roman" w:hAnsi="Arial" w:cs="Arial"/>
                <w:bCs/>
                <w:color w:val="0F0D29" w:themeColor="text1"/>
                <w:kern w:val="36"/>
                <w:sz w:val="20"/>
                <w:szCs w:val="20"/>
                <w:u w:val="none"/>
                <w:lang w:eastAsia="cs-CZ"/>
              </w:rPr>
              <w:t>, a to v návaznosti na nařízení vlády č. 35/2022 Sb., o druhém zvýšení důchodů v roce 2022. Důvodem návrhu na zvýšení je skutečnost, že na základě principu výpočtu výše uvedených náhrad dochází k tomu, že při každém zvýšení invalidního a pozůstalostního důchodu nebo výdělku poškozeného zaměstnance dochází ke snížení poskytované náhrady. Na rozdíl od ostatních poživatelů invalidních důchodů a pracujících občanů, k reálnému zvýšení pobíraných částek u poškozených a pozůstalých, kteří pobírají náhrady podle pracovněprávních předpisů, může dojít pouze v případě, že je jim na základě nařízení vlády zvýšen průměrný výdělek, do kterého jsou náhrady dopláceny. S účinností od 1. června 2022 dochází podle nařízení vlády o druhém zvýšení důchodů ke zvýšení procentní výměry důchodů o 8,2 %. Proto se navrhuje, aby od stejného data a o uvedené procento byly zvýšeny průměrné výdělky, do kterých jsou předmětné náhrady poškozeným a pozůstalým dopláceny.</w:t>
            </w:r>
          </w:p>
          <w:p w14:paraId="4BDC72C1" w14:textId="77777777" w:rsidR="00D92996" w:rsidRPr="005078C0" w:rsidRDefault="00D92996" w:rsidP="00C90A3E">
            <w:pPr>
              <w:pStyle w:val="Bezmezer"/>
              <w:spacing w:line="276" w:lineRule="auto"/>
              <w:jc w:val="both"/>
              <w:rPr>
                <w:rStyle w:val="Hypertextovodkaz"/>
                <w:rFonts w:ascii="Arial" w:eastAsia="Times New Roman" w:hAnsi="Arial" w:cs="Arial"/>
                <w:bCs/>
                <w:color w:val="0F0D29" w:themeColor="text1"/>
                <w:kern w:val="36"/>
                <w:sz w:val="20"/>
                <w:szCs w:val="20"/>
                <w:u w:val="none"/>
                <w:lang w:eastAsia="cs-CZ"/>
              </w:rPr>
            </w:pPr>
          </w:p>
          <w:p w14:paraId="07B502A4" w14:textId="1D38884E" w:rsidR="00C90A3E" w:rsidRPr="005078C0" w:rsidRDefault="00C90A3E" w:rsidP="00C90A3E">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OŘLZ</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463306E6" w14:textId="77777777" w:rsidR="00C90A3E" w:rsidRPr="005078C0" w:rsidRDefault="00C90A3E" w:rsidP="00C90A3E">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2E9C7DAC" w14:textId="36A929A6" w:rsidR="00C90A3E" w:rsidRPr="005078C0" w:rsidRDefault="00C90A3E" w:rsidP="00C90A3E">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i/>
                <w:color w:val="0F0D29" w:themeColor="text1"/>
                <w:kern w:val="36"/>
                <w:sz w:val="20"/>
                <w:szCs w:val="20"/>
                <w:u w:val="none"/>
                <w:lang w:eastAsia="cs-CZ"/>
              </w:rPr>
              <w:t>OŘLZ – Mgr. Šárka Šolcová</w:t>
            </w:r>
            <w:r w:rsidRPr="005078C0">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ab/>
            </w:r>
            <w:proofErr w:type="gramStart"/>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31.</w:t>
            </w:r>
            <w:proofErr w:type="gramEnd"/>
            <w:r>
              <w:rPr>
                <w:rStyle w:val="Hypertextovodkaz"/>
                <w:rFonts w:ascii="Arial" w:eastAsia="Times New Roman" w:hAnsi="Arial" w:cs="Arial"/>
                <w:b/>
                <w:bCs/>
                <w:i/>
                <w:color w:val="0F0D29" w:themeColor="text1"/>
                <w:kern w:val="36"/>
                <w:sz w:val="20"/>
                <w:szCs w:val="20"/>
                <w:u w:val="none"/>
                <w:lang w:eastAsia="cs-CZ"/>
              </w:rPr>
              <w:t xml:space="preserve"> 5. 2022</w:t>
            </w:r>
          </w:p>
          <w:p w14:paraId="065A3BB7" w14:textId="77777777" w:rsidR="00C90A3E" w:rsidRDefault="00C90A3E" w:rsidP="008E3CAD">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34239922" w14:textId="77777777" w:rsidR="000E2BBE" w:rsidRPr="00834F4E" w:rsidRDefault="000E2BBE" w:rsidP="000E2BBE">
            <w:pPr>
              <w:pStyle w:val="Bezmezer"/>
              <w:jc w:val="center"/>
              <w:rPr>
                <w:rStyle w:val="Hypertextovodkaz"/>
                <w:rFonts w:ascii="Arial" w:eastAsia="Times New Roman" w:hAnsi="Arial" w:cs="Arial"/>
                <w:bCs/>
                <w:color w:val="0F0D29" w:themeColor="text1"/>
                <w:kern w:val="36"/>
                <w:sz w:val="20"/>
                <w:szCs w:val="20"/>
                <w:u w:val="none"/>
                <w:lang w:eastAsia="cs-CZ"/>
              </w:rPr>
            </w:pPr>
          </w:p>
          <w:p w14:paraId="46D54602" w14:textId="3FB7EE3D" w:rsidR="00C90A3E" w:rsidRPr="005078C0" w:rsidRDefault="00C90A3E" w:rsidP="00C90A3E">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C90A3E">
              <w:rPr>
                <w:rStyle w:val="Hypertextovodkaz"/>
                <w:rFonts w:ascii="Arial" w:eastAsia="Times New Roman" w:hAnsi="Arial" w:cs="Arial"/>
                <w:b/>
                <w:bCs/>
                <w:color w:val="0F0D29" w:themeColor="text1"/>
                <w:kern w:val="36"/>
                <w:sz w:val="24"/>
                <w:szCs w:val="20"/>
                <w:u w:val="none"/>
                <w:lang w:eastAsia="cs-CZ"/>
              </w:rPr>
              <w:t>Návrh zákona, kterým se mění zákon č. 258/2000 Sb., o ochraně veřejného zdraví a o změně některých souvisejících zákonů, ve znění pozdějších předpisů, a zákon č. 274/2001 Sb., o vodovodech a kanalizacích pro veřejnou potřebu a o změně některých zákonů (zákon o vodovodech a kanalizacích), ve znění pozdějších předpisů</w:t>
            </w:r>
            <w:r w:rsidR="00EF6723">
              <w:rPr>
                <w:rStyle w:val="Hypertextovodkaz"/>
                <w:rFonts w:ascii="Arial" w:eastAsia="Times New Roman" w:hAnsi="Arial" w:cs="Arial"/>
                <w:b/>
                <w:bCs/>
                <w:color w:val="0F0D29" w:themeColor="text1"/>
                <w:kern w:val="36"/>
                <w:sz w:val="24"/>
                <w:szCs w:val="24"/>
                <w:u w:val="none"/>
                <w:lang w:eastAsia="cs-CZ"/>
              </w:rPr>
              <w:pict w14:anchorId="7027EDA8">
                <v:rect id="_x0000_i1029" style="width:0;height:1.5pt" o:hralign="center" o:hrstd="t" o:hr="t" fillcolor="#a0a0a0" stroked="f"/>
              </w:pict>
            </w:r>
          </w:p>
          <w:p w14:paraId="7EEB9DDA" w14:textId="790731FD" w:rsidR="00C90A3E" w:rsidRDefault="00C90A3E" w:rsidP="00C90A3E">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EKLEP</w:t>
            </w:r>
            <w:r>
              <w:t xml:space="preserve"> </w:t>
            </w:r>
            <w:r w:rsidRPr="00C90A3E">
              <w:rPr>
                <w:rStyle w:val="Hypertextovodkaz"/>
                <w:rFonts w:ascii="Arial" w:eastAsia="Times New Roman" w:hAnsi="Arial" w:cs="Arial"/>
                <w:bCs/>
                <w:color w:val="0F0D29" w:themeColor="text1"/>
                <w:kern w:val="36"/>
                <w:sz w:val="20"/>
                <w:szCs w:val="20"/>
                <w:u w:val="none"/>
                <w:lang w:eastAsia="cs-CZ"/>
              </w:rPr>
              <w:t>ALBSCCUEQQ9O</w:t>
            </w:r>
            <w:r>
              <w:rPr>
                <w:rStyle w:val="Hypertextovodkaz"/>
                <w:rFonts w:ascii="Arial" w:eastAsia="Times New Roman" w:hAnsi="Arial" w:cs="Arial"/>
                <w:bCs/>
                <w:color w:val="0F0D29" w:themeColor="text1"/>
                <w:kern w:val="36"/>
                <w:sz w:val="20"/>
                <w:szCs w:val="20"/>
                <w:u w:val="none"/>
                <w:lang w:eastAsia="cs-CZ"/>
              </w:rPr>
              <w:t xml:space="preserve"> </w:t>
            </w:r>
            <w:r>
              <w:t xml:space="preserve"> </w:t>
            </w:r>
            <w:r>
              <w:rPr>
                <w:rStyle w:val="Hypertextovodkaz"/>
                <w:rFonts w:ascii="Arial" w:eastAsia="Times New Roman" w:hAnsi="Arial" w:cs="Arial"/>
                <w:bCs/>
                <w:color w:val="0F0D29" w:themeColor="text1"/>
                <w:kern w:val="36"/>
                <w:sz w:val="20"/>
                <w:szCs w:val="20"/>
                <w:u w:val="none"/>
                <w:lang w:eastAsia="cs-CZ"/>
              </w:rPr>
              <w:t xml:space="preserve"> </w:t>
            </w:r>
          </w:p>
          <w:p w14:paraId="3013C050" w14:textId="272543E4" w:rsidR="00C90A3E" w:rsidRDefault="00C90A3E" w:rsidP="00C90A3E">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V mezirezortním připomínkovém řízení</w:t>
            </w:r>
          </w:p>
          <w:p w14:paraId="00C58A51" w14:textId="77777777" w:rsidR="00C90A3E" w:rsidRPr="005078C0" w:rsidRDefault="00C90A3E" w:rsidP="00C90A3E">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35580351" w14:textId="6A2A81F5" w:rsidR="00C90A3E" w:rsidRDefault="00D92996" w:rsidP="00A404F7">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D92996">
              <w:rPr>
                <w:rStyle w:val="Hypertextovodkaz"/>
                <w:rFonts w:ascii="Arial" w:eastAsia="Times New Roman" w:hAnsi="Arial" w:cs="Arial"/>
                <w:bCs/>
                <w:color w:val="0F0D29" w:themeColor="text1"/>
                <w:kern w:val="36"/>
                <w:sz w:val="20"/>
                <w:szCs w:val="20"/>
                <w:u w:val="none"/>
                <w:lang w:eastAsia="cs-CZ"/>
              </w:rPr>
              <w:t xml:space="preserve">Cílem navržené novely zákona o ochraně veřejného zdraví a zákona o vodovodech a kanalizacích je provedení povinné transpozice evropské směrnice č. 2020/2184 do legislativy ČR. Tato směrnice v plném rozsahu nahrazuje směrnici </w:t>
            </w:r>
            <w:r>
              <w:rPr>
                <w:rStyle w:val="Hypertextovodkaz"/>
                <w:rFonts w:ascii="Arial" w:eastAsia="Times New Roman" w:hAnsi="Arial" w:cs="Arial"/>
                <w:bCs/>
                <w:color w:val="0F0D29" w:themeColor="text1"/>
                <w:kern w:val="36"/>
                <w:sz w:val="20"/>
                <w:szCs w:val="20"/>
                <w:u w:val="none"/>
                <w:lang w:eastAsia="cs-CZ"/>
              </w:rPr>
              <w:t>Rady 98/83/ES. Přijetím návrhu má být</w:t>
            </w:r>
            <w:r w:rsidRPr="00D92996">
              <w:rPr>
                <w:rStyle w:val="Hypertextovodkaz"/>
                <w:rFonts w:ascii="Arial" w:eastAsia="Times New Roman" w:hAnsi="Arial" w:cs="Arial"/>
                <w:bCs/>
                <w:color w:val="0F0D29" w:themeColor="text1"/>
                <w:kern w:val="36"/>
                <w:sz w:val="20"/>
                <w:szCs w:val="20"/>
                <w:u w:val="none"/>
                <w:lang w:eastAsia="cs-CZ"/>
              </w:rPr>
              <w:t xml:space="preserve"> zajištěno zvýšení bezpečnosti dodávané pitné vody</w:t>
            </w:r>
            <w:r>
              <w:rPr>
                <w:rStyle w:val="Hypertextovodkaz"/>
                <w:rFonts w:ascii="Arial" w:eastAsia="Times New Roman" w:hAnsi="Arial" w:cs="Arial"/>
                <w:bCs/>
                <w:color w:val="0F0D29" w:themeColor="text1"/>
                <w:kern w:val="36"/>
                <w:sz w:val="20"/>
                <w:szCs w:val="20"/>
                <w:u w:val="none"/>
                <w:lang w:eastAsia="cs-CZ"/>
              </w:rPr>
              <w:t>.</w:t>
            </w:r>
          </w:p>
          <w:p w14:paraId="7BC88451" w14:textId="77777777" w:rsidR="00D92996" w:rsidRPr="005078C0" w:rsidRDefault="00D92996" w:rsidP="00C90A3E">
            <w:pPr>
              <w:pStyle w:val="Bezmezer"/>
              <w:spacing w:line="276" w:lineRule="auto"/>
              <w:jc w:val="both"/>
              <w:rPr>
                <w:rStyle w:val="Hypertextovodkaz"/>
                <w:rFonts w:ascii="Arial" w:eastAsia="Times New Roman" w:hAnsi="Arial" w:cs="Arial"/>
                <w:bCs/>
                <w:color w:val="0F0D29" w:themeColor="text1"/>
                <w:kern w:val="36"/>
                <w:sz w:val="20"/>
                <w:szCs w:val="20"/>
                <w:u w:val="none"/>
                <w:lang w:eastAsia="cs-CZ"/>
              </w:rPr>
            </w:pPr>
          </w:p>
          <w:p w14:paraId="0C84159E" w14:textId="051E4F9B" w:rsidR="00C90A3E" w:rsidRPr="005078C0" w:rsidRDefault="00C90A3E" w:rsidP="00C90A3E">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OHSE</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423E0F8C" w14:textId="77777777" w:rsidR="00C90A3E" w:rsidRPr="005078C0" w:rsidRDefault="00C90A3E" w:rsidP="00C90A3E">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61E75871" w14:textId="26464DF0" w:rsidR="00C90A3E" w:rsidRPr="005078C0" w:rsidRDefault="00C90A3E" w:rsidP="00C90A3E">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Pr="00C90A3E">
              <w:rPr>
                <w:rStyle w:val="Hypertextovodkaz"/>
                <w:rFonts w:ascii="Arial" w:eastAsia="Times New Roman" w:hAnsi="Arial" w:cs="Arial"/>
                <w:i/>
                <w:color w:val="0F0D29" w:themeColor="text1"/>
                <w:kern w:val="36"/>
                <w:sz w:val="20"/>
                <w:szCs w:val="20"/>
                <w:u w:val="none"/>
                <w:lang w:eastAsia="cs-CZ"/>
              </w:rPr>
              <w:t>OHSE – Ing. Zdeněk Stejskal</w:t>
            </w:r>
            <w:r w:rsidRPr="005078C0">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ab/>
            </w:r>
            <w:proofErr w:type="gramStart"/>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31.</w:t>
            </w:r>
            <w:proofErr w:type="gramEnd"/>
            <w:r>
              <w:rPr>
                <w:rStyle w:val="Hypertextovodkaz"/>
                <w:rFonts w:ascii="Arial" w:eastAsia="Times New Roman" w:hAnsi="Arial" w:cs="Arial"/>
                <w:b/>
                <w:bCs/>
                <w:i/>
                <w:color w:val="0F0D29" w:themeColor="text1"/>
                <w:kern w:val="36"/>
                <w:sz w:val="20"/>
                <w:szCs w:val="20"/>
                <w:u w:val="none"/>
                <w:lang w:eastAsia="cs-CZ"/>
              </w:rPr>
              <w:t xml:space="preserve"> 5. 2022</w:t>
            </w:r>
          </w:p>
          <w:p w14:paraId="0338E2D6" w14:textId="77777777" w:rsidR="00C90A3E" w:rsidRDefault="00C90A3E" w:rsidP="00C90A3E">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687F3897" w14:textId="77777777" w:rsidR="00F3526A" w:rsidRDefault="00F3526A" w:rsidP="00F3526A">
            <w:pPr>
              <w:pStyle w:val="Bezmezer"/>
              <w:jc w:val="center"/>
              <w:rPr>
                <w:rStyle w:val="Hypertextovodkaz"/>
                <w:rFonts w:ascii="Arial" w:eastAsia="Times New Roman" w:hAnsi="Arial" w:cs="Arial"/>
                <w:b/>
                <w:bCs/>
                <w:color w:val="0F0D29" w:themeColor="text1"/>
                <w:kern w:val="36"/>
                <w:sz w:val="24"/>
                <w:szCs w:val="20"/>
                <w:u w:val="none"/>
                <w:lang w:eastAsia="cs-CZ"/>
              </w:rPr>
            </w:pPr>
          </w:p>
          <w:p w14:paraId="1DA26997" w14:textId="0B7FBDFE" w:rsidR="00F5617F" w:rsidRDefault="00F5617F" w:rsidP="00F5617F">
            <w:pPr>
              <w:pStyle w:val="Bezmezer"/>
              <w:jc w:val="right"/>
              <w:rPr>
                <w:rStyle w:val="Hypertextovodkaz"/>
                <w:rFonts w:ascii="Arial" w:eastAsia="Times New Roman" w:hAnsi="Arial" w:cs="Arial"/>
                <w:color w:val="0F0D29" w:themeColor="text1"/>
                <w:kern w:val="36"/>
                <w:sz w:val="24"/>
                <w:szCs w:val="20"/>
                <w:u w:val="none"/>
                <w:lang w:eastAsia="cs-CZ"/>
              </w:rPr>
            </w:pPr>
            <w:bookmarkStart w:id="0" w:name="_Hlk95940230"/>
          </w:p>
          <w:p w14:paraId="1C23BF01" w14:textId="0E5BFBAD" w:rsidR="00C90A3E" w:rsidRPr="005078C0" w:rsidRDefault="00C90A3E" w:rsidP="00C90A3E">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C90A3E">
              <w:rPr>
                <w:rStyle w:val="Hypertextovodkaz"/>
                <w:rFonts w:ascii="Arial" w:eastAsia="Times New Roman" w:hAnsi="Arial" w:cs="Arial"/>
                <w:b/>
                <w:bCs/>
                <w:color w:val="0F0D29" w:themeColor="text1"/>
                <w:kern w:val="36"/>
                <w:sz w:val="24"/>
                <w:szCs w:val="20"/>
                <w:u w:val="none"/>
                <w:lang w:eastAsia="cs-CZ"/>
              </w:rPr>
              <w:t>Návrh nařízení o stanovení hodnoty vnitřního výnosového procenta pro jednotlivé druhy obnovitelných zdrojů</w:t>
            </w:r>
            <w:r w:rsidR="00EF6723">
              <w:rPr>
                <w:rStyle w:val="Hypertextovodkaz"/>
                <w:rFonts w:ascii="Arial" w:eastAsia="Times New Roman" w:hAnsi="Arial" w:cs="Arial"/>
                <w:b/>
                <w:bCs/>
                <w:color w:val="0F0D29" w:themeColor="text1"/>
                <w:kern w:val="36"/>
                <w:sz w:val="24"/>
                <w:szCs w:val="24"/>
                <w:u w:val="none"/>
                <w:lang w:eastAsia="cs-CZ"/>
              </w:rPr>
              <w:pict w14:anchorId="56EEA459">
                <v:rect id="_x0000_i1030" style="width:0;height:1.5pt" o:hralign="center" o:hrstd="t" o:hr="t" fillcolor="#a0a0a0" stroked="f"/>
              </w:pict>
            </w:r>
          </w:p>
          <w:p w14:paraId="22634695" w14:textId="61D34794" w:rsidR="00C90A3E" w:rsidRDefault="00C90A3E" w:rsidP="00C90A3E">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EKLEP</w:t>
            </w:r>
            <w:r>
              <w:t xml:space="preserve"> </w:t>
            </w:r>
            <w:r w:rsidRPr="00C90A3E">
              <w:rPr>
                <w:rStyle w:val="Hypertextovodkaz"/>
                <w:rFonts w:ascii="Arial" w:eastAsia="Times New Roman" w:hAnsi="Arial" w:cs="Arial"/>
                <w:bCs/>
                <w:color w:val="0F0D29" w:themeColor="text1"/>
                <w:kern w:val="36"/>
                <w:sz w:val="20"/>
                <w:szCs w:val="20"/>
                <w:u w:val="none"/>
                <w:lang w:eastAsia="cs-CZ"/>
              </w:rPr>
              <w:t>KORNCD7DSFM7</w:t>
            </w:r>
            <w:r>
              <w:rPr>
                <w:rStyle w:val="Hypertextovodkaz"/>
                <w:rFonts w:ascii="Arial" w:eastAsia="Times New Roman" w:hAnsi="Arial" w:cs="Arial"/>
                <w:bCs/>
                <w:color w:val="0F0D29" w:themeColor="text1"/>
                <w:kern w:val="36"/>
                <w:sz w:val="20"/>
                <w:szCs w:val="20"/>
                <w:u w:val="none"/>
                <w:lang w:eastAsia="cs-CZ"/>
              </w:rPr>
              <w:t xml:space="preserve"> </w:t>
            </w:r>
            <w:r>
              <w:t xml:space="preserve">  </w:t>
            </w:r>
            <w:r>
              <w:rPr>
                <w:rStyle w:val="Hypertextovodkaz"/>
                <w:rFonts w:ascii="Arial" w:eastAsia="Times New Roman" w:hAnsi="Arial" w:cs="Arial"/>
                <w:bCs/>
                <w:color w:val="0F0D29" w:themeColor="text1"/>
                <w:kern w:val="36"/>
                <w:sz w:val="20"/>
                <w:szCs w:val="20"/>
                <w:u w:val="none"/>
                <w:lang w:eastAsia="cs-CZ"/>
              </w:rPr>
              <w:t xml:space="preserve"> </w:t>
            </w:r>
            <w:r>
              <w:t xml:space="preserve"> </w:t>
            </w:r>
            <w:r>
              <w:rPr>
                <w:rStyle w:val="Hypertextovodkaz"/>
                <w:rFonts w:ascii="Arial" w:eastAsia="Times New Roman" w:hAnsi="Arial" w:cs="Arial"/>
                <w:bCs/>
                <w:color w:val="0F0D29" w:themeColor="text1"/>
                <w:kern w:val="36"/>
                <w:sz w:val="20"/>
                <w:szCs w:val="20"/>
                <w:u w:val="none"/>
                <w:lang w:eastAsia="cs-CZ"/>
              </w:rPr>
              <w:t xml:space="preserve"> </w:t>
            </w:r>
          </w:p>
          <w:p w14:paraId="559784F7" w14:textId="77777777" w:rsidR="00C90A3E" w:rsidRDefault="00C90A3E" w:rsidP="00C90A3E">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V mezirezortním připomínkovém řízení</w:t>
            </w:r>
          </w:p>
          <w:p w14:paraId="4804D1FC" w14:textId="77777777" w:rsidR="00D92996" w:rsidRDefault="00D92996" w:rsidP="00D92996">
            <w:pPr>
              <w:pStyle w:val="Bezmezer"/>
              <w:spacing w:line="276" w:lineRule="auto"/>
              <w:rPr>
                <w:rStyle w:val="Hypertextovodkaz"/>
                <w:rFonts w:ascii="Arial" w:eastAsia="Times New Roman" w:hAnsi="Arial" w:cs="Arial"/>
                <w:bCs/>
                <w:color w:val="0F0D29" w:themeColor="text1"/>
                <w:kern w:val="36"/>
                <w:sz w:val="20"/>
                <w:szCs w:val="20"/>
                <w:u w:val="none"/>
                <w:lang w:eastAsia="cs-CZ"/>
              </w:rPr>
            </w:pPr>
          </w:p>
          <w:p w14:paraId="30D4D278" w14:textId="5AA35BC7" w:rsidR="00C90A3E" w:rsidRPr="005078C0" w:rsidRDefault="00D92996" w:rsidP="00A404F7">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D92996">
              <w:rPr>
                <w:rStyle w:val="Hypertextovodkaz"/>
                <w:rFonts w:ascii="Arial" w:eastAsia="Times New Roman" w:hAnsi="Arial" w:cs="Arial"/>
                <w:bCs/>
                <w:color w:val="0F0D29" w:themeColor="text1"/>
                <w:kern w:val="36"/>
                <w:sz w:val="20"/>
                <w:szCs w:val="20"/>
                <w:u w:val="none"/>
                <w:lang w:eastAsia="cs-CZ"/>
              </w:rPr>
              <w:t>Novelou zákona č. 165/2012 Sb., o podporovaných zdrojích energie byl schválen interval hodnot výše IRR, který je v rozmezí 8,4 až 10,6 %, s tím, že Vláda v nařízení vlády stanoví konkrétní hodnoty IRR pro jednotlivé druhy OZE, které budou v tomto intervalu.</w:t>
            </w:r>
          </w:p>
          <w:p w14:paraId="6F9B1E28" w14:textId="77777777" w:rsidR="00C90A3E" w:rsidRPr="005078C0" w:rsidRDefault="00C90A3E" w:rsidP="00C90A3E">
            <w:pPr>
              <w:pStyle w:val="Bezmezer"/>
              <w:spacing w:line="276" w:lineRule="auto"/>
              <w:jc w:val="both"/>
              <w:rPr>
                <w:rStyle w:val="Hypertextovodkaz"/>
                <w:rFonts w:ascii="Arial" w:eastAsia="Times New Roman" w:hAnsi="Arial" w:cs="Arial"/>
                <w:bCs/>
                <w:color w:val="0F0D29" w:themeColor="text1"/>
                <w:kern w:val="36"/>
                <w:sz w:val="20"/>
                <w:szCs w:val="20"/>
                <w:u w:val="none"/>
                <w:lang w:eastAsia="cs-CZ"/>
              </w:rPr>
            </w:pPr>
          </w:p>
          <w:p w14:paraId="2CE0D932" w14:textId="16CB516D" w:rsidR="00C90A3E" w:rsidRPr="005078C0" w:rsidRDefault="00C90A3E" w:rsidP="00C90A3E">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O</w:t>
            </w:r>
            <w:r w:rsidR="00F72153">
              <w:rPr>
                <w:rStyle w:val="Hypertextovodkaz"/>
                <w:rFonts w:ascii="Arial" w:eastAsia="Times New Roman" w:hAnsi="Arial" w:cs="Arial"/>
                <w:bCs/>
                <w:i/>
                <w:color w:val="0F0D29" w:themeColor="text1"/>
                <w:kern w:val="36"/>
                <w:sz w:val="20"/>
                <w:szCs w:val="20"/>
                <w:u w:val="none"/>
                <w:lang w:eastAsia="cs-CZ"/>
              </w:rPr>
              <w:t>Ú</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48F925F6" w14:textId="77777777" w:rsidR="00C90A3E" w:rsidRPr="005078C0" w:rsidRDefault="00C90A3E" w:rsidP="00C90A3E">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19321D32" w14:textId="0D59581A" w:rsidR="00C90A3E" w:rsidRPr="005078C0" w:rsidRDefault="00C90A3E" w:rsidP="00C90A3E">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F72153">
              <w:rPr>
                <w:rStyle w:val="Hypertextovodkaz"/>
                <w:rFonts w:ascii="Arial" w:eastAsia="Times New Roman" w:hAnsi="Arial" w:cs="Arial"/>
                <w:i/>
                <w:color w:val="0F0D29" w:themeColor="text1"/>
                <w:kern w:val="36"/>
                <w:sz w:val="20"/>
                <w:szCs w:val="20"/>
                <w:u w:val="none"/>
                <w:lang w:eastAsia="cs-CZ"/>
              </w:rPr>
              <w:t>OÚ – Ing. Jaroslav Slouka</w:t>
            </w:r>
            <w:r w:rsidRPr="005078C0">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ab/>
            </w:r>
            <w:proofErr w:type="gramStart"/>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31.</w:t>
            </w:r>
            <w:proofErr w:type="gramEnd"/>
            <w:r>
              <w:rPr>
                <w:rStyle w:val="Hypertextovodkaz"/>
                <w:rFonts w:ascii="Arial" w:eastAsia="Times New Roman" w:hAnsi="Arial" w:cs="Arial"/>
                <w:b/>
                <w:bCs/>
                <w:i/>
                <w:color w:val="0F0D29" w:themeColor="text1"/>
                <w:kern w:val="36"/>
                <w:sz w:val="20"/>
                <w:szCs w:val="20"/>
                <w:u w:val="none"/>
                <w:lang w:eastAsia="cs-CZ"/>
              </w:rPr>
              <w:t xml:space="preserve"> 5. 2022</w:t>
            </w:r>
          </w:p>
          <w:p w14:paraId="74BC6F9B" w14:textId="7C129680" w:rsidR="00782B2D" w:rsidRDefault="00782B2D" w:rsidP="00F5617F">
            <w:pPr>
              <w:pStyle w:val="Bezmezer"/>
              <w:jc w:val="right"/>
              <w:rPr>
                <w:rStyle w:val="Hypertextovodkaz"/>
                <w:rFonts w:ascii="Arial" w:eastAsia="Times New Roman" w:hAnsi="Arial" w:cs="Arial"/>
                <w:color w:val="0F0D29" w:themeColor="text1"/>
                <w:kern w:val="36"/>
                <w:sz w:val="24"/>
                <w:szCs w:val="20"/>
                <w:u w:val="none"/>
                <w:lang w:eastAsia="cs-CZ"/>
              </w:rPr>
            </w:pPr>
          </w:p>
          <w:p w14:paraId="70249CD1" w14:textId="7675425E" w:rsidR="00782B2D" w:rsidRDefault="00782B2D" w:rsidP="00F5617F">
            <w:pPr>
              <w:pStyle w:val="Bezmezer"/>
              <w:jc w:val="right"/>
              <w:rPr>
                <w:rStyle w:val="Hypertextovodkaz"/>
                <w:rFonts w:ascii="Arial" w:eastAsia="Times New Roman" w:hAnsi="Arial" w:cs="Arial"/>
                <w:color w:val="0F0D29" w:themeColor="text1"/>
                <w:kern w:val="36"/>
                <w:sz w:val="24"/>
                <w:szCs w:val="20"/>
                <w:u w:val="none"/>
                <w:lang w:eastAsia="cs-CZ"/>
              </w:rPr>
            </w:pPr>
          </w:p>
          <w:p w14:paraId="7C1CFB38" w14:textId="13EDDCFB" w:rsidR="00F72153" w:rsidRPr="005078C0" w:rsidRDefault="00F72153" w:rsidP="00F72153">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F72153">
              <w:rPr>
                <w:rStyle w:val="Hypertextovodkaz"/>
                <w:rFonts w:ascii="Arial" w:eastAsia="Times New Roman" w:hAnsi="Arial" w:cs="Arial"/>
                <w:b/>
                <w:bCs/>
                <w:color w:val="0F0D29" w:themeColor="text1"/>
                <w:kern w:val="36"/>
                <w:sz w:val="24"/>
                <w:szCs w:val="20"/>
                <w:u w:val="none"/>
                <w:lang w:eastAsia="cs-CZ"/>
              </w:rPr>
              <w:t>Návrh zákona, kterým se mění zákon č. 99/1963 Sb., občanský soudní řád, zákon č. 120/2001 Sb.,</w:t>
            </w:r>
            <w:r w:rsidR="00BE00DE">
              <w:rPr>
                <w:rStyle w:val="Hypertextovodkaz"/>
                <w:rFonts w:ascii="Arial" w:eastAsia="Times New Roman" w:hAnsi="Arial" w:cs="Arial"/>
                <w:b/>
                <w:bCs/>
                <w:color w:val="0F0D29" w:themeColor="text1"/>
                <w:kern w:val="36"/>
                <w:sz w:val="24"/>
                <w:szCs w:val="20"/>
                <w:u w:val="none"/>
                <w:lang w:eastAsia="cs-CZ"/>
              </w:rPr>
              <w:t xml:space="preserve"> exekuční řád a</w:t>
            </w:r>
            <w:r w:rsidRPr="00F72153">
              <w:rPr>
                <w:rStyle w:val="Hypertextovodkaz"/>
                <w:rFonts w:ascii="Arial" w:eastAsia="Times New Roman" w:hAnsi="Arial" w:cs="Arial"/>
                <w:b/>
                <w:bCs/>
                <w:color w:val="0F0D29" w:themeColor="text1"/>
                <w:kern w:val="36"/>
                <w:sz w:val="24"/>
                <w:szCs w:val="20"/>
                <w:u w:val="none"/>
                <w:lang w:eastAsia="cs-CZ"/>
              </w:rPr>
              <w:t xml:space="preserve"> zákon č. 286/2021 Sb.</w:t>
            </w:r>
            <w:r w:rsidR="00EF6723">
              <w:rPr>
                <w:rStyle w:val="Hypertextovodkaz"/>
                <w:rFonts w:ascii="Arial" w:eastAsia="Times New Roman" w:hAnsi="Arial" w:cs="Arial"/>
                <w:b/>
                <w:bCs/>
                <w:color w:val="0F0D29" w:themeColor="text1"/>
                <w:kern w:val="36"/>
                <w:sz w:val="24"/>
                <w:szCs w:val="24"/>
                <w:u w:val="none"/>
                <w:lang w:eastAsia="cs-CZ"/>
              </w:rPr>
              <w:pict w14:anchorId="4B399BDB">
                <v:rect id="_x0000_i1031" style="width:0;height:1.5pt" o:hralign="center" o:hrstd="t" o:hr="t" fillcolor="#a0a0a0" stroked="f"/>
              </w:pict>
            </w:r>
          </w:p>
          <w:p w14:paraId="7EDE8B4D" w14:textId="21897985" w:rsidR="00F72153" w:rsidRDefault="00F72153" w:rsidP="00F72153">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EKLEP</w:t>
            </w:r>
            <w:r>
              <w:t xml:space="preserve"> </w:t>
            </w:r>
            <w:r w:rsidRPr="00F72153">
              <w:rPr>
                <w:rStyle w:val="Hypertextovodkaz"/>
                <w:rFonts w:ascii="Arial" w:eastAsia="Times New Roman" w:hAnsi="Arial" w:cs="Arial"/>
                <w:bCs/>
                <w:color w:val="0F0D29" w:themeColor="text1"/>
                <w:kern w:val="36"/>
                <w:sz w:val="20"/>
                <w:szCs w:val="20"/>
                <w:u w:val="none"/>
                <w:lang w:eastAsia="cs-CZ"/>
              </w:rPr>
              <w:t>KORNCDAECWM4</w:t>
            </w:r>
            <w:r>
              <w:rPr>
                <w:rStyle w:val="Hypertextovodkaz"/>
                <w:rFonts w:ascii="Arial" w:eastAsia="Times New Roman" w:hAnsi="Arial" w:cs="Arial"/>
                <w:bCs/>
                <w:color w:val="0F0D29" w:themeColor="text1"/>
                <w:kern w:val="36"/>
                <w:sz w:val="20"/>
                <w:szCs w:val="20"/>
                <w:u w:val="none"/>
                <w:lang w:eastAsia="cs-CZ"/>
              </w:rPr>
              <w:t xml:space="preserve"> </w:t>
            </w:r>
            <w:r>
              <w:t xml:space="preserve">  </w:t>
            </w:r>
            <w:r>
              <w:rPr>
                <w:rStyle w:val="Hypertextovodkaz"/>
                <w:rFonts w:ascii="Arial" w:eastAsia="Times New Roman" w:hAnsi="Arial" w:cs="Arial"/>
                <w:bCs/>
                <w:color w:val="0F0D29" w:themeColor="text1"/>
                <w:kern w:val="36"/>
                <w:sz w:val="20"/>
                <w:szCs w:val="20"/>
                <w:u w:val="none"/>
                <w:lang w:eastAsia="cs-CZ"/>
              </w:rPr>
              <w:t xml:space="preserve"> </w:t>
            </w:r>
            <w:r>
              <w:t xml:space="preserve"> </w:t>
            </w:r>
            <w:r>
              <w:rPr>
                <w:rStyle w:val="Hypertextovodkaz"/>
                <w:rFonts w:ascii="Arial" w:eastAsia="Times New Roman" w:hAnsi="Arial" w:cs="Arial"/>
                <w:bCs/>
                <w:color w:val="0F0D29" w:themeColor="text1"/>
                <w:kern w:val="36"/>
                <w:sz w:val="20"/>
                <w:szCs w:val="20"/>
                <w:u w:val="none"/>
                <w:lang w:eastAsia="cs-CZ"/>
              </w:rPr>
              <w:t xml:space="preserve"> </w:t>
            </w:r>
          </w:p>
          <w:p w14:paraId="3A9301D5" w14:textId="77777777" w:rsidR="00F72153" w:rsidRDefault="00F72153" w:rsidP="00F72153">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V mezirezortním připomínkovém řízení</w:t>
            </w:r>
          </w:p>
          <w:p w14:paraId="34BA21C5" w14:textId="0633592D" w:rsidR="00F72153" w:rsidRDefault="00F72153" w:rsidP="00D92996">
            <w:pPr>
              <w:pStyle w:val="Bezmezer"/>
              <w:spacing w:line="276" w:lineRule="auto"/>
              <w:jc w:val="both"/>
              <w:rPr>
                <w:rStyle w:val="Hypertextovodkaz"/>
                <w:rFonts w:ascii="Arial" w:eastAsia="Times New Roman" w:hAnsi="Arial" w:cs="Arial"/>
                <w:bCs/>
                <w:color w:val="0F0D29" w:themeColor="text1"/>
                <w:kern w:val="36"/>
                <w:sz w:val="20"/>
                <w:szCs w:val="20"/>
                <w:u w:val="none"/>
                <w:lang w:eastAsia="cs-CZ"/>
              </w:rPr>
            </w:pPr>
          </w:p>
          <w:p w14:paraId="7AF0CDF0" w14:textId="4D22C6E9" w:rsidR="00D92996" w:rsidRDefault="00D92996" w:rsidP="00A404F7">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Ministerstvo spravedlnosti na základě dohody koaličních stran předložilo do mezirezortního připomínkového řízení novelu</w:t>
            </w:r>
            <w:r w:rsidR="00BE00DE">
              <w:rPr>
                <w:rStyle w:val="Hypertextovodkaz"/>
                <w:rFonts w:ascii="Arial" w:eastAsia="Times New Roman" w:hAnsi="Arial" w:cs="Arial"/>
                <w:bCs/>
                <w:color w:val="0F0D29" w:themeColor="text1"/>
                <w:kern w:val="36"/>
                <w:sz w:val="20"/>
                <w:szCs w:val="20"/>
                <w:u w:val="none"/>
                <w:lang w:eastAsia="cs-CZ"/>
              </w:rPr>
              <w:t xml:space="preserve"> občanského soudního řádu a exekučního řádu, která implementuje tzv. „milostivé léto II“.</w:t>
            </w:r>
          </w:p>
          <w:p w14:paraId="4A35AF69" w14:textId="5FA32B5D" w:rsidR="00BE00DE" w:rsidRDefault="00BE00DE" w:rsidP="00A404F7">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11C3821A" w14:textId="6B94887D" w:rsidR="00BE00DE" w:rsidRPr="005078C0" w:rsidRDefault="00BE00DE" w:rsidP="00A404F7">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BE00DE">
              <w:rPr>
                <w:rStyle w:val="Hypertextovodkaz"/>
                <w:rFonts w:ascii="Arial" w:eastAsia="Times New Roman" w:hAnsi="Arial" w:cs="Arial"/>
                <w:bCs/>
                <w:color w:val="0F0D29" w:themeColor="text1"/>
                <w:kern w:val="36"/>
                <w:sz w:val="20"/>
                <w:szCs w:val="20"/>
                <w:u w:val="none"/>
                <w:lang w:eastAsia="cs-CZ"/>
              </w:rPr>
              <w:t xml:space="preserve">Navrhovaná právní úprava obnovuje s účinností od 1. září 2022 možnost povinných v exekuci splnit podmínky tzv. milostivého léta. </w:t>
            </w:r>
          </w:p>
          <w:p w14:paraId="63AE50CA" w14:textId="77777777" w:rsidR="00F72153" w:rsidRPr="005078C0" w:rsidRDefault="00F72153" w:rsidP="00F72153">
            <w:pPr>
              <w:pStyle w:val="Bezmezer"/>
              <w:spacing w:line="276" w:lineRule="auto"/>
              <w:jc w:val="both"/>
              <w:rPr>
                <w:rStyle w:val="Hypertextovodkaz"/>
                <w:rFonts w:ascii="Arial" w:eastAsia="Times New Roman" w:hAnsi="Arial" w:cs="Arial"/>
                <w:bCs/>
                <w:color w:val="0F0D29" w:themeColor="text1"/>
                <w:kern w:val="36"/>
                <w:sz w:val="20"/>
                <w:szCs w:val="20"/>
                <w:u w:val="none"/>
                <w:lang w:eastAsia="cs-CZ"/>
              </w:rPr>
            </w:pPr>
          </w:p>
          <w:p w14:paraId="315E4780" w14:textId="72EDF48A" w:rsidR="00F72153" w:rsidRPr="005078C0" w:rsidRDefault="00F72153" w:rsidP="00F72153">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OPS</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08E9C57B" w14:textId="77777777" w:rsidR="00F72153" w:rsidRPr="005078C0" w:rsidRDefault="00F72153" w:rsidP="00F72153">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0B49BA35" w14:textId="3AAC72DB" w:rsidR="00F72153" w:rsidRPr="005078C0" w:rsidRDefault="00F72153" w:rsidP="00F72153">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i/>
                <w:color w:val="0F0D29" w:themeColor="text1"/>
                <w:kern w:val="36"/>
                <w:sz w:val="20"/>
                <w:szCs w:val="20"/>
                <w:u w:val="none"/>
                <w:lang w:eastAsia="cs-CZ"/>
              </w:rPr>
              <w:t>OPS – Mgr. Pavel Císař</w:t>
            </w:r>
            <w:r w:rsidRPr="005078C0">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ab/>
            </w:r>
            <w:proofErr w:type="gramStart"/>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31.</w:t>
            </w:r>
            <w:proofErr w:type="gramEnd"/>
            <w:r>
              <w:rPr>
                <w:rStyle w:val="Hypertextovodkaz"/>
                <w:rFonts w:ascii="Arial" w:eastAsia="Times New Roman" w:hAnsi="Arial" w:cs="Arial"/>
                <w:b/>
                <w:bCs/>
                <w:i/>
                <w:color w:val="0F0D29" w:themeColor="text1"/>
                <w:kern w:val="36"/>
                <w:sz w:val="20"/>
                <w:szCs w:val="20"/>
                <w:u w:val="none"/>
                <w:lang w:eastAsia="cs-CZ"/>
              </w:rPr>
              <w:t xml:space="preserve"> 5. 2022</w:t>
            </w:r>
          </w:p>
          <w:p w14:paraId="0B8011DA" w14:textId="33C0DCF9" w:rsidR="00F72153" w:rsidRDefault="00F72153" w:rsidP="00F5617F">
            <w:pPr>
              <w:pStyle w:val="Bezmezer"/>
              <w:jc w:val="right"/>
              <w:rPr>
                <w:rStyle w:val="Hypertextovodkaz"/>
                <w:rFonts w:ascii="Arial" w:eastAsia="Times New Roman" w:hAnsi="Arial" w:cs="Arial"/>
                <w:color w:val="0F0D29" w:themeColor="text1"/>
                <w:kern w:val="36"/>
                <w:sz w:val="24"/>
                <w:szCs w:val="20"/>
                <w:u w:val="none"/>
                <w:lang w:eastAsia="cs-CZ"/>
              </w:rPr>
            </w:pPr>
          </w:p>
          <w:p w14:paraId="6C62750A" w14:textId="68DA0538" w:rsidR="002234C9" w:rsidRPr="005078C0" w:rsidRDefault="002234C9" w:rsidP="002234C9">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Pr>
                <w:rStyle w:val="Hypertextovodkaz"/>
                <w:rFonts w:ascii="Arial" w:eastAsia="Times New Roman" w:hAnsi="Arial" w:cs="Arial"/>
                <w:b/>
                <w:bCs/>
                <w:color w:val="0F0D29" w:themeColor="text1"/>
                <w:kern w:val="36"/>
                <w:sz w:val="24"/>
                <w:szCs w:val="20"/>
                <w:u w:val="none"/>
                <w:lang w:eastAsia="cs-CZ"/>
              </w:rPr>
              <w:t>N</w:t>
            </w:r>
            <w:r w:rsidRPr="002234C9">
              <w:rPr>
                <w:rStyle w:val="Hypertextovodkaz"/>
                <w:rFonts w:ascii="Arial" w:eastAsia="Times New Roman" w:hAnsi="Arial" w:cs="Arial"/>
                <w:b/>
                <w:bCs/>
                <w:color w:val="0F0D29" w:themeColor="text1"/>
                <w:kern w:val="36"/>
                <w:sz w:val="24"/>
                <w:szCs w:val="20"/>
                <w:u w:val="none"/>
                <w:lang w:eastAsia="cs-CZ"/>
              </w:rPr>
              <w:t>ávrh zákona o jednotném povolování v oblasti ochrany životního prostředí a o změně některých souvisejících zákonů (zákon o jednotném povolování v oblasti ochrany životního prostředí)</w:t>
            </w:r>
            <w:r w:rsidR="00EF6723">
              <w:rPr>
                <w:rStyle w:val="Hypertextovodkaz"/>
                <w:rFonts w:ascii="Arial" w:eastAsia="Times New Roman" w:hAnsi="Arial" w:cs="Arial"/>
                <w:b/>
                <w:bCs/>
                <w:color w:val="0F0D29" w:themeColor="text1"/>
                <w:kern w:val="36"/>
                <w:sz w:val="24"/>
                <w:szCs w:val="24"/>
                <w:u w:val="none"/>
                <w:lang w:eastAsia="cs-CZ"/>
              </w:rPr>
              <w:pict w14:anchorId="16523FB3">
                <v:rect id="_x0000_i1032" style="width:0;height:1.5pt" o:hralign="center" o:hrstd="t" o:hr="t" fillcolor="#a0a0a0" stroked="f"/>
              </w:pict>
            </w:r>
          </w:p>
          <w:p w14:paraId="1830F79F" w14:textId="31BD8EF6" w:rsidR="002234C9" w:rsidRDefault="002234C9" w:rsidP="002234C9">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EKLEP</w:t>
            </w:r>
            <w:r>
              <w:t xml:space="preserve"> </w:t>
            </w:r>
            <w:r w:rsidRPr="002234C9">
              <w:rPr>
                <w:rStyle w:val="Hypertextovodkaz"/>
                <w:rFonts w:ascii="Arial" w:eastAsia="Times New Roman" w:hAnsi="Arial" w:cs="Arial"/>
                <w:bCs/>
                <w:color w:val="0F0D29" w:themeColor="text1"/>
                <w:kern w:val="36"/>
                <w:sz w:val="20"/>
                <w:szCs w:val="20"/>
                <w:u w:val="none"/>
                <w:lang w:eastAsia="cs-CZ"/>
              </w:rPr>
              <w:t>KORNCD9DPTO5</w:t>
            </w:r>
            <w:r>
              <w:rPr>
                <w:rStyle w:val="Hypertextovodkaz"/>
                <w:rFonts w:ascii="Arial" w:eastAsia="Times New Roman" w:hAnsi="Arial" w:cs="Arial"/>
                <w:bCs/>
                <w:color w:val="0F0D29" w:themeColor="text1"/>
                <w:kern w:val="36"/>
                <w:sz w:val="20"/>
                <w:szCs w:val="20"/>
                <w:u w:val="none"/>
                <w:lang w:eastAsia="cs-CZ"/>
              </w:rPr>
              <w:t xml:space="preserve">  </w:t>
            </w:r>
            <w:r>
              <w:t xml:space="preserve"> </w:t>
            </w:r>
            <w:r>
              <w:rPr>
                <w:rStyle w:val="Hypertextovodkaz"/>
                <w:rFonts w:ascii="Arial" w:eastAsia="Times New Roman" w:hAnsi="Arial" w:cs="Arial"/>
                <w:bCs/>
                <w:color w:val="0F0D29" w:themeColor="text1"/>
                <w:kern w:val="36"/>
                <w:sz w:val="20"/>
                <w:szCs w:val="20"/>
                <w:u w:val="none"/>
                <w:lang w:eastAsia="cs-CZ"/>
              </w:rPr>
              <w:t xml:space="preserve"> </w:t>
            </w:r>
            <w:r>
              <w:t xml:space="preserve">  </w:t>
            </w:r>
            <w:r>
              <w:rPr>
                <w:rStyle w:val="Hypertextovodkaz"/>
                <w:rFonts w:ascii="Arial" w:eastAsia="Times New Roman" w:hAnsi="Arial" w:cs="Arial"/>
                <w:bCs/>
                <w:color w:val="0F0D29" w:themeColor="text1"/>
                <w:kern w:val="36"/>
                <w:sz w:val="20"/>
                <w:szCs w:val="20"/>
                <w:u w:val="none"/>
                <w:lang w:eastAsia="cs-CZ"/>
              </w:rPr>
              <w:t xml:space="preserve"> </w:t>
            </w:r>
            <w:r>
              <w:t xml:space="preserve"> </w:t>
            </w:r>
            <w:r>
              <w:rPr>
                <w:rStyle w:val="Hypertextovodkaz"/>
                <w:rFonts w:ascii="Arial" w:eastAsia="Times New Roman" w:hAnsi="Arial" w:cs="Arial"/>
                <w:bCs/>
                <w:color w:val="0F0D29" w:themeColor="text1"/>
                <w:kern w:val="36"/>
                <w:sz w:val="20"/>
                <w:szCs w:val="20"/>
                <w:u w:val="none"/>
                <w:lang w:eastAsia="cs-CZ"/>
              </w:rPr>
              <w:t xml:space="preserve"> </w:t>
            </w:r>
          </w:p>
          <w:p w14:paraId="29985353" w14:textId="77777777" w:rsidR="002234C9" w:rsidRDefault="002234C9" w:rsidP="002234C9">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V mezirezortním připomínkovém řízení</w:t>
            </w:r>
          </w:p>
          <w:p w14:paraId="53C15258" w14:textId="77777777" w:rsidR="002234C9" w:rsidRPr="005078C0" w:rsidRDefault="002234C9" w:rsidP="002234C9">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3A80E6D7" w14:textId="3B1DEAD3" w:rsidR="002234C9" w:rsidRDefault="00E2705F" w:rsidP="00A404F7">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 xml:space="preserve">Ministerstvo životního prostředí předložilo návrh zákona o jednotném povolování v oblasti ochrany životního prostředí. </w:t>
            </w:r>
            <w:r w:rsidRPr="00E2705F">
              <w:rPr>
                <w:rStyle w:val="Hypertextovodkaz"/>
                <w:rFonts w:ascii="Arial" w:eastAsia="Times New Roman" w:hAnsi="Arial" w:cs="Arial"/>
                <w:bCs/>
                <w:color w:val="0F0D29" w:themeColor="text1"/>
                <w:kern w:val="36"/>
                <w:sz w:val="20"/>
                <w:szCs w:val="20"/>
                <w:u w:val="none"/>
                <w:lang w:eastAsia="cs-CZ"/>
              </w:rPr>
              <w:t>Návrh představuje procesní integraci na úseku ochrany životního prostředí a zavádí jednotné environmentální povolení ve formě závazného stanoviska.</w:t>
            </w:r>
          </w:p>
          <w:p w14:paraId="05C66ECE" w14:textId="77777777" w:rsidR="00E2705F" w:rsidRPr="005078C0" w:rsidRDefault="00E2705F" w:rsidP="002234C9">
            <w:pPr>
              <w:pStyle w:val="Bezmezer"/>
              <w:spacing w:line="276" w:lineRule="auto"/>
              <w:jc w:val="both"/>
              <w:rPr>
                <w:rStyle w:val="Hypertextovodkaz"/>
                <w:rFonts w:ascii="Arial" w:eastAsia="Times New Roman" w:hAnsi="Arial" w:cs="Arial"/>
                <w:bCs/>
                <w:color w:val="0F0D29" w:themeColor="text1"/>
                <w:kern w:val="36"/>
                <w:sz w:val="20"/>
                <w:szCs w:val="20"/>
                <w:u w:val="none"/>
                <w:lang w:eastAsia="cs-CZ"/>
              </w:rPr>
            </w:pPr>
          </w:p>
          <w:p w14:paraId="7E249D05" w14:textId="3606B92F" w:rsidR="002234C9" w:rsidRPr="005078C0" w:rsidRDefault="002234C9" w:rsidP="002234C9">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lastRenderedPageBreak/>
              <w:t xml:space="preserve">Úkol: </w:t>
            </w:r>
            <w:r>
              <w:rPr>
                <w:rStyle w:val="Hypertextovodkaz"/>
                <w:rFonts w:ascii="Arial" w:eastAsia="Times New Roman" w:hAnsi="Arial" w:cs="Arial"/>
                <w:bCs/>
                <w:i/>
                <w:color w:val="0F0D29" w:themeColor="text1"/>
                <w:kern w:val="36"/>
                <w:sz w:val="20"/>
                <w:szCs w:val="20"/>
                <w:u w:val="none"/>
                <w:lang w:eastAsia="cs-CZ"/>
              </w:rPr>
              <w:t>OHSE</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5DA8BDA1" w14:textId="77777777" w:rsidR="002234C9" w:rsidRPr="005078C0" w:rsidRDefault="002234C9" w:rsidP="002234C9">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2D7FAA39" w14:textId="7F75E4DE" w:rsidR="002234C9" w:rsidRPr="005078C0" w:rsidRDefault="002234C9" w:rsidP="002234C9">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i/>
                <w:color w:val="0F0D29" w:themeColor="text1"/>
                <w:kern w:val="36"/>
                <w:sz w:val="20"/>
                <w:szCs w:val="20"/>
                <w:u w:val="none"/>
                <w:lang w:eastAsia="cs-CZ"/>
              </w:rPr>
              <w:t>OHSE – Ing. Zdeněk Stejskal</w:t>
            </w:r>
            <w:r w:rsidRPr="005078C0">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30.6.2022</w:t>
            </w:r>
          </w:p>
          <w:p w14:paraId="08EA0F1B" w14:textId="77777777" w:rsidR="002234C9" w:rsidRDefault="002234C9" w:rsidP="00F5617F">
            <w:pPr>
              <w:pStyle w:val="Bezmezer"/>
              <w:jc w:val="right"/>
              <w:rPr>
                <w:rStyle w:val="Hypertextovodkaz"/>
                <w:rFonts w:ascii="Arial" w:eastAsia="Times New Roman" w:hAnsi="Arial" w:cs="Arial"/>
                <w:color w:val="0F0D29" w:themeColor="text1"/>
                <w:kern w:val="36"/>
                <w:sz w:val="24"/>
                <w:szCs w:val="20"/>
                <w:u w:val="none"/>
                <w:lang w:eastAsia="cs-CZ"/>
              </w:rPr>
            </w:pPr>
          </w:p>
          <w:p w14:paraId="754F98BD" w14:textId="7556E1E4" w:rsidR="002234C9" w:rsidRPr="005078C0" w:rsidRDefault="002234C9" w:rsidP="002234C9">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2234C9">
              <w:rPr>
                <w:rStyle w:val="Hypertextovodkaz"/>
                <w:rFonts w:ascii="Arial" w:eastAsia="Times New Roman" w:hAnsi="Arial" w:cs="Arial"/>
                <w:b/>
                <w:bCs/>
                <w:color w:val="0F0D29" w:themeColor="text1"/>
                <w:kern w:val="36"/>
                <w:sz w:val="24"/>
                <w:szCs w:val="20"/>
                <w:u w:val="none"/>
                <w:lang w:eastAsia="cs-CZ"/>
              </w:rPr>
              <w:t>Návrh zákona, kterým se mění zákon č.283/2021 Sb., stavební zákon, a některé další související zákony</w:t>
            </w:r>
            <w:r w:rsidR="00EF6723">
              <w:rPr>
                <w:rStyle w:val="Hypertextovodkaz"/>
                <w:rFonts w:ascii="Arial" w:eastAsia="Times New Roman" w:hAnsi="Arial" w:cs="Arial"/>
                <w:b/>
                <w:bCs/>
                <w:color w:val="0F0D29" w:themeColor="text1"/>
                <w:kern w:val="36"/>
                <w:sz w:val="24"/>
                <w:szCs w:val="24"/>
                <w:u w:val="none"/>
                <w:lang w:eastAsia="cs-CZ"/>
              </w:rPr>
              <w:pict w14:anchorId="006D1F1F">
                <v:rect id="_x0000_i1033" style="width:0;height:1.5pt" o:hralign="center" o:hrstd="t" o:hr="t" fillcolor="#a0a0a0" stroked="f"/>
              </w:pict>
            </w:r>
          </w:p>
          <w:p w14:paraId="09A37883" w14:textId="14AAE17C" w:rsidR="002234C9" w:rsidRDefault="002234C9" w:rsidP="002234C9">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EKLEP</w:t>
            </w:r>
            <w:r>
              <w:t xml:space="preserve"> </w:t>
            </w:r>
            <w:r w:rsidRPr="002234C9">
              <w:rPr>
                <w:rStyle w:val="Hypertextovodkaz"/>
                <w:rFonts w:ascii="Arial" w:eastAsia="Times New Roman" w:hAnsi="Arial" w:cs="Arial"/>
                <w:bCs/>
                <w:color w:val="0F0D29" w:themeColor="text1"/>
                <w:kern w:val="36"/>
                <w:sz w:val="20"/>
                <w:szCs w:val="20"/>
                <w:u w:val="none"/>
                <w:lang w:eastAsia="cs-CZ"/>
              </w:rPr>
              <w:t>KORNCD9C8636</w:t>
            </w:r>
            <w:r>
              <w:t xml:space="preserve"> </w:t>
            </w:r>
            <w:r>
              <w:rPr>
                <w:rStyle w:val="Hypertextovodkaz"/>
                <w:rFonts w:ascii="Arial" w:eastAsia="Times New Roman" w:hAnsi="Arial" w:cs="Arial"/>
                <w:bCs/>
                <w:color w:val="0F0D29" w:themeColor="text1"/>
                <w:kern w:val="36"/>
                <w:sz w:val="20"/>
                <w:szCs w:val="20"/>
                <w:u w:val="none"/>
                <w:lang w:eastAsia="cs-CZ"/>
              </w:rPr>
              <w:t xml:space="preserve">  </w:t>
            </w:r>
            <w:r>
              <w:t xml:space="preserve"> </w:t>
            </w:r>
            <w:r>
              <w:rPr>
                <w:rStyle w:val="Hypertextovodkaz"/>
                <w:rFonts w:ascii="Arial" w:eastAsia="Times New Roman" w:hAnsi="Arial" w:cs="Arial"/>
                <w:bCs/>
                <w:color w:val="0F0D29" w:themeColor="text1"/>
                <w:kern w:val="36"/>
                <w:sz w:val="20"/>
                <w:szCs w:val="20"/>
                <w:u w:val="none"/>
                <w:lang w:eastAsia="cs-CZ"/>
              </w:rPr>
              <w:t xml:space="preserve"> </w:t>
            </w:r>
            <w:r>
              <w:t xml:space="preserve">  </w:t>
            </w:r>
            <w:r>
              <w:rPr>
                <w:rStyle w:val="Hypertextovodkaz"/>
                <w:rFonts w:ascii="Arial" w:eastAsia="Times New Roman" w:hAnsi="Arial" w:cs="Arial"/>
                <w:bCs/>
                <w:color w:val="0F0D29" w:themeColor="text1"/>
                <w:kern w:val="36"/>
                <w:sz w:val="20"/>
                <w:szCs w:val="20"/>
                <w:u w:val="none"/>
                <w:lang w:eastAsia="cs-CZ"/>
              </w:rPr>
              <w:t xml:space="preserve"> </w:t>
            </w:r>
            <w:r>
              <w:t xml:space="preserve"> </w:t>
            </w:r>
            <w:r>
              <w:rPr>
                <w:rStyle w:val="Hypertextovodkaz"/>
                <w:rFonts w:ascii="Arial" w:eastAsia="Times New Roman" w:hAnsi="Arial" w:cs="Arial"/>
                <w:bCs/>
                <w:color w:val="0F0D29" w:themeColor="text1"/>
                <w:kern w:val="36"/>
                <w:sz w:val="20"/>
                <w:szCs w:val="20"/>
                <w:u w:val="none"/>
                <w:lang w:eastAsia="cs-CZ"/>
              </w:rPr>
              <w:t xml:space="preserve"> </w:t>
            </w:r>
          </w:p>
          <w:p w14:paraId="5F52DD2E" w14:textId="77777777" w:rsidR="002234C9" w:rsidRDefault="002234C9" w:rsidP="002234C9">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V mezirezortním připomínkovém řízení</w:t>
            </w:r>
          </w:p>
          <w:p w14:paraId="08FC1245" w14:textId="77777777" w:rsidR="002234C9" w:rsidRPr="005078C0" w:rsidRDefault="002234C9" w:rsidP="002234C9">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49558B67" w14:textId="5DA42BC2" w:rsidR="002234C9" w:rsidRDefault="00E2705F" w:rsidP="00A404F7">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 xml:space="preserve">Ministerstvo pro místní rozvoj na základě Plánu legislativních prací vlády pro rok 2022 předložilo komplexní novelu nového stavebního zákona. </w:t>
            </w:r>
          </w:p>
          <w:p w14:paraId="43281A4F" w14:textId="0C0FE05B" w:rsidR="00E2705F" w:rsidRDefault="00E2705F" w:rsidP="00A404F7">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491496E7" w14:textId="77777777" w:rsidR="00E2705F" w:rsidRPr="00E2705F" w:rsidRDefault="00E2705F" w:rsidP="00A404F7">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E2705F">
              <w:rPr>
                <w:rStyle w:val="Hypertextovodkaz"/>
                <w:rFonts w:ascii="Arial" w:eastAsia="Times New Roman" w:hAnsi="Arial" w:cs="Arial"/>
                <w:bCs/>
                <w:color w:val="0F0D29" w:themeColor="text1"/>
                <w:kern w:val="36"/>
                <w:sz w:val="20"/>
                <w:szCs w:val="20"/>
                <w:u w:val="none"/>
                <w:lang w:eastAsia="cs-CZ"/>
              </w:rPr>
              <w:t xml:space="preserve">Návrhem zákona nedochází ke změně základních principů, které jsou obsahem platného právního stavu. </w:t>
            </w:r>
          </w:p>
          <w:p w14:paraId="35EDEF17" w14:textId="77777777" w:rsidR="00E2705F" w:rsidRPr="00E2705F" w:rsidRDefault="00E2705F" w:rsidP="00A404F7">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E2705F">
              <w:rPr>
                <w:rStyle w:val="Hypertextovodkaz"/>
                <w:rFonts w:ascii="Arial" w:eastAsia="Times New Roman" w:hAnsi="Arial" w:cs="Arial"/>
                <w:bCs/>
                <w:color w:val="0F0D29" w:themeColor="text1"/>
                <w:kern w:val="36"/>
                <w:sz w:val="20"/>
                <w:szCs w:val="20"/>
                <w:u w:val="none"/>
                <w:lang w:eastAsia="cs-CZ"/>
              </w:rPr>
              <w:t>Navrhovaná právní úprava je vedena těmito principy:</w:t>
            </w:r>
          </w:p>
          <w:p w14:paraId="4745A0A3" w14:textId="77777777" w:rsidR="00E2705F" w:rsidRDefault="00E2705F" w:rsidP="00A404F7">
            <w:pPr>
              <w:pStyle w:val="Bezmezer"/>
              <w:numPr>
                <w:ilvl w:val="0"/>
                <w:numId w:val="13"/>
              </w:numPr>
              <w:spacing w:line="360" w:lineRule="auto"/>
              <w:jc w:val="both"/>
              <w:rPr>
                <w:rStyle w:val="Hypertextovodkaz"/>
                <w:rFonts w:ascii="Arial" w:eastAsia="Times New Roman" w:hAnsi="Arial" w:cs="Arial"/>
                <w:bCs/>
                <w:color w:val="0F0D29" w:themeColor="text1"/>
                <w:kern w:val="36"/>
                <w:sz w:val="20"/>
                <w:szCs w:val="20"/>
                <w:u w:val="none"/>
                <w:lang w:eastAsia="cs-CZ"/>
              </w:rPr>
            </w:pPr>
            <w:r w:rsidRPr="00E2705F">
              <w:rPr>
                <w:rStyle w:val="Hypertextovodkaz"/>
                <w:rFonts w:ascii="Arial" w:eastAsia="Times New Roman" w:hAnsi="Arial" w:cs="Arial"/>
                <w:bCs/>
                <w:color w:val="0F0D29" w:themeColor="text1"/>
                <w:kern w:val="36"/>
                <w:sz w:val="20"/>
                <w:szCs w:val="20"/>
                <w:u w:val="none"/>
                <w:lang w:eastAsia="cs-CZ"/>
              </w:rPr>
              <w:t xml:space="preserve">V oblasti institucionální dochází ke zrušení Nejvyššího stavebního úřadu, jehož kompetence převezme Ministerstvo pro místní rozvoj. V tomto ohledu zůstane stávající stav. </w:t>
            </w:r>
          </w:p>
          <w:p w14:paraId="498D639C" w14:textId="77777777" w:rsidR="00E2705F" w:rsidRDefault="00E2705F" w:rsidP="00A404F7">
            <w:pPr>
              <w:pStyle w:val="Bezmezer"/>
              <w:numPr>
                <w:ilvl w:val="0"/>
                <w:numId w:val="13"/>
              </w:numPr>
              <w:spacing w:line="360" w:lineRule="auto"/>
              <w:jc w:val="both"/>
              <w:rPr>
                <w:rStyle w:val="Hypertextovodkaz"/>
                <w:rFonts w:ascii="Arial" w:eastAsia="Times New Roman" w:hAnsi="Arial" w:cs="Arial"/>
                <w:bCs/>
                <w:color w:val="0F0D29" w:themeColor="text1"/>
                <w:kern w:val="36"/>
                <w:sz w:val="20"/>
                <w:szCs w:val="20"/>
                <w:u w:val="none"/>
                <w:lang w:eastAsia="cs-CZ"/>
              </w:rPr>
            </w:pPr>
            <w:r w:rsidRPr="00E2705F">
              <w:rPr>
                <w:rStyle w:val="Hypertextovodkaz"/>
                <w:rFonts w:ascii="Arial" w:eastAsia="Times New Roman" w:hAnsi="Arial" w:cs="Arial"/>
                <w:bCs/>
                <w:color w:val="0F0D29" w:themeColor="text1"/>
                <w:kern w:val="36"/>
                <w:sz w:val="20"/>
                <w:szCs w:val="20"/>
                <w:u w:val="none"/>
                <w:lang w:eastAsia="cs-CZ"/>
              </w:rPr>
              <w:t>Zrušení krajských stavebních úřadů a zachování sm</w:t>
            </w:r>
            <w:r>
              <w:rPr>
                <w:rStyle w:val="Hypertextovodkaz"/>
                <w:rFonts w:ascii="Arial" w:eastAsia="Times New Roman" w:hAnsi="Arial" w:cs="Arial"/>
                <w:bCs/>
                <w:color w:val="0F0D29" w:themeColor="text1"/>
                <w:kern w:val="36"/>
                <w:sz w:val="20"/>
                <w:szCs w:val="20"/>
                <w:u w:val="none"/>
                <w:lang w:eastAsia="cs-CZ"/>
              </w:rPr>
              <w:t xml:space="preserve">íšeného modelu veřejné správy. </w:t>
            </w:r>
          </w:p>
          <w:p w14:paraId="50DC8A9C" w14:textId="77777777" w:rsidR="00E2705F" w:rsidRDefault="00E2705F" w:rsidP="00A404F7">
            <w:pPr>
              <w:pStyle w:val="Bezmezer"/>
              <w:numPr>
                <w:ilvl w:val="0"/>
                <w:numId w:val="13"/>
              </w:numPr>
              <w:spacing w:line="360" w:lineRule="auto"/>
              <w:jc w:val="both"/>
              <w:rPr>
                <w:rStyle w:val="Hypertextovodkaz"/>
                <w:rFonts w:ascii="Arial" w:eastAsia="Times New Roman" w:hAnsi="Arial" w:cs="Arial"/>
                <w:bCs/>
                <w:color w:val="0F0D29" w:themeColor="text1"/>
                <w:kern w:val="36"/>
                <w:sz w:val="20"/>
                <w:szCs w:val="20"/>
                <w:u w:val="none"/>
                <w:lang w:eastAsia="cs-CZ"/>
              </w:rPr>
            </w:pPr>
            <w:r w:rsidRPr="00E2705F">
              <w:rPr>
                <w:rStyle w:val="Hypertextovodkaz"/>
                <w:rFonts w:ascii="Arial" w:eastAsia="Times New Roman" w:hAnsi="Arial" w:cs="Arial"/>
                <w:bCs/>
                <w:color w:val="0F0D29" w:themeColor="text1"/>
                <w:kern w:val="36"/>
                <w:sz w:val="20"/>
                <w:szCs w:val="20"/>
                <w:u w:val="none"/>
                <w:lang w:eastAsia="cs-CZ"/>
              </w:rPr>
              <w:t>Zachování institucionálního rámce Specializovaného a odvolacího stavebního úřadu, který bude příslušným stavebním úřadem ve věcech vyhrazených staveb (stavby uvedené v příloze č. 3 ke stavebnímu zákonu).</w:t>
            </w:r>
          </w:p>
          <w:p w14:paraId="629213B9" w14:textId="77777777" w:rsidR="00E2705F" w:rsidRDefault="00E2705F" w:rsidP="00A404F7">
            <w:pPr>
              <w:pStyle w:val="Bezmezer"/>
              <w:numPr>
                <w:ilvl w:val="0"/>
                <w:numId w:val="13"/>
              </w:numPr>
              <w:spacing w:line="360" w:lineRule="auto"/>
              <w:jc w:val="both"/>
              <w:rPr>
                <w:rStyle w:val="Hypertextovodkaz"/>
                <w:rFonts w:ascii="Arial" w:eastAsia="Times New Roman" w:hAnsi="Arial" w:cs="Arial"/>
                <w:bCs/>
                <w:color w:val="0F0D29" w:themeColor="text1"/>
                <w:kern w:val="36"/>
                <w:sz w:val="20"/>
                <w:szCs w:val="20"/>
                <w:u w:val="none"/>
                <w:lang w:eastAsia="cs-CZ"/>
              </w:rPr>
            </w:pPr>
            <w:r w:rsidRPr="00E2705F">
              <w:rPr>
                <w:rStyle w:val="Hypertextovodkaz"/>
                <w:rFonts w:ascii="Arial" w:eastAsia="Times New Roman" w:hAnsi="Arial" w:cs="Arial"/>
                <w:bCs/>
                <w:color w:val="0F0D29" w:themeColor="text1"/>
                <w:kern w:val="36"/>
                <w:sz w:val="20"/>
                <w:szCs w:val="20"/>
                <w:u w:val="none"/>
                <w:lang w:eastAsia="cs-CZ"/>
              </w:rPr>
              <w:t xml:space="preserve">Posílení role samosprávy v procesech pořizování územních opatření (o stavební uzávěře a o asanaci území). </w:t>
            </w:r>
          </w:p>
          <w:p w14:paraId="552DD47E" w14:textId="591F8D22" w:rsidR="00E2705F" w:rsidRDefault="00E2705F" w:rsidP="00A404F7">
            <w:pPr>
              <w:pStyle w:val="Bezmezer"/>
              <w:numPr>
                <w:ilvl w:val="0"/>
                <w:numId w:val="13"/>
              </w:numPr>
              <w:spacing w:line="360" w:lineRule="auto"/>
              <w:jc w:val="both"/>
              <w:rPr>
                <w:rStyle w:val="Hypertextovodkaz"/>
                <w:rFonts w:ascii="Arial" w:eastAsia="Times New Roman" w:hAnsi="Arial" w:cs="Arial"/>
                <w:bCs/>
                <w:color w:val="0F0D29" w:themeColor="text1"/>
                <w:kern w:val="36"/>
                <w:sz w:val="20"/>
                <w:szCs w:val="20"/>
                <w:u w:val="none"/>
                <w:lang w:eastAsia="cs-CZ"/>
              </w:rPr>
            </w:pPr>
            <w:r w:rsidRPr="00E2705F">
              <w:rPr>
                <w:rStyle w:val="Hypertextovodkaz"/>
                <w:rFonts w:ascii="Arial" w:eastAsia="Times New Roman" w:hAnsi="Arial" w:cs="Arial"/>
                <w:bCs/>
                <w:color w:val="0F0D29" w:themeColor="text1"/>
                <w:kern w:val="36"/>
                <w:sz w:val="20"/>
                <w:szCs w:val="20"/>
                <w:u w:val="none"/>
                <w:lang w:eastAsia="cs-CZ"/>
              </w:rPr>
              <w:t xml:space="preserve">Opětovné zavedení politiky územního rozvoje jakožto strategického nástroje územního plánování na úrovni státu, a to v rozsahu stávající politiky územního rozvoje. </w:t>
            </w:r>
          </w:p>
          <w:p w14:paraId="2A763036" w14:textId="77777777" w:rsidR="00E2705F" w:rsidRPr="005078C0" w:rsidRDefault="00E2705F" w:rsidP="00E2705F">
            <w:pPr>
              <w:pStyle w:val="Bezmezer"/>
              <w:ind w:left="720"/>
              <w:jc w:val="both"/>
              <w:rPr>
                <w:rStyle w:val="Hypertextovodkaz"/>
                <w:rFonts w:ascii="Arial" w:eastAsia="Times New Roman" w:hAnsi="Arial" w:cs="Arial"/>
                <w:bCs/>
                <w:color w:val="0F0D29" w:themeColor="text1"/>
                <w:kern w:val="36"/>
                <w:sz w:val="20"/>
                <w:szCs w:val="20"/>
                <w:u w:val="none"/>
                <w:lang w:eastAsia="cs-CZ"/>
              </w:rPr>
            </w:pPr>
          </w:p>
          <w:p w14:paraId="71D1B9F1" w14:textId="2B6C534A" w:rsidR="002234C9" w:rsidRPr="005078C0" w:rsidRDefault="002234C9" w:rsidP="002234C9">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OPS</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15D7565A" w14:textId="77777777" w:rsidR="002234C9" w:rsidRPr="005078C0" w:rsidRDefault="002234C9" w:rsidP="002234C9">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011881A8" w14:textId="269DCA9B" w:rsidR="002234C9" w:rsidRPr="005078C0" w:rsidRDefault="002234C9" w:rsidP="002234C9">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i/>
                <w:color w:val="0F0D29" w:themeColor="text1"/>
                <w:kern w:val="36"/>
                <w:sz w:val="20"/>
                <w:szCs w:val="20"/>
                <w:u w:val="none"/>
                <w:lang w:eastAsia="cs-CZ"/>
              </w:rPr>
              <w:t>OPS – Mgr. Pavel Císař</w:t>
            </w:r>
            <w:r w:rsidRPr="005078C0">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30.6.2022</w:t>
            </w:r>
          </w:p>
          <w:p w14:paraId="02203955" w14:textId="294419E4" w:rsidR="00782B2D" w:rsidRDefault="00782B2D" w:rsidP="00F5617F">
            <w:pPr>
              <w:pStyle w:val="Bezmezer"/>
              <w:jc w:val="right"/>
              <w:rPr>
                <w:rStyle w:val="Hypertextovodkaz"/>
                <w:rFonts w:ascii="Arial" w:eastAsia="Times New Roman" w:hAnsi="Arial" w:cs="Arial"/>
                <w:color w:val="0F0D29" w:themeColor="text1"/>
                <w:kern w:val="36"/>
                <w:sz w:val="24"/>
                <w:szCs w:val="20"/>
                <w:u w:val="none"/>
                <w:lang w:eastAsia="cs-CZ"/>
              </w:rPr>
            </w:pPr>
          </w:p>
          <w:p w14:paraId="47E0372B" w14:textId="41886BB5" w:rsidR="002234C9" w:rsidRPr="005078C0" w:rsidRDefault="002234C9" w:rsidP="002234C9">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2234C9">
              <w:rPr>
                <w:rStyle w:val="Hypertextovodkaz"/>
                <w:rFonts w:ascii="Arial" w:eastAsia="Times New Roman" w:hAnsi="Arial" w:cs="Arial"/>
                <w:b/>
                <w:bCs/>
                <w:color w:val="0F0D29" w:themeColor="text1"/>
                <w:kern w:val="36"/>
                <w:sz w:val="24"/>
                <w:szCs w:val="20"/>
                <w:u w:val="none"/>
                <w:lang w:eastAsia="cs-CZ"/>
              </w:rPr>
              <w:t>Návrh vyhlášky, kterou se mění vyhláška č.500/2006 Sb., o územně analytických podkladech, územně plánovací dokumentaci a způsobu evidence územně plánovací činnosti</w:t>
            </w:r>
            <w:r w:rsidR="00F1485A">
              <w:rPr>
                <w:rStyle w:val="Hypertextovodkaz"/>
                <w:rFonts w:ascii="Arial" w:eastAsia="Times New Roman" w:hAnsi="Arial" w:cs="Arial"/>
                <w:b/>
                <w:bCs/>
                <w:color w:val="0F0D29" w:themeColor="text1"/>
                <w:kern w:val="36"/>
                <w:sz w:val="24"/>
                <w:szCs w:val="24"/>
                <w:u w:val="none"/>
                <w:lang w:eastAsia="cs-CZ"/>
              </w:rPr>
              <w:t xml:space="preserve"> </w:t>
            </w:r>
            <w:r w:rsidR="00EF6723">
              <w:rPr>
                <w:rStyle w:val="Hypertextovodkaz"/>
                <w:rFonts w:ascii="Arial" w:eastAsia="Times New Roman" w:hAnsi="Arial" w:cs="Arial"/>
                <w:b/>
                <w:bCs/>
                <w:color w:val="0F0D29" w:themeColor="text1"/>
                <w:kern w:val="36"/>
                <w:sz w:val="24"/>
                <w:szCs w:val="24"/>
                <w:u w:val="none"/>
                <w:lang w:eastAsia="cs-CZ"/>
              </w:rPr>
              <w:pict w14:anchorId="46766A7E">
                <v:rect id="_x0000_i1034" style="width:0;height:1.5pt" o:hralign="center" o:hrstd="t" o:hr="t" fillcolor="#a0a0a0" stroked="f"/>
              </w:pict>
            </w:r>
          </w:p>
          <w:p w14:paraId="7FB14CD3" w14:textId="611F600E" w:rsidR="002234C9" w:rsidRDefault="002234C9" w:rsidP="002234C9">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EKLE</w:t>
            </w:r>
            <w:r w:rsidR="00F1485A">
              <w:rPr>
                <w:rStyle w:val="Hypertextovodkaz"/>
                <w:rFonts w:ascii="Arial" w:eastAsia="Times New Roman" w:hAnsi="Arial" w:cs="Arial"/>
                <w:bCs/>
                <w:color w:val="0F0D29" w:themeColor="text1"/>
                <w:kern w:val="36"/>
                <w:sz w:val="20"/>
                <w:szCs w:val="20"/>
                <w:u w:val="none"/>
                <w:lang w:eastAsia="cs-CZ"/>
              </w:rPr>
              <w:t>P</w:t>
            </w:r>
            <w:r w:rsidR="00F1485A">
              <w:t xml:space="preserve"> </w:t>
            </w:r>
            <w:r w:rsidR="00F1485A" w:rsidRPr="00F1485A">
              <w:rPr>
                <w:rStyle w:val="Hypertextovodkaz"/>
                <w:rFonts w:ascii="Arial" w:eastAsia="Times New Roman" w:hAnsi="Arial" w:cs="Arial"/>
                <w:bCs/>
                <w:color w:val="0F0D29" w:themeColor="text1"/>
                <w:kern w:val="36"/>
                <w:sz w:val="20"/>
                <w:szCs w:val="20"/>
                <w:u w:val="none"/>
                <w:lang w:eastAsia="cs-CZ"/>
              </w:rPr>
              <w:t>KORNCD8HP4MV</w:t>
            </w:r>
            <w:r>
              <w:t xml:space="preserve"> </w:t>
            </w:r>
            <w:r>
              <w:rPr>
                <w:rStyle w:val="Hypertextovodkaz"/>
                <w:rFonts w:ascii="Arial" w:eastAsia="Times New Roman" w:hAnsi="Arial" w:cs="Arial"/>
                <w:bCs/>
                <w:color w:val="0F0D29" w:themeColor="text1"/>
                <w:kern w:val="36"/>
                <w:sz w:val="20"/>
                <w:szCs w:val="20"/>
                <w:u w:val="none"/>
                <w:lang w:eastAsia="cs-CZ"/>
              </w:rPr>
              <w:t xml:space="preserve">  </w:t>
            </w:r>
            <w:r>
              <w:t xml:space="preserve"> </w:t>
            </w:r>
            <w:r>
              <w:rPr>
                <w:rStyle w:val="Hypertextovodkaz"/>
                <w:rFonts w:ascii="Arial" w:eastAsia="Times New Roman" w:hAnsi="Arial" w:cs="Arial"/>
                <w:bCs/>
                <w:color w:val="0F0D29" w:themeColor="text1"/>
                <w:kern w:val="36"/>
                <w:sz w:val="20"/>
                <w:szCs w:val="20"/>
                <w:u w:val="none"/>
                <w:lang w:eastAsia="cs-CZ"/>
              </w:rPr>
              <w:t xml:space="preserve"> </w:t>
            </w:r>
            <w:r>
              <w:t xml:space="preserve">  </w:t>
            </w:r>
            <w:r>
              <w:rPr>
                <w:rStyle w:val="Hypertextovodkaz"/>
                <w:rFonts w:ascii="Arial" w:eastAsia="Times New Roman" w:hAnsi="Arial" w:cs="Arial"/>
                <w:bCs/>
                <w:color w:val="0F0D29" w:themeColor="text1"/>
                <w:kern w:val="36"/>
                <w:sz w:val="20"/>
                <w:szCs w:val="20"/>
                <w:u w:val="none"/>
                <w:lang w:eastAsia="cs-CZ"/>
              </w:rPr>
              <w:t xml:space="preserve"> </w:t>
            </w:r>
            <w:r>
              <w:t xml:space="preserve"> </w:t>
            </w:r>
            <w:r>
              <w:rPr>
                <w:rStyle w:val="Hypertextovodkaz"/>
                <w:rFonts w:ascii="Arial" w:eastAsia="Times New Roman" w:hAnsi="Arial" w:cs="Arial"/>
                <w:bCs/>
                <w:color w:val="0F0D29" w:themeColor="text1"/>
                <w:kern w:val="36"/>
                <w:sz w:val="20"/>
                <w:szCs w:val="20"/>
                <w:u w:val="none"/>
                <w:lang w:eastAsia="cs-CZ"/>
              </w:rPr>
              <w:t xml:space="preserve"> </w:t>
            </w:r>
          </w:p>
          <w:p w14:paraId="4FDD438C" w14:textId="77777777" w:rsidR="002234C9" w:rsidRDefault="002234C9" w:rsidP="002234C9">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V mezirezortním připomínkovém řízení</w:t>
            </w:r>
          </w:p>
          <w:p w14:paraId="7675264D" w14:textId="77777777" w:rsidR="002234C9" w:rsidRPr="005078C0" w:rsidRDefault="002234C9" w:rsidP="002234C9">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074B4D04" w14:textId="4754B9A2" w:rsidR="002234C9" w:rsidRDefault="00220164" w:rsidP="00A404F7">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220164">
              <w:rPr>
                <w:rStyle w:val="Hypertextovodkaz"/>
                <w:rFonts w:ascii="Arial" w:eastAsia="Times New Roman" w:hAnsi="Arial" w:cs="Arial"/>
                <w:bCs/>
                <w:color w:val="0F0D29" w:themeColor="text1"/>
                <w:kern w:val="36"/>
                <w:sz w:val="20"/>
                <w:szCs w:val="20"/>
                <w:u w:val="none"/>
                <w:lang w:eastAsia="cs-CZ"/>
              </w:rPr>
              <w:t xml:space="preserve">Dne 26. února 2020 nabyl platnosti zákon č. 47/2020 Sb., kterým se mění zákon č. 200/1994 Sb., o zeměměřictví a o změně a doplnění některých zákonů souvisejících s jeho zavedením, ve znění pozdějších předpisů, zákon č. 183/2006 Sb., o územním plánování a stavebním řádu (stavební zákon), ve znění pozdějších předpisů, a další související zákony. Tímto zákonem byla do právního řádu zavedena komplexní právní úprava tvorby a správy digitálních technických map, v oblasti stavebního zákona byla zavedena úprava jednotného </w:t>
            </w:r>
            <w:r w:rsidRPr="00220164">
              <w:rPr>
                <w:rStyle w:val="Hypertextovodkaz"/>
                <w:rFonts w:ascii="Arial" w:eastAsia="Times New Roman" w:hAnsi="Arial" w:cs="Arial"/>
                <w:bCs/>
                <w:color w:val="0F0D29" w:themeColor="text1"/>
                <w:kern w:val="36"/>
                <w:sz w:val="20"/>
                <w:szCs w:val="20"/>
                <w:u w:val="none"/>
                <w:lang w:eastAsia="cs-CZ"/>
              </w:rPr>
              <w:lastRenderedPageBreak/>
              <w:t>standardu územně plánovací dokumentace a úprava národního geoportálu územního plánování, který je informačním systémem veřejné správy na úseku územního plánování.</w:t>
            </w:r>
          </w:p>
          <w:p w14:paraId="186244D6" w14:textId="29C20218" w:rsidR="00220164" w:rsidRDefault="00220164" w:rsidP="00A404F7">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12D727EA" w14:textId="22126998" w:rsidR="00220164" w:rsidRDefault="00220164" w:rsidP="00A404F7">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220164">
              <w:rPr>
                <w:rStyle w:val="Hypertextovodkaz"/>
                <w:rFonts w:ascii="Arial" w:eastAsia="Times New Roman" w:hAnsi="Arial" w:cs="Arial"/>
                <w:bCs/>
                <w:color w:val="0F0D29" w:themeColor="text1"/>
                <w:kern w:val="36"/>
                <w:sz w:val="20"/>
                <w:szCs w:val="20"/>
                <w:u w:val="none"/>
                <w:lang w:eastAsia="cs-CZ"/>
              </w:rPr>
              <w:t xml:space="preserve">Hlavním cílem navrhované </w:t>
            </w:r>
            <w:r>
              <w:rPr>
                <w:rStyle w:val="Hypertextovodkaz"/>
                <w:rFonts w:ascii="Arial" w:eastAsia="Times New Roman" w:hAnsi="Arial" w:cs="Arial"/>
                <w:bCs/>
                <w:color w:val="0F0D29" w:themeColor="text1"/>
                <w:kern w:val="36"/>
                <w:sz w:val="20"/>
                <w:szCs w:val="20"/>
                <w:u w:val="none"/>
                <w:lang w:eastAsia="cs-CZ"/>
              </w:rPr>
              <w:t>změny vyhlášky č. 500/2006 Sb. je</w:t>
            </w:r>
            <w:r w:rsidRPr="00220164">
              <w:rPr>
                <w:rStyle w:val="Hypertextovodkaz"/>
                <w:rFonts w:ascii="Arial" w:eastAsia="Times New Roman" w:hAnsi="Arial" w:cs="Arial"/>
                <w:bCs/>
                <w:color w:val="0F0D29" w:themeColor="text1"/>
                <w:kern w:val="36"/>
                <w:sz w:val="20"/>
                <w:szCs w:val="20"/>
                <w:u w:val="none"/>
                <w:lang w:eastAsia="cs-CZ"/>
              </w:rPr>
              <w:t xml:space="preserve"> stanovení podrobností jednotného standardu územně plánovací dokumentace se specifikací požadavků pro územní plán.</w:t>
            </w:r>
          </w:p>
          <w:p w14:paraId="22BA4A9E" w14:textId="77777777" w:rsidR="00220164" w:rsidRPr="005078C0" w:rsidRDefault="00220164" w:rsidP="002234C9">
            <w:pPr>
              <w:pStyle w:val="Bezmezer"/>
              <w:spacing w:line="276" w:lineRule="auto"/>
              <w:jc w:val="both"/>
              <w:rPr>
                <w:rStyle w:val="Hypertextovodkaz"/>
                <w:rFonts w:ascii="Arial" w:eastAsia="Times New Roman" w:hAnsi="Arial" w:cs="Arial"/>
                <w:bCs/>
                <w:color w:val="0F0D29" w:themeColor="text1"/>
                <w:kern w:val="36"/>
                <w:sz w:val="20"/>
                <w:szCs w:val="20"/>
                <w:u w:val="none"/>
                <w:lang w:eastAsia="cs-CZ"/>
              </w:rPr>
            </w:pPr>
          </w:p>
          <w:p w14:paraId="6ED63B70" w14:textId="77777777" w:rsidR="002234C9" w:rsidRPr="005078C0" w:rsidRDefault="002234C9" w:rsidP="002234C9">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OPS</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2BB31F3D" w14:textId="77777777" w:rsidR="002234C9" w:rsidRPr="005078C0" w:rsidRDefault="002234C9" w:rsidP="002234C9">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11C24234" w14:textId="756129DA" w:rsidR="002234C9" w:rsidRDefault="002234C9" w:rsidP="002234C9">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i/>
                <w:color w:val="0F0D29" w:themeColor="text1"/>
                <w:kern w:val="36"/>
                <w:sz w:val="20"/>
                <w:szCs w:val="20"/>
                <w:u w:val="none"/>
                <w:lang w:eastAsia="cs-CZ"/>
              </w:rPr>
              <w:t>OPS – Mgr. Pavel Císař</w:t>
            </w:r>
            <w:r w:rsidRPr="005078C0">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w:t>
            </w:r>
            <w:r w:rsidR="00F1485A">
              <w:rPr>
                <w:rStyle w:val="Hypertextovodkaz"/>
                <w:rFonts w:ascii="Arial" w:eastAsia="Times New Roman" w:hAnsi="Arial" w:cs="Arial"/>
                <w:b/>
                <w:bCs/>
                <w:i/>
                <w:color w:val="0F0D29" w:themeColor="text1"/>
                <w:kern w:val="36"/>
                <w:sz w:val="20"/>
                <w:szCs w:val="20"/>
                <w:u w:val="none"/>
                <w:lang w:eastAsia="cs-CZ"/>
              </w:rPr>
              <w:t>1.5.2022</w:t>
            </w:r>
          </w:p>
          <w:p w14:paraId="1B28B1B0" w14:textId="77777777" w:rsidR="00F1485A" w:rsidRDefault="00F1485A" w:rsidP="00F1485A">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1C0747C9" w14:textId="27A12B6C" w:rsidR="00F1485A" w:rsidRPr="005078C0" w:rsidRDefault="00F1485A" w:rsidP="00F1485A">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F1485A">
              <w:rPr>
                <w:rStyle w:val="Hypertextovodkaz"/>
                <w:rFonts w:ascii="Arial" w:eastAsia="Times New Roman" w:hAnsi="Arial" w:cs="Arial"/>
                <w:b/>
                <w:bCs/>
                <w:color w:val="0F0D29" w:themeColor="text1"/>
                <w:kern w:val="36"/>
                <w:sz w:val="24"/>
                <w:szCs w:val="20"/>
                <w:u w:val="none"/>
                <w:lang w:eastAsia="cs-CZ"/>
              </w:rPr>
              <w:t>Návrh zákona, kterým se mění zákon č. 586/1992 Sb., o daních z příjmů, zákon č. 16/1993 Sb., o dani silniční, a zákon č. 201/2012 Sb., o ochraně ovzduší</w:t>
            </w:r>
            <w:r w:rsidR="00EF6723">
              <w:rPr>
                <w:rStyle w:val="Hypertextovodkaz"/>
                <w:rFonts w:ascii="Arial" w:eastAsia="Times New Roman" w:hAnsi="Arial" w:cs="Arial"/>
                <w:b/>
                <w:bCs/>
                <w:color w:val="0F0D29" w:themeColor="text1"/>
                <w:kern w:val="36"/>
                <w:sz w:val="24"/>
                <w:szCs w:val="24"/>
                <w:u w:val="none"/>
                <w:lang w:eastAsia="cs-CZ"/>
              </w:rPr>
              <w:pict w14:anchorId="3C86D788">
                <v:rect id="_x0000_i1035" style="width:0;height:1.5pt" o:hralign="center" o:hrstd="t" o:hr="t" fillcolor="#a0a0a0" stroked="f"/>
              </w:pict>
            </w:r>
          </w:p>
          <w:p w14:paraId="5E59B984" w14:textId="33482A8A" w:rsidR="00F1485A" w:rsidRDefault="00F1485A" w:rsidP="00F1485A">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sidRPr="00F1485A">
              <w:rPr>
                <w:rStyle w:val="Hypertextovodkaz"/>
                <w:rFonts w:ascii="Arial" w:eastAsia="Times New Roman" w:hAnsi="Arial" w:cs="Arial"/>
                <w:bCs/>
                <w:color w:val="0F0D29" w:themeColor="text1"/>
                <w:kern w:val="36"/>
                <w:sz w:val="20"/>
                <w:szCs w:val="20"/>
                <w:u w:val="none"/>
                <w:lang w:eastAsia="cs-CZ"/>
              </w:rPr>
              <w:t>Sněmovní</w:t>
            </w:r>
            <w:r>
              <w:t xml:space="preserve"> </w:t>
            </w:r>
            <w:r w:rsidRPr="00F1485A">
              <w:rPr>
                <w:rStyle w:val="Hypertextovodkaz"/>
                <w:rFonts w:ascii="Arial" w:eastAsia="Times New Roman" w:hAnsi="Arial" w:cs="Arial"/>
                <w:bCs/>
                <w:color w:val="0F0D29" w:themeColor="text1"/>
                <w:kern w:val="36"/>
                <w:sz w:val="20"/>
                <w:szCs w:val="20"/>
                <w:u w:val="none"/>
                <w:lang w:eastAsia="cs-CZ"/>
              </w:rPr>
              <w:t>tisk</w:t>
            </w:r>
            <w:r>
              <w:t xml:space="preserve"> </w:t>
            </w:r>
            <w:r w:rsidRPr="00F1485A">
              <w:rPr>
                <w:rStyle w:val="Hypertextovodkaz"/>
                <w:rFonts w:ascii="Arial" w:eastAsia="Times New Roman" w:hAnsi="Arial" w:cs="Arial"/>
                <w:bCs/>
                <w:color w:val="0F0D29" w:themeColor="text1"/>
                <w:kern w:val="36"/>
                <w:sz w:val="20"/>
                <w:szCs w:val="20"/>
                <w:u w:val="none"/>
                <w:lang w:eastAsia="cs-CZ"/>
              </w:rPr>
              <w:t>204</w:t>
            </w:r>
            <w:r>
              <w:t xml:space="preserve"> </w:t>
            </w:r>
            <w:r>
              <w:rPr>
                <w:rStyle w:val="Hypertextovodkaz"/>
                <w:rFonts w:ascii="Arial" w:eastAsia="Times New Roman" w:hAnsi="Arial" w:cs="Arial"/>
                <w:bCs/>
                <w:color w:val="0F0D29" w:themeColor="text1"/>
                <w:kern w:val="36"/>
                <w:sz w:val="20"/>
                <w:szCs w:val="20"/>
                <w:u w:val="none"/>
                <w:lang w:eastAsia="cs-CZ"/>
              </w:rPr>
              <w:t xml:space="preserve">  </w:t>
            </w:r>
            <w:r>
              <w:t xml:space="preserve"> </w:t>
            </w:r>
            <w:r>
              <w:rPr>
                <w:rStyle w:val="Hypertextovodkaz"/>
                <w:rFonts w:ascii="Arial" w:eastAsia="Times New Roman" w:hAnsi="Arial" w:cs="Arial"/>
                <w:bCs/>
                <w:color w:val="0F0D29" w:themeColor="text1"/>
                <w:kern w:val="36"/>
                <w:sz w:val="20"/>
                <w:szCs w:val="20"/>
                <w:u w:val="none"/>
                <w:lang w:eastAsia="cs-CZ"/>
              </w:rPr>
              <w:t xml:space="preserve"> </w:t>
            </w:r>
            <w:r>
              <w:t xml:space="preserve">  </w:t>
            </w:r>
            <w:r>
              <w:rPr>
                <w:rStyle w:val="Hypertextovodkaz"/>
                <w:rFonts w:ascii="Arial" w:eastAsia="Times New Roman" w:hAnsi="Arial" w:cs="Arial"/>
                <w:bCs/>
                <w:color w:val="0F0D29" w:themeColor="text1"/>
                <w:kern w:val="36"/>
                <w:sz w:val="20"/>
                <w:szCs w:val="20"/>
                <w:u w:val="none"/>
                <w:lang w:eastAsia="cs-CZ"/>
              </w:rPr>
              <w:t xml:space="preserve"> </w:t>
            </w:r>
            <w:r>
              <w:t xml:space="preserve"> </w:t>
            </w:r>
            <w:r>
              <w:rPr>
                <w:rStyle w:val="Hypertextovodkaz"/>
                <w:rFonts w:ascii="Arial" w:eastAsia="Times New Roman" w:hAnsi="Arial" w:cs="Arial"/>
                <w:bCs/>
                <w:color w:val="0F0D29" w:themeColor="text1"/>
                <w:kern w:val="36"/>
                <w:sz w:val="20"/>
                <w:szCs w:val="20"/>
                <w:u w:val="none"/>
                <w:lang w:eastAsia="cs-CZ"/>
              </w:rPr>
              <w:t xml:space="preserve"> </w:t>
            </w:r>
          </w:p>
          <w:p w14:paraId="332EF271" w14:textId="3C2F905B" w:rsidR="00F1485A" w:rsidRDefault="008070BF" w:rsidP="00F1485A">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Schváleno poslaneckou sněmovnou</w:t>
            </w:r>
          </w:p>
          <w:p w14:paraId="07C1D43F" w14:textId="0F6E1830" w:rsidR="008070BF" w:rsidRDefault="008070BF" w:rsidP="00F1485A">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0DA29307" w14:textId="4F857B1E" w:rsidR="008070BF" w:rsidRDefault="008070BF" w:rsidP="00A404F7">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Mezi hlavní principy novelizace patří:</w:t>
            </w:r>
          </w:p>
          <w:p w14:paraId="4ED10291" w14:textId="1A731DE9" w:rsidR="008070BF" w:rsidRDefault="008070BF" w:rsidP="00A404F7">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0FB00A99" w14:textId="77777777" w:rsidR="00B00747" w:rsidRDefault="00B00747" w:rsidP="00B00747">
            <w:pPr>
              <w:pStyle w:val="Bezmezer"/>
              <w:numPr>
                <w:ilvl w:val="0"/>
                <w:numId w:val="14"/>
              </w:numPr>
              <w:spacing w:line="360" w:lineRule="auto"/>
              <w:jc w:val="both"/>
              <w:rPr>
                <w:rStyle w:val="Hypertextovodkaz"/>
                <w:rFonts w:ascii="Arial" w:eastAsia="Times New Roman" w:hAnsi="Arial" w:cs="Arial"/>
                <w:bCs/>
                <w:color w:val="0F0D29" w:themeColor="text1"/>
                <w:kern w:val="36"/>
                <w:sz w:val="20"/>
                <w:szCs w:val="20"/>
                <w:u w:val="none"/>
                <w:lang w:eastAsia="cs-CZ"/>
              </w:rPr>
            </w:pPr>
            <w:r w:rsidRPr="008070BF">
              <w:rPr>
                <w:rStyle w:val="Hypertextovodkaz"/>
                <w:rFonts w:ascii="Arial" w:eastAsia="Times New Roman" w:hAnsi="Arial" w:cs="Arial"/>
                <w:b/>
                <w:bCs/>
                <w:color w:val="0F0D29" w:themeColor="text1"/>
                <w:kern w:val="36"/>
                <w:sz w:val="20"/>
                <w:szCs w:val="20"/>
                <w:lang w:eastAsia="cs-CZ"/>
              </w:rPr>
              <w:t>Zrušení povinného přimíchávání biopaliv</w:t>
            </w:r>
            <w:r>
              <w:rPr>
                <w:rStyle w:val="Hypertextovodkaz"/>
                <w:rFonts w:ascii="Arial" w:eastAsia="Times New Roman" w:hAnsi="Arial" w:cs="Arial"/>
                <w:b/>
                <w:bCs/>
                <w:color w:val="0F0D29" w:themeColor="text1"/>
                <w:kern w:val="36"/>
                <w:sz w:val="20"/>
                <w:szCs w:val="20"/>
                <w:lang w:eastAsia="cs-CZ"/>
              </w:rPr>
              <w:t xml:space="preserve"> </w:t>
            </w:r>
            <w:r>
              <w:rPr>
                <w:rStyle w:val="Hypertextovodkaz"/>
                <w:rFonts w:ascii="Arial" w:eastAsia="Times New Roman" w:hAnsi="Arial" w:cs="Arial"/>
                <w:bCs/>
                <w:color w:val="0F0D29" w:themeColor="text1"/>
                <w:kern w:val="36"/>
                <w:sz w:val="20"/>
                <w:szCs w:val="20"/>
                <w:u w:val="none"/>
                <w:lang w:eastAsia="cs-CZ"/>
              </w:rPr>
              <w:t xml:space="preserve">- </w:t>
            </w:r>
            <w:r w:rsidRPr="008070BF">
              <w:rPr>
                <w:rStyle w:val="Hypertextovodkaz"/>
                <w:rFonts w:ascii="Arial" w:eastAsia="Times New Roman" w:hAnsi="Arial" w:cs="Arial"/>
                <w:bCs/>
                <w:color w:val="0F0D29" w:themeColor="text1"/>
                <w:kern w:val="36"/>
                <w:sz w:val="20"/>
                <w:szCs w:val="20"/>
                <w:u w:val="none"/>
                <w:lang w:eastAsia="cs-CZ"/>
              </w:rPr>
              <w:t xml:space="preserve">odstranění povinnosti zajištění minimálního </w:t>
            </w:r>
            <w:proofErr w:type="gramStart"/>
            <w:r w:rsidRPr="008070BF">
              <w:rPr>
                <w:rStyle w:val="Hypertextovodkaz"/>
                <w:rFonts w:ascii="Arial" w:eastAsia="Times New Roman" w:hAnsi="Arial" w:cs="Arial"/>
                <w:bCs/>
                <w:color w:val="0F0D29" w:themeColor="text1"/>
                <w:kern w:val="36"/>
                <w:sz w:val="20"/>
                <w:szCs w:val="20"/>
                <w:u w:val="none"/>
                <w:lang w:eastAsia="cs-CZ"/>
              </w:rPr>
              <w:t xml:space="preserve">podílu </w:t>
            </w:r>
            <w:r>
              <w:rPr>
                <w:rStyle w:val="Hypertextovodkaz"/>
                <w:rFonts w:ascii="Arial" w:eastAsia="Times New Roman" w:hAnsi="Arial" w:cs="Arial"/>
                <w:bCs/>
                <w:color w:val="0F0D29" w:themeColor="text1"/>
                <w:kern w:val="36"/>
                <w:sz w:val="20"/>
                <w:szCs w:val="20"/>
                <w:u w:val="none"/>
                <w:lang w:eastAsia="cs-CZ"/>
              </w:rPr>
              <w:t xml:space="preserve"> </w:t>
            </w:r>
            <w:r w:rsidRPr="008070BF">
              <w:rPr>
                <w:rStyle w:val="Hypertextovodkaz"/>
                <w:rFonts w:ascii="Arial" w:eastAsia="Times New Roman" w:hAnsi="Arial" w:cs="Arial"/>
                <w:bCs/>
                <w:color w:val="0F0D29" w:themeColor="text1"/>
                <w:kern w:val="36"/>
                <w:sz w:val="20"/>
                <w:szCs w:val="20"/>
                <w:u w:val="none"/>
                <w:lang w:eastAsia="cs-CZ"/>
              </w:rPr>
              <w:t>biopaliv</w:t>
            </w:r>
            <w:proofErr w:type="gramEnd"/>
            <w:r w:rsidRPr="008070BF">
              <w:rPr>
                <w:rStyle w:val="Hypertextovodkaz"/>
                <w:rFonts w:ascii="Arial" w:eastAsia="Times New Roman" w:hAnsi="Arial" w:cs="Arial"/>
                <w:bCs/>
                <w:color w:val="0F0D29" w:themeColor="text1"/>
                <w:kern w:val="36"/>
                <w:sz w:val="20"/>
                <w:szCs w:val="20"/>
                <w:u w:val="none"/>
                <w:lang w:eastAsia="cs-CZ"/>
              </w:rPr>
              <w:t xml:space="preserve"> za kalendářní rok a za kalendářní čtvrtletí. Zachována</w:t>
            </w:r>
            <w:r>
              <w:rPr>
                <w:rStyle w:val="Hypertextovodkaz"/>
                <w:rFonts w:ascii="Arial" w:eastAsia="Times New Roman" w:hAnsi="Arial" w:cs="Arial"/>
                <w:bCs/>
                <w:color w:val="0F0D29" w:themeColor="text1"/>
                <w:kern w:val="36"/>
                <w:sz w:val="20"/>
                <w:szCs w:val="20"/>
                <w:u w:val="none"/>
                <w:lang w:eastAsia="cs-CZ"/>
              </w:rPr>
              <w:t xml:space="preserve"> bude pouze povinnost zajištění </w:t>
            </w:r>
            <w:r w:rsidRPr="008070BF">
              <w:rPr>
                <w:rStyle w:val="Hypertextovodkaz"/>
                <w:rFonts w:ascii="Arial" w:eastAsia="Times New Roman" w:hAnsi="Arial" w:cs="Arial"/>
                <w:bCs/>
                <w:color w:val="0F0D29" w:themeColor="text1"/>
                <w:kern w:val="36"/>
                <w:sz w:val="20"/>
                <w:szCs w:val="20"/>
                <w:u w:val="none"/>
                <w:lang w:eastAsia="cs-CZ"/>
              </w:rPr>
              <w:t>minimálního snížení emisí skleníkových plynů z dodaných pohonných hmot. Ke splnění této povinnosti budou moci dodavatelé i nadále využívat přimíchávání biopaliv, nicméně již ne povinně. Budou tak více motivováni k využívání alternativních způsobů plnění emisního cíle</w:t>
            </w:r>
            <w:r>
              <w:rPr>
                <w:rStyle w:val="Hypertextovodkaz"/>
                <w:rFonts w:ascii="Arial" w:eastAsia="Times New Roman" w:hAnsi="Arial" w:cs="Arial"/>
                <w:bCs/>
                <w:color w:val="0F0D29" w:themeColor="text1"/>
                <w:kern w:val="36"/>
                <w:sz w:val="20"/>
                <w:szCs w:val="20"/>
                <w:u w:val="none"/>
                <w:lang w:eastAsia="cs-CZ"/>
              </w:rPr>
              <w:t>. Je</w:t>
            </w:r>
            <w:r w:rsidRPr="00170060">
              <w:rPr>
                <w:rStyle w:val="Hypertextovodkaz"/>
                <w:rFonts w:ascii="Arial" w:eastAsia="Times New Roman" w:hAnsi="Arial" w:cs="Arial"/>
                <w:bCs/>
                <w:color w:val="0F0D29" w:themeColor="text1"/>
                <w:kern w:val="36"/>
                <w:sz w:val="20"/>
                <w:szCs w:val="20"/>
                <w:u w:val="none"/>
                <w:lang w:eastAsia="cs-CZ"/>
              </w:rPr>
              <w:t xml:space="preserve"> nutno konstatovat, že v současné době je p</w:t>
            </w:r>
            <w:r>
              <w:rPr>
                <w:rStyle w:val="Hypertextovodkaz"/>
                <w:rFonts w:ascii="Arial" w:eastAsia="Times New Roman" w:hAnsi="Arial" w:cs="Arial"/>
                <w:bCs/>
                <w:color w:val="0F0D29" w:themeColor="text1"/>
                <w:kern w:val="36"/>
                <w:sz w:val="20"/>
                <w:szCs w:val="20"/>
                <w:u w:val="none"/>
                <w:lang w:eastAsia="cs-CZ"/>
              </w:rPr>
              <w:t xml:space="preserve">otenciál většiny alternativních </w:t>
            </w:r>
            <w:r w:rsidRPr="00170060">
              <w:rPr>
                <w:rStyle w:val="Hypertextovodkaz"/>
                <w:rFonts w:ascii="Arial" w:eastAsia="Times New Roman" w:hAnsi="Arial" w:cs="Arial"/>
                <w:bCs/>
                <w:color w:val="0F0D29" w:themeColor="text1"/>
                <w:kern w:val="36"/>
                <w:sz w:val="20"/>
                <w:szCs w:val="20"/>
                <w:u w:val="none"/>
                <w:lang w:eastAsia="cs-CZ"/>
              </w:rPr>
              <w:t>způsobů plnění emisního cíle omezený a nelze tak v brzké době očekávat, že by z důvodu zrušení povinného přimíchávání biopaliv do pohonných hmot došlo k odklonu od plnění povinnosti snížení emisí skleníkových plynů z dodaných</w:t>
            </w:r>
            <w:r>
              <w:rPr>
                <w:rStyle w:val="Hypertextovodkaz"/>
                <w:rFonts w:ascii="Arial" w:eastAsia="Times New Roman" w:hAnsi="Arial" w:cs="Arial"/>
                <w:bCs/>
                <w:color w:val="0F0D29" w:themeColor="text1"/>
                <w:kern w:val="36"/>
                <w:sz w:val="20"/>
                <w:szCs w:val="20"/>
                <w:u w:val="none"/>
                <w:lang w:eastAsia="cs-CZ"/>
              </w:rPr>
              <w:t xml:space="preserve"> pohonných hmot prostřednictvím </w:t>
            </w:r>
            <w:r w:rsidRPr="00170060">
              <w:rPr>
                <w:rStyle w:val="Hypertextovodkaz"/>
                <w:rFonts w:ascii="Arial" w:eastAsia="Times New Roman" w:hAnsi="Arial" w:cs="Arial"/>
                <w:bCs/>
                <w:color w:val="0F0D29" w:themeColor="text1"/>
                <w:kern w:val="36"/>
                <w:sz w:val="20"/>
                <w:szCs w:val="20"/>
                <w:u w:val="none"/>
                <w:lang w:eastAsia="cs-CZ"/>
              </w:rPr>
              <w:t>přimíchávání biopaliv a nahrazení plněním povinnosti alternativními způsoby uvedenými výše.</w:t>
            </w:r>
          </w:p>
          <w:p w14:paraId="14F17F5F" w14:textId="2951BBEF" w:rsidR="00B00747" w:rsidRDefault="00B00747" w:rsidP="00B00747">
            <w:pPr>
              <w:pStyle w:val="Bezmezer"/>
              <w:spacing w:line="360" w:lineRule="auto"/>
              <w:ind w:left="720"/>
              <w:jc w:val="both"/>
              <w:rPr>
                <w:rStyle w:val="Hypertextovodkaz"/>
                <w:rFonts w:ascii="Arial" w:eastAsia="Times New Roman" w:hAnsi="Arial" w:cs="Arial"/>
                <w:bCs/>
                <w:color w:val="0F0D29" w:themeColor="text1"/>
                <w:kern w:val="36"/>
                <w:sz w:val="20"/>
                <w:szCs w:val="20"/>
                <w:u w:val="none"/>
                <w:lang w:eastAsia="cs-CZ"/>
              </w:rPr>
            </w:pPr>
          </w:p>
          <w:p w14:paraId="3FA38189" w14:textId="75567638" w:rsidR="00B00747" w:rsidRDefault="00B00747" w:rsidP="00B00747">
            <w:pPr>
              <w:pStyle w:val="Bezmezer"/>
              <w:spacing w:line="360" w:lineRule="auto"/>
              <w:ind w:left="720"/>
              <w:jc w:val="both"/>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Novela v oblasti zrušení povinného přimíchávání biosložky:</w:t>
            </w:r>
          </w:p>
          <w:p w14:paraId="7E928C83" w14:textId="77777777" w:rsidR="00B00747" w:rsidRDefault="00B00747" w:rsidP="00B00747">
            <w:pPr>
              <w:pStyle w:val="Bezmezer"/>
              <w:numPr>
                <w:ilvl w:val="0"/>
                <w:numId w:val="18"/>
              </w:numPr>
              <w:spacing w:line="360" w:lineRule="auto"/>
              <w:jc w:val="both"/>
              <w:rPr>
                <w:rStyle w:val="Hypertextovodkaz"/>
                <w:rFonts w:ascii="Arial" w:eastAsia="Times New Roman" w:hAnsi="Arial" w:cs="Arial"/>
                <w:bCs/>
                <w:color w:val="0F0D29" w:themeColor="text1"/>
                <w:kern w:val="36"/>
                <w:sz w:val="20"/>
                <w:szCs w:val="20"/>
                <w:u w:val="none"/>
                <w:lang w:eastAsia="cs-CZ"/>
              </w:rPr>
            </w:pPr>
            <w:r w:rsidRPr="00B00747">
              <w:rPr>
                <w:rStyle w:val="Hypertextovodkaz"/>
                <w:rFonts w:ascii="Arial" w:eastAsia="Times New Roman" w:hAnsi="Arial" w:cs="Arial"/>
                <w:bCs/>
                <w:color w:val="0F0D29" w:themeColor="text1"/>
                <w:kern w:val="36"/>
                <w:sz w:val="20"/>
                <w:szCs w:val="20"/>
                <w:u w:val="none"/>
                <w:lang w:eastAsia="cs-CZ"/>
              </w:rPr>
              <w:t>vypouští povinnost zajistit minimální množství biopaliv za kalendářní rok a čtvrtletí (tzv. biopaliva první generace), včetně souvisejících administrativních povinností (</w:t>
            </w:r>
            <w:proofErr w:type="spellStart"/>
            <w:r w:rsidRPr="00B00747">
              <w:rPr>
                <w:rStyle w:val="Hypertextovodkaz"/>
                <w:rFonts w:ascii="Arial" w:eastAsia="Times New Roman" w:hAnsi="Arial" w:cs="Arial"/>
                <w:bCs/>
                <w:color w:val="0F0D29" w:themeColor="text1"/>
                <w:kern w:val="36"/>
                <w:sz w:val="20"/>
                <w:szCs w:val="20"/>
                <w:u w:val="none"/>
                <w:lang w:eastAsia="cs-CZ"/>
              </w:rPr>
              <w:t>vykaznictví</w:t>
            </w:r>
            <w:proofErr w:type="spellEnd"/>
            <w:r w:rsidRPr="00B00747">
              <w:rPr>
                <w:rStyle w:val="Hypertextovodkaz"/>
                <w:rFonts w:ascii="Arial" w:eastAsia="Times New Roman" w:hAnsi="Arial" w:cs="Arial"/>
                <w:bCs/>
                <w:color w:val="0F0D29" w:themeColor="text1"/>
                <w:kern w:val="36"/>
                <w:sz w:val="20"/>
                <w:szCs w:val="20"/>
                <w:u w:val="none"/>
                <w:lang w:eastAsia="cs-CZ"/>
              </w:rPr>
              <w:t>) [současné § 19 až § 19e]</w:t>
            </w:r>
          </w:p>
          <w:p w14:paraId="0A267259" w14:textId="09D04831" w:rsidR="00B00747" w:rsidRDefault="00B00747" w:rsidP="00B00747">
            <w:pPr>
              <w:pStyle w:val="Bezmezer"/>
              <w:numPr>
                <w:ilvl w:val="0"/>
                <w:numId w:val="18"/>
              </w:numPr>
              <w:spacing w:line="360" w:lineRule="auto"/>
              <w:jc w:val="both"/>
              <w:rPr>
                <w:rStyle w:val="Hypertextovodkaz"/>
                <w:rFonts w:ascii="Arial" w:eastAsia="Times New Roman" w:hAnsi="Arial" w:cs="Arial"/>
                <w:bCs/>
                <w:color w:val="0F0D29" w:themeColor="text1"/>
                <w:kern w:val="36"/>
                <w:sz w:val="20"/>
                <w:szCs w:val="20"/>
                <w:u w:val="none"/>
                <w:lang w:eastAsia="cs-CZ"/>
              </w:rPr>
            </w:pPr>
            <w:r w:rsidRPr="00B00747">
              <w:rPr>
                <w:rStyle w:val="Hypertextovodkaz"/>
                <w:rFonts w:ascii="Arial" w:eastAsia="Times New Roman" w:hAnsi="Arial" w:cs="Arial"/>
                <w:bCs/>
                <w:color w:val="0F0D29" w:themeColor="text1"/>
                <w:kern w:val="36"/>
                <w:sz w:val="20"/>
                <w:szCs w:val="20"/>
                <w:u w:val="none"/>
                <w:lang w:eastAsia="cs-CZ"/>
              </w:rPr>
              <w:t>nedotýká se, tedy</w:t>
            </w:r>
            <w:r>
              <w:rPr>
                <w:rStyle w:val="Hypertextovodkaz"/>
                <w:rFonts w:ascii="Arial" w:eastAsia="Times New Roman" w:hAnsi="Arial" w:cs="Arial"/>
                <w:bCs/>
                <w:color w:val="0F0D29" w:themeColor="text1"/>
                <w:kern w:val="36"/>
                <w:sz w:val="20"/>
                <w:szCs w:val="20"/>
                <w:u w:val="none"/>
                <w:lang w:eastAsia="cs-CZ"/>
              </w:rPr>
              <w:t xml:space="preserve"> je </w:t>
            </w:r>
            <w:r w:rsidRPr="00B00747">
              <w:rPr>
                <w:rStyle w:val="Hypertextovodkaz"/>
                <w:rFonts w:ascii="Arial" w:eastAsia="Times New Roman" w:hAnsi="Arial" w:cs="Arial"/>
                <w:bCs/>
                <w:color w:val="0F0D29" w:themeColor="text1"/>
                <w:kern w:val="36"/>
                <w:sz w:val="20"/>
                <w:szCs w:val="20"/>
                <w:u w:val="none"/>
                <w:lang w:eastAsia="cs-CZ"/>
              </w:rPr>
              <w:t xml:space="preserve">zachována povinnost zajištění minimálního snížení emisí skleníkových plynů z dodaných pohonných </w:t>
            </w:r>
            <w:proofErr w:type="gramStart"/>
            <w:r w:rsidRPr="00B00747">
              <w:rPr>
                <w:rStyle w:val="Hypertextovodkaz"/>
                <w:rFonts w:ascii="Arial" w:eastAsia="Times New Roman" w:hAnsi="Arial" w:cs="Arial"/>
                <w:bCs/>
                <w:color w:val="0F0D29" w:themeColor="text1"/>
                <w:kern w:val="36"/>
                <w:sz w:val="20"/>
                <w:szCs w:val="20"/>
                <w:u w:val="none"/>
                <w:lang w:eastAsia="cs-CZ"/>
              </w:rPr>
              <w:t>hmot  -</w:t>
            </w:r>
            <w:proofErr w:type="gramEnd"/>
            <w:r w:rsidRPr="00B00747">
              <w:rPr>
                <w:rStyle w:val="Hypertextovodkaz"/>
                <w:rFonts w:ascii="Arial" w:eastAsia="Times New Roman" w:hAnsi="Arial" w:cs="Arial"/>
                <w:bCs/>
                <w:color w:val="0F0D29" w:themeColor="text1"/>
                <w:kern w:val="36"/>
                <w:sz w:val="20"/>
                <w:szCs w:val="20"/>
                <w:u w:val="none"/>
                <w:lang w:eastAsia="cs-CZ"/>
              </w:rPr>
              <w:t xml:space="preserve">  cíl 6% (Ke splnění této povinnosti budou moci dodavatelé i nadále využívat přimíchávání biopaliv -  již ne povinně – a alternativních způsobů plnění emisního cíle, například prostřednictvím LPG/</w:t>
            </w:r>
            <w:proofErr w:type="spellStart"/>
            <w:r w:rsidRPr="00B00747">
              <w:rPr>
                <w:rStyle w:val="Hypertextovodkaz"/>
                <w:rFonts w:ascii="Arial" w:eastAsia="Times New Roman" w:hAnsi="Arial" w:cs="Arial"/>
                <w:bCs/>
                <w:color w:val="0F0D29" w:themeColor="text1"/>
                <w:kern w:val="36"/>
                <w:sz w:val="20"/>
                <w:szCs w:val="20"/>
                <w:u w:val="none"/>
                <w:lang w:eastAsia="cs-CZ"/>
              </w:rPr>
              <w:t>bioLPG</w:t>
            </w:r>
            <w:proofErr w:type="spellEnd"/>
            <w:r w:rsidRPr="00B00747">
              <w:rPr>
                <w:rStyle w:val="Hypertextovodkaz"/>
                <w:rFonts w:ascii="Arial" w:eastAsia="Times New Roman" w:hAnsi="Arial" w:cs="Arial"/>
                <w:bCs/>
                <w:color w:val="0F0D29" w:themeColor="text1"/>
                <w:kern w:val="36"/>
                <w:sz w:val="20"/>
                <w:szCs w:val="20"/>
                <w:u w:val="none"/>
                <w:lang w:eastAsia="cs-CZ"/>
              </w:rPr>
              <w:t>, CNG/</w:t>
            </w:r>
            <w:proofErr w:type="spellStart"/>
            <w:r w:rsidRPr="00B00747">
              <w:rPr>
                <w:rStyle w:val="Hypertextovodkaz"/>
                <w:rFonts w:ascii="Arial" w:eastAsia="Times New Roman" w:hAnsi="Arial" w:cs="Arial"/>
                <w:bCs/>
                <w:color w:val="0F0D29" w:themeColor="text1"/>
                <w:kern w:val="36"/>
                <w:sz w:val="20"/>
                <w:szCs w:val="20"/>
                <w:u w:val="none"/>
                <w:lang w:eastAsia="cs-CZ"/>
              </w:rPr>
              <w:t>bioCNG</w:t>
            </w:r>
            <w:proofErr w:type="spellEnd"/>
            <w:r w:rsidRPr="00B00747">
              <w:rPr>
                <w:rStyle w:val="Hypertextovodkaz"/>
                <w:rFonts w:ascii="Arial" w:eastAsia="Times New Roman" w:hAnsi="Arial" w:cs="Arial"/>
                <w:bCs/>
                <w:color w:val="0F0D29" w:themeColor="text1"/>
                <w:kern w:val="36"/>
                <w:sz w:val="20"/>
                <w:szCs w:val="20"/>
                <w:u w:val="none"/>
                <w:lang w:eastAsia="cs-CZ"/>
              </w:rPr>
              <w:t xml:space="preserve">, elektřiny, recyklovaných paliv, obnovitelných paliv nebiologického původu a také tzv. snížení emisí z těžby ropy či zemního plynu). [§ 20 zákona o ochraně ovzduší]  </w:t>
            </w:r>
          </w:p>
          <w:p w14:paraId="6AF9BB50" w14:textId="755BA3E8" w:rsidR="00B00747" w:rsidRDefault="00B00747" w:rsidP="00B00747">
            <w:pPr>
              <w:pStyle w:val="Bezmezer"/>
              <w:numPr>
                <w:ilvl w:val="0"/>
                <w:numId w:val="18"/>
              </w:numPr>
              <w:spacing w:line="360" w:lineRule="auto"/>
              <w:jc w:val="both"/>
              <w:rPr>
                <w:rStyle w:val="Hypertextovodkaz"/>
                <w:rFonts w:ascii="Arial" w:eastAsia="Times New Roman" w:hAnsi="Arial" w:cs="Arial"/>
                <w:bCs/>
                <w:color w:val="0F0D29" w:themeColor="text1"/>
                <w:kern w:val="36"/>
                <w:sz w:val="20"/>
                <w:szCs w:val="20"/>
                <w:u w:val="none"/>
                <w:lang w:eastAsia="cs-CZ"/>
              </w:rPr>
            </w:pPr>
            <w:proofErr w:type="gramStart"/>
            <w:r w:rsidRPr="00B00747">
              <w:rPr>
                <w:rStyle w:val="Hypertextovodkaz"/>
                <w:rFonts w:ascii="Arial" w:eastAsia="Times New Roman" w:hAnsi="Arial" w:cs="Arial"/>
                <w:bCs/>
                <w:color w:val="0F0D29" w:themeColor="text1"/>
                <w:kern w:val="36"/>
                <w:sz w:val="20"/>
                <w:szCs w:val="20"/>
                <w:u w:val="none"/>
                <w:lang w:eastAsia="cs-CZ"/>
              </w:rPr>
              <w:t>zachovává  povinnost</w:t>
            </w:r>
            <w:proofErr w:type="gramEnd"/>
            <w:r w:rsidRPr="00B00747">
              <w:rPr>
                <w:rStyle w:val="Hypertextovodkaz"/>
                <w:rFonts w:ascii="Arial" w:eastAsia="Times New Roman" w:hAnsi="Arial" w:cs="Arial"/>
                <w:bCs/>
                <w:color w:val="0F0D29" w:themeColor="text1"/>
                <w:kern w:val="36"/>
                <w:sz w:val="20"/>
                <w:szCs w:val="20"/>
                <w:u w:val="none"/>
                <w:lang w:eastAsia="cs-CZ"/>
              </w:rPr>
              <w:t xml:space="preserve"> uvést v dokladu vydaném podle zákona o spotřební dani druh a obsah biopaliva v pohonné hmotě (§ 20a odst. 6 zákona o ochraně ovzduší)  - s ohledem na její </w:t>
            </w:r>
            <w:r w:rsidRPr="00B00747">
              <w:rPr>
                <w:rStyle w:val="Hypertextovodkaz"/>
                <w:rFonts w:ascii="Arial" w:eastAsia="Times New Roman" w:hAnsi="Arial" w:cs="Arial"/>
                <w:bCs/>
                <w:color w:val="0F0D29" w:themeColor="text1"/>
                <w:kern w:val="36"/>
                <w:sz w:val="20"/>
                <w:szCs w:val="20"/>
                <w:u w:val="none"/>
                <w:lang w:eastAsia="cs-CZ"/>
              </w:rPr>
              <w:lastRenderedPageBreak/>
              <w:t xml:space="preserve">vypuštění v § 19 odst. 10, je tato povinnost nově vložena jako ustanovení § 20a odst. 6. Po obsahové stránce se jedná o totožnou povinnost.   </w:t>
            </w:r>
          </w:p>
          <w:p w14:paraId="3BC03788" w14:textId="59980606" w:rsidR="00B00747" w:rsidRPr="00B00747" w:rsidRDefault="00B00747" w:rsidP="00B00747">
            <w:pPr>
              <w:pStyle w:val="Bezmezer"/>
              <w:numPr>
                <w:ilvl w:val="0"/>
                <w:numId w:val="18"/>
              </w:numPr>
              <w:spacing w:line="360" w:lineRule="auto"/>
              <w:jc w:val="both"/>
              <w:rPr>
                <w:rStyle w:val="Hypertextovodkaz"/>
                <w:rFonts w:ascii="Arial" w:eastAsia="Times New Roman" w:hAnsi="Arial" w:cs="Arial"/>
                <w:bCs/>
                <w:color w:val="0F0D29" w:themeColor="text1"/>
                <w:kern w:val="36"/>
                <w:sz w:val="20"/>
                <w:szCs w:val="20"/>
                <w:u w:val="none"/>
                <w:lang w:eastAsia="cs-CZ"/>
              </w:rPr>
            </w:pPr>
            <w:r w:rsidRPr="00B00747">
              <w:rPr>
                <w:rStyle w:val="Hypertextovodkaz"/>
                <w:rFonts w:ascii="Arial" w:eastAsia="Times New Roman" w:hAnsi="Arial" w:cs="Arial"/>
                <w:bCs/>
                <w:color w:val="0F0D29" w:themeColor="text1"/>
                <w:kern w:val="36"/>
                <w:sz w:val="20"/>
                <w:szCs w:val="20"/>
                <w:u w:val="none"/>
                <w:lang w:eastAsia="cs-CZ"/>
              </w:rPr>
              <w:t>Ve vztahu k § 20 je zřejmé, že Novelou dochází k</w:t>
            </w:r>
            <w:r>
              <w:rPr>
                <w:rStyle w:val="Hypertextovodkaz"/>
                <w:rFonts w:ascii="Arial" w:eastAsia="Times New Roman" w:hAnsi="Arial" w:cs="Arial"/>
                <w:bCs/>
                <w:color w:val="0F0D29" w:themeColor="text1"/>
                <w:kern w:val="36"/>
                <w:sz w:val="20"/>
                <w:szCs w:val="20"/>
                <w:u w:val="none"/>
                <w:lang w:eastAsia="cs-CZ"/>
              </w:rPr>
              <w:t> </w:t>
            </w:r>
            <w:r w:rsidRPr="00B00747">
              <w:rPr>
                <w:rStyle w:val="Hypertextovodkaz"/>
                <w:rFonts w:ascii="Arial" w:eastAsia="Times New Roman" w:hAnsi="Arial" w:cs="Arial"/>
                <w:bCs/>
                <w:color w:val="0F0D29" w:themeColor="text1"/>
                <w:kern w:val="36"/>
                <w:sz w:val="20"/>
                <w:szCs w:val="20"/>
                <w:u w:val="none"/>
                <w:lang w:eastAsia="cs-CZ"/>
              </w:rPr>
              <w:t>úpravě</w:t>
            </w:r>
            <w:r>
              <w:rPr>
                <w:rStyle w:val="Hypertextovodkaz"/>
                <w:rFonts w:ascii="Arial" w:eastAsia="Times New Roman" w:hAnsi="Arial" w:cs="Arial"/>
                <w:bCs/>
                <w:color w:val="0F0D29" w:themeColor="text1"/>
                <w:kern w:val="36"/>
                <w:sz w:val="20"/>
                <w:szCs w:val="20"/>
                <w:u w:val="none"/>
                <w:lang w:eastAsia="cs-CZ"/>
              </w:rPr>
              <w:t xml:space="preserve"> </w:t>
            </w:r>
            <w:r w:rsidRPr="00B00747">
              <w:rPr>
                <w:rStyle w:val="Hypertextovodkaz"/>
                <w:rFonts w:ascii="Arial" w:eastAsia="Times New Roman" w:hAnsi="Arial" w:cs="Arial"/>
                <w:bCs/>
                <w:color w:val="0F0D29" w:themeColor="text1"/>
                <w:kern w:val="36"/>
                <w:sz w:val="20"/>
                <w:szCs w:val="20"/>
                <w:u w:val="none"/>
                <w:lang w:eastAsia="cs-CZ"/>
              </w:rPr>
              <w:t>§ 20 odst. 1</w:t>
            </w:r>
            <w:r>
              <w:rPr>
                <w:rStyle w:val="Hypertextovodkaz"/>
                <w:rFonts w:ascii="Arial" w:eastAsia="Times New Roman" w:hAnsi="Arial" w:cs="Arial"/>
                <w:bCs/>
                <w:color w:val="0F0D29" w:themeColor="text1"/>
                <w:kern w:val="36"/>
                <w:sz w:val="20"/>
                <w:szCs w:val="20"/>
                <w:u w:val="none"/>
                <w:lang w:eastAsia="cs-CZ"/>
              </w:rPr>
              <w:t>, kdy c</w:t>
            </w:r>
            <w:r w:rsidRPr="00B00747">
              <w:rPr>
                <w:rStyle w:val="Hypertextovodkaz"/>
                <w:rFonts w:ascii="Arial" w:eastAsia="Times New Roman" w:hAnsi="Arial" w:cs="Arial"/>
                <w:bCs/>
                <w:color w:val="0F0D29" w:themeColor="text1"/>
                <w:kern w:val="36"/>
                <w:sz w:val="20"/>
                <w:szCs w:val="20"/>
                <w:u w:val="none"/>
                <w:lang w:eastAsia="cs-CZ"/>
              </w:rPr>
              <w:t xml:space="preserve">ílové hodnoty pro období do roku 2014, resp. 2017, již byly dosaženy a ustanovení bylo stran těchto cílů již zkonzumováno a je tak </w:t>
            </w:r>
            <w:proofErr w:type="spellStart"/>
            <w:r w:rsidRPr="00B00747">
              <w:rPr>
                <w:rStyle w:val="Hypertextovodkaz"/>
                <w:rFonts w:ascii="Arial" w:eastAsia="Times New Roman" w:hAnsi="Arial" w:cs="Arial"/>
                <w:bCs/>
                <w:color w:val="0F0D29" w:themeColor="text1"/>
                <w:kern w:val="36"/>
                <w:sz w:val="20"/>
                <w:szCs w:val="20"/>
                <w:u w:val="none"/>
                <w:lang w:eastAsia="cs-CZ"/>
              </w:rPr>
              <w:t>obsolentní</w:t>
            </w:r>
            <w:proofErr w:type="spellEnd"/>
            <w:r w:rsidRPr="00B00747">
              <w:rPr>
                <w:rStyle w:val="Hypertextovodkaz"/>
                <w:rFonts w:ascii="Arial" w:eastAsia="Times New Roman" w:hAnsi="Arial" w:cs="Arial"/>
                <w:bCs/>
                <w:color w:val="0F0D29" w:themeColor="text1"/>
                <w:kern w:val="36"/>
                <w:sz w:val="20"/>
                <w:szCs w:val="20"/>
                <w:u w:val="none"/>
                <w:lang w:eastAsia="cs-CZ"/>
              </w:rPr>
              <w:t xml:space="preserve">. Nejedná se tedy o faktickou změnu dané povinnosti. Oproti původní textaci se objevuje poznámka pod </w:t>
            </w:r>
            <w:proofErr w:type="gramStart"/>
            <w:r w:rsidRPr="00B00747">
              <w:rPr>
                <w:rStyle w:val="Hypertextovodkaz"/>
                <w:rFonts w:ascii="Arial" w:eastAsia="Times New Roman" w:hAnsi="Arial" w:cs="Arial"/>
                <w:bCs/>
                <w:color w:val="0F0D29" w:themeColor="text1"/>
                <w:kern w:val="36"/>
                <w:sz w:val="20"/>
                <w:szCs w:val="20"/>
                <w:u w:val="none"/>
                <w:lang w:eastAsia="cs-CZ"/>
              </w:rPr>
              <w:t>čarou  -</w:t>
            </w:r>
            <w:proofErr w:type="gramEnd"/>
            <w:r w:rsidRPr="00B00747">
              <w:rPr>
                <w:rStyle w:val="Hypertextovodkaz"/>
                <w:rFonts w:ascii="Arial" w:eastAsia="Times New Roman" w:hAnsi="Arial" w:cs="Arial"/>
                <w:bCs/>
                <w:color w:val="0F0D29" w:themeColor="text1"/>
                <w:kern w:val="36"/>
                <w:sz w:val="20"/>
                <w:szCs w:val="20"/>
                <w:u w:val="none"/>
                <w:lang w:eastAsia="cs-CZ"/>
              </w:rPr>
              <w:t xml:space="preserve"> vysvětlivka č. 16 ) odkazující na zákon č. 189/1999 Sb., o nouzových zásobách ropy, o řešení stavů ropné nouze a o změně některých souvisejících zákonů (zákon o nouzových zásobách ropy), ve znění pozdějších předpisů. Poznámky pod čarou – vysvětlivky slouží pro lepší orientaci v právním řádu a představují odkaz na jiný pramen práva. Samy o sobě nemají normotvorný charakter.  Doplnění poznámky pod čarou – vysvětlivky nemá tedy žádný normativní dopad.  S ohledem na to, že ve zbylém rozsahu je textace § 20 odst. 1 zákona o ochraně ovzduší </w:t>
            </w:r>
            <w:proofErr w:type="gramStart"/>
            <w:r w:rsidRPr="00B00747">
              <w:rPr>
                <w:rStyle w:val="Hypertextovodkaz"/>
                <w:rFonts w:ascii="Arial" w:eastAsia="Times New Roman" w:hAnsi="Arial" w:cs="Arial"/>
                <w:bCs/>
                <w:color w:val="0F0D29" w:themeColor="text1"/>
                <w:kern w:val="36"/>
                <w:sz w:val="20"/>
                <w:szCs w:val="20"/>
                <w:u w:val="none"/>
                <w:lang w:eastAsia="cs-CZ"/>
              </w:rPr>
              <w:t>totožná  s</w:t>
            </w:r>
            <w:proofErr w:type="gramEnd"/>
            <w:r w:rsidRPr="00B00747">
              <w:rPr>
                <w:rStyle w:val="Hypertextovodkaz"/>
                <w:rFonts w:ascii="Arial" w:eastAsia="Times New Roman" w:hAnsi="Arial" w:cs="Arial"/>
                <w:bCs/>
                <w:color w:val="0F0D29" w:themeColor="text1"/>
                <w:kern w:val="36"/>
                <w:sz w:val="20"/>
                <w:szCs w:val="20"/>
                <w:u w:val="none"/>
                <w:lang w:eastAsia="cs-CZ"/>
              </w:rPr>
              <w:t xml:space="preserve"> původní textací, pak se jeví jako velice nepravděpodobné, že by mělo dojít k nějaké aplikační změně. </w:t>
            </w:r>
          </w:p>
          <w:p w14:paraId="00E0A766" w14:textId="252FE0F3" w:rsidR="00B00747" w:rsidRPr="00B00747" w:rsidRDefault="00B00747" w:rsidP="00B00747">
            <w:pPr>
              <w:pStyle w:val="Bezmezer"/>
              <w:numPr>
                <w:ilvl w:val="0"/>
                <w:numId w:val="18"/>
              </w:numPr>
              <w:spacing w:line="360" w:lineRule="auto"/>
              <w:jc w:val="both"/>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 xml:space="preserve">Ve vztahu k </w:t>
            </w:r>
            <w:r w:rsidRPr="00B00747">
              <w:rPr>
                <w:rStyle w:val="Hypertextovodkaz"/>
                <w:rFonts w:ascii="Arial" w:eastAsia="Times New Roman" w:hAnsi="Arial" w:cs="Arial"/>
                <w:bCs/>
                <w:color w:val="0F0D29" w:themeColor="text1"/>
                <w:kern w:val="36"/>
                <w:sz w:val="20"/>
                <w:szCs w:val="20"/>
                <w:u w:val="none"/>
                <w:lang w:eastAsia="cs-CZ"/>
              </w:rPr>
              <w:t xml:space="preserve">§ 20 odst. 2 </w:t>
            </w:r>
            <w:r>
              <w:rPr>
                <w:rStyle w:val="Hypertextovodkaz"/>
                <w:rFonts w:ascii="Arial" w:eastAsia="Times New Roman" w:hAnsi="Arial" w:cs="Arial"/>
                <w:bCs/>
                <w:color w:val="0F0D29" w:themeColor="text1"/>
                <w:kern w:val="36"/>
                <w:sz w:val="20"/>
                <w:szCs w:val="20"/>
                <w:u w:val="none"/>
                <w:lang w:eastAsia="cs-CZ"/>
              </w:rPr>
              <w:t>n</w:t>
            </w:r>
            <w:r w:rsidRPr="00B00747">
              <w:rPr>
                <w:rStyle w:val="Hypertextovodkaz"/>
                <w:rFonts w:ascii="Arial" w:eastAsia="Times New Roman" w:hAnsi="Arial" w:cs="Arial"/>
                <w:bCs/>
                <w:color w:val="0F0D29" w:themeColor="text1"/>
                <w:kern w:val="36"/>
                <w:sz w:val="20"/>
                <w:szCs w:val="20"/>
                <w:u w:val="none"/>
                <w:lang w:eastAsia="cs-CZ"/>
              </w:rPr>
              <w:t xml:space="preserve">ovela zrovnoprávňuje možnost využití elektřiny dodané za účelem splnění povinnosti snížení skleníkových plynů z dodaných pohonných hmot prostřednictvím neveřejných dobíjecích stanic s možností využití elektřiny dodané prostřednictvím veřejných dobíjecích </w:t>
            </w:r>
            <w:proofErr w:type="gramStart"/>
            <w:r w:rsidRPr="00B00747">
              <w:rPr>
                <w:rStyle w:val="Hypertextovodkaz"/>
                <w:rFonts w:ascii="Arial" w:eastAsia="Times New Roman" w:hAnsi="Arial" w:cs="Arial"/>
                <w:bCs/>
                <w:color w:val="0F0D29" w:themeColor="text1"/>
                <w:kern w:val="36"/>
                <w:sz w:val="20"/>
                <w:szCs w:val="20"/>
                <w:u w:val="none"/>
                <w:lang w:eastAsia="cs-CZ"/>
              </w:rPr>
              <w:t>stanic .</w:t>
            </w:r>
            <w:proofErr w:type="gramEnd"/>
            <w:r w:rsidRPr="00B00747">
              <w:rPr>
                <w:rStyle w:val="Hypertextovodkaz"/>
                <w:rFonts w:ascii="Arial" w:eastAsia="Times New Roman" w:hAnsi="Arial" w:cs="Arial"/>
                <w:bCs/>
                <w:color w:val="0F0D29" w:themeColor="text1"/>
                <w:kern w:val="36"/>
                <w:sz w:val="20"/>
                <w:szCs w:val="20"/>
                <w:u w:val="none"/>
                <w:lang w:eastAsia="cs-CZ"/>
              </w:rPr>
              <w:t xml:space="preserve">  K obdobné změně dochází i v § 20a, který umožňuje dodavateli motorového benzinu nebo motorové nafty sdružení s osobou dodávající elektřinu pro dopravní účely na daňovém území České republiky i z neveřejné dobíjecí stanice.</w:t>
            </w:r>
          </w:p>
          <w:p w14:paraId="020CEAC5" w14:textId="77777777" w:rsidR="00B00747" w:rsidRPr="00B00747" w:rsidRDefault="00B00747" w:rsidP="00B00747">
            <w:pPr>
              <w:pStyle w:val="Bezmezer"/>
              <w:spacing w:line="360" w:lineRule="auto"/>
              <w:ind w:left="720"/>
              <w:jc w:val="both"/>
              <w:rPr>
                <w:rStyle w:val="Hypertextovodkaz"/>
                <w:rFonts w:ascii="Arial" w:eastAsia="Times New Roman" w:hAnsi="Arial" w:cs="Arial"/>
                <w:bCs/>
                <w:color w:val="0F0D29" w:themeColor="text1"/>
                <w:kern w:val="36"/>
                <w:sz w:val="20"/>
                <w:szCs w:val="20"/>
                <w:u w:val="none"/>
                <w:lang w:eastAsia="cs-CZ"/>
              </w:rPr>
            </w:pPr>
          </w:p>
          <w:p w14:paraId="2B17ABB3" w14:textId="61E12266" w:rsidR="00F1485A" w:rsidRDefault="008070BF" w:rsidP="00A404F7">
            <w:pPr>
              <w:pStyle w:val="Bezmezer"/>
              <w:numPr>
                <w:ilvl w:val="0"/>
                <w:numId w:val="14"/>
              </w:numPr>
              <w:spacing w:line="360" w:lineRule="auto"/>
              <w:jc w:val="both"/>
              <w:rPr>
                <w:rStyle w:val="Hypertextovodkaz"/>
                <w:rFonts w:ascii="Arial" w:eastAsia="Times New Roman" w:hAnsi="Arial" w:cs="Arial"/>
                <w:bCs/>
                <w:color w:val="0F0D29" w:themeColor="text1"/>
                <w:kern w:val="36"/>
                <w:sz w:val="20"/>
                <w:szCs w:val="20"/>
                <w:u w:val="none"/>
                <w:lang w:eastAsia="cs-CZ"/>
              </w:rPr>
            </w:pPr>
            <w:r w:rsidRPr="008070BF">
              <w:rPr>
                <w:rStyle w:val="Hypertextovodkaz"/>
                <w:rFonts w:ascii="Arial" w:eastAsia="Times New Roman" w:hAnsi="Arial" w:cs="Arial"/>
                <w:b/>
                <w:bCs/>
                <w:color w:val="0F0D29" w:themeColor="text1"/>
                <w:kern w:val="36"/>
                <w:sz w:val="20"/>
                <w:szCs w:val="20"/>
                <w:lang w:eastAsia="cs-CZ"/>
              </w:rPr>
              <w:t>Podpora nízkoemisní mobility</w:t>
            </w:r>
            <w:r>
              <w:rPr>
                <w:rStyle w:val="Hypertextovodkaz"/>
                <w:rFonts w:ascii="Arial" w:eastAsia="Times New Roman" w:hAnsi="Arial" w:cs="Arial"/>
                <w:bCs/>
                <w:color w:val="0F0D29" w:themeColor="text1"/>
                <w:kern w:val="36"/>
                <w:sz w:val="20"/>
                <w:szCs w:val="20"/>
                <w:u w:val="none"/>
                <w:lang w:eastAsia="cs-CZ"/>
              </w:rPr>
              <w:t xml:space="preserve"> – při bezplatném po</w:t>
            </w:r>
            <w:r w:rsidRPr="008070BF">
              <w:rPr>
                <w:rStyle w:val="Hypertextovodkaz"/>
                <w:rFonts w:ascii="Arial" w:eastAsia="Times New Roman" w:hAnsi="Arial" w:cs="Arial"/>
                <w:bCs/>
                <w:color w:val="0F0D29" w:themeColor="text1"/>
                <w:kern w:val="36"/>
                <w:sz w:val="20"/>
                <w:szCs w:val="20"/>
                <w:u w:val="none"/>
                <w:lang w:eastAsia="cs-CZ"/>
              </w:rPr>
              <w:t xml:space="preserve">skytnutí </w:t>
            </w:r>
            <w:r>
              <w:rPr>
                <w:rStyle w:val="Hypertextovodkaz"/>
                <w:rFonts w:ascii="Arial" w:eastAsia="Times New Roman" w:hAnsi="Arial" w:cs="Arial"/>
                <w:bCs/>
                <w:color w:val="0F0D29" w:themeColor="text1"/>
                <w:kern w:val="36"/>
                <w:sz w:val="20"/>
                <w:szCs w:val="20"/>
                <w:u w:val="none"/>
                <w:lang w:eastAsia="cs-CZ"/>
              </w:rPr>
              <w:t xml:space="preserve">nízkoemisního </w:t>
            </w:r>
            <w:r w:rsidRPr="008070BF">
              <w:rPr>
                <w:rStyle w:val="Hypertextovodkaz"/>
                <w:rFonts w:ascii="Arial" w:eastAsia="Times New Roman" w:hAnsi="Arial" w:cs="Arial"/>
                <w:bCs/>
                <w:color w:val="0F0D29" w:themeColor="text1"/>
                <w:kern w:val="36"/>
                <w:sz w:val="20"/>
                <w:szCs w:val="20"/>
                <w:u w:val="none"/>
                <w:lang w:eastAsia="cs-CZ"/>
              </w:rPr>
              <w:t xml:space="preserve">motorového vozidla zaměstnavatele zaměstnanci k používání ke služebním i soukromým účelům, dochází ke snížení procentuální částky vstupní ceny z 1 % na 0,5 %, ze které se stanoví </w:t>
            </w:r>
            <w:r>
              <w:rPr>
                <w:rStyle w:val="Hypertextovodkaz"/>
                <w:rFonts w:ascii="Arial" w:eastAsia="Times New Roman" w:hAnsi="Arial" w:cs="Arial"/>
                <w:bCs/>
                <w:color w:val="0F0D29" w:themeColor="text1"/>
                <w:kern w:val="36"/>
                <w:sz w:val="20"/>
                <w:szCs w:val="20"/>
                <w:u w:val="none"/>
                <w:lang w:eastAsia="cs-CZ"/>
              </w:rPr>
              <w:t xml:space="preserve">výše příjmu ze závislé činnosti.  </w:t>
            </w:r>
            <w:r w:rsidRPr="008070BF">
              <w:rPr>
                <w:rStyle w:val="Hypertextovodkaz"/>
                <w:rFonts w:ascii="Arial" w:eastAsia="Times New Roman" w:hAnsi="Arial" w:cs="Arial"/>
                <w:bCs/>
                <w:color w:val="0F0D29" w:themeColor="text1"/>
                <w:kern w:val="36"/>
                <w:sz w:val="20"/>
                <w:szCs w:val="20"/>
                <w:u w:val="none"/>
                <w:lang w:eastAsia="cs-CZ"/>
              </w:rPr>
              <w:t xml:space="preserve">Dále dochází k přeřazení zařízení sloužících k dobíjení elektromobilů z odpisové skupiny č. 3 do odpisové skupiny č. 2, čímž se zkrátí minimální doba odpisování uvedených </w:t>
            </w:r>
            <w:proofErr w:type="gramStart"/>
            <w:r w:rsidRPr="008070BF">
              <w:rPr>
                <w:rStyle w:val="Hypertextovodkaz"/>
                <w:rFonts w:ascii="Arial" w:eastAsia="Times New Roman" w:hAnsi="Arial" w:cs="Arial"/>
                <w:bCs/>
                <w:color w:val="0F0D29" w:themeColor="text1"/>
                <w:kern w:val="36"/>
                <w:sz w:val="20"/>
                <w:szCs w:val="20"/>
                <w:u w:val="none"/>
                <w:lang w:eastAsia="cs-CZ"/>
              </w:rPr>
              <w:t xml:space="preserve">zařízení, </w:t>
            </w:r>
            <w:r>
              <w:rPr>
                <w:rStyle w:val="Hypertextovodkaz"/>
                <w:rFonts w:ascii="Arial" w:eastAsia="Times New Roman" w:hAnsi="Arial" w:cs="Arial"/>
                <w:bCs/>
                <w:color w:val="0F0D29" w:themeColor="text1"/>
                <w:kern w:val="36"/>
                <w:sz w:val="20"/>
                <w:szCs w:val="20"/>
                <w:u w:val="none"/>
                <w:lang w:eastAsia="cs-CZ"/>
              </w:rPr>
              <w:t xml:space="preserve"> </w:t>
            </w:r>
            <w:r w:rsidRPr="008070BF">
              <w:rPr>
                <w:rStyle w:val="Hypertextovodkaz"/>
                <w:rFonts w:ascii="Arial" w:eastAsia="Times New Roman" w:hAnsi="Arial" w:cs="Arial"/>
                <w:bCs/>
                <w:color w:val="0F0D29" w:themeColor="text1"/>
                <w:kern w:val="36"/>
                <w:sz w:val="20"/>
                <w:szCs w:val="20"/>
                <w:u w:val="none"/>
                <w:lang w:eastAsia="cs-CZ"/>
              </w:rPr>
              <w:t>jsou</w:t>
            </w:r>
            <w:proofErr w:type="gramEnd"/>
            <w:r w:rsidRPr="008070BF">
              <w:rPr>
                <w:rStyle w:val="Hypertextovodkaz"/>
                <w:rFonts w:ascii="Arial" w:eastAsia="Times New Roman" w:hAnsi="Arial" w:cs="Arial"/>
                <w:bCs/>
                <w:color w:val="0F0D29" w:themeColor="text1"/>
                <w:kern w:val="36"/>
                <w:sz w:val="20"/>
                <w:szCs w:val="20"/>
                <w:u w:val="none"/>
                <w:lang w:eastAsia="cs-CZ"/>
              </w:rPr>
              <w:t xml:space="preserve">-li považována za samostatné movité věci, což umožní rychlejší uplatnění nákladů na pořízení těchto zařízení jako daňových výdajů. </w:t>
            </w:r>
          </w:p>
          <w:p w14:paraId="3FE8C530" w14:textId="1EE16C05" w:rsidR="008070BF" w:rsidRDefault="008070BF" w:rsidP="00A404F7">
            <w:pPr>
              <w:pStyle w:val="Bezmezer"/>
              <w:numPr>
                <w:ilvl w:val="0"/>
                <w:numId w:val="14"/>
              </w:numPr>
              <w:spacing w:line="360" w:lineRule="auto"/>
              <w:jc w:val="both"/>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
                <w:bCs/>
                <w:color w:val="0F0D29" w:themeColor="text1"/>
                <w:kern w:val="36"/>
                <w:sz w:val="20"/>
                <w:szCs w:val="20"/>
                <w:lang w:eastAsia="cs-CZ"/>
              </w:rPr>
              <w:t xml:space="preserve">Novela zákona o dani </w:t>
            </w:r>
            <w:proofErr w:type="gramStart"/>
            <w:r>
              <w:rPr>
                <w:rStyle w:val="Hypertextovodkaz"/>
                <w:rFonts w:ascii="Arial" w:eastAsia="Times New Roman" w:hAnsi="Arial" w:cs="Arial"/>
                <w:b/>
                <w:bCs/>
                <w:color w:val="0F0D29" w:themeColor="text1"/>
                <w:kern w:val="36"/>
                <w:sz w:val="20"/>
                <w:szCs w:val="20"/>
                <w:lang w:eastAsia="cs-CZ"/>
              </w:rPr>
              <w:t>silniční</w:t>
            </w:r>
            <w:r>
              <w:rPr>
                <w:rStyle w:val="Hypertextovodkaz"/>
                <w:rFonts w:ascii="Arial" w:eastAsia="Times New Roman" w:hAnsi="Arial" w:cs="Arial"/>
                <w:bCs/>
                <w:color w:val="0F0D29" w:themeColor="text1"/>
                <w:kern w:val="36"/>
                <w:sz w:val="20"/>
                <w:szCs w:val="20"/>
                <w:u w:val="none"/>
                <w:lang w:eastAsia="cs-CZ"/>
              </w:rPr>
              <w:t xml:space="preserve"> - d</w:t>
            </w:r>
            <w:r w:rsidRPr="008070BF">
              <w:rPr>
                <w:rStyle w:val="Hypertextovodkaz"/>
                <w:rFonts w:ascii="Arial" w:eastAsia="Times New Roman" w:hAnsi="Arial" w:cs="Arial"/>
                <w:bCs/>
                <w:color w:val="0F0D29" w:themeColor="text1"/>
                <w:kern w:val="36"/>
                <w:sz w:val="20"/>
                <w:szCs w:val="20"/>
                <w:u w:val="none"/>
                <w:lang w:eastAsia="cs-CZ"/>
              </w:rPr>
              <w:t>ochází</w:t>
            </w:r>
            <w:proofErr w:type="gramEnd"/>
            <w:r w:rsidRPr="008070BF">
              <w:rPr>
                <w:rStyle w:val="Hypertextovodkaz"/>
                <w:rFonts w:ascii="Arial" w:eastAsia="Times New Roman" w:hAnsi="Arial" w:cs="Arial"/>
                <w:bCs/>
                <w:color w:val="0F0D29" w:themeColor="text1"/>
                <w:kern w:val="36"/>
                <w:sz w:val="20"/>
                <w:szCs w:val="20"/>
                <w:u w:val="none"/>
                <w:lang w:eastAsia="cs-CZ"/>
              </w:rPr>
              <w:t xml:space="preserve"> k výrazné redukci daně silniční.</w:t>
            </w:r>
          </w:p>
          <w:p w14:paraId="55659260" w14:textId="3D0CA2DC" w:rsidR="00170060" w:rsidRPr="00660E12" w:rsidRDefault="00170060" w:rsidP="00A404F7">
            <w:pPr>
              <w:pStyle w:val="Bezmezer"/>
              <w:numPr>
                <w:ilvl w:val="0"/>
                <w:numId w:val="14"/>
              </w:numPr>
              <w:spacing w:line="360" w:lineRule="auto"/>
              <w:jc w:val="both"/>
              <w:rPr>
                <w:rStyle w:val="Hypertextovodkaz"/>
                <w:rFonts w:ascii="Arial" w:eastAsia="Times New Roman" w:hAnsi="Arial" w:cs="Arial"/>
                <w:bCs/>
                <w:color w:val="0F0D29" w:themeColor="text1"/>
                <w:kern w:val="36"/>
                <w:sz w:val="20"/>
                <w:szCs w:val="20"/>
                <w:u w:val="none"/>
                <w:lang w:eastAsia="cs-CZ"/>
              </w:rPr>
            </w:pPr>
            <w:r w:rsidRPr="00660E12">
              <w:rPr>
                <w:rStyle w:val="Hypertextovodkaz"/>
                <w:rFonts w:ascii="Arial" w:eastAsia="Times New Roman" w:hAnsi="Arial" w:cs="Arial"/>
                <w:b/>
                <w:bCs/>
                <w:color w:val="0F0D29" w:themeColor="text1"/>
                <w:kern w:val="36"/>
                <w:sz w:val="20"/>
                <w:szCs w:val="20"/>
                <w:lang w:eastAsia="cs-CZ"/>
              </w:rPr>
              <w:t>Odložení účinnosti povinnosti provozovat vybrané spalovací stacionární zdroje</w:t>
            </w:r>
            <w:r w:rsidR="00660E12">
              <w:rPr>
                <w:rStyle w:val="Hypertextovodkaz"/>
                <w:rFonts w:ascii="Arial" w:eastAsia="Times New Roman" w:hAnsi="Arial" w:cs="Arial"/>
                <w:bCs/>
                <w:color w:val="0F0D29" w:themeColor="text1"/>
                <w:kern w:val="36"/>
                <w:sz w:val="20"/>
                <w:szCs w:val="20"/>
                <w:u w:val="none"/>
                <w:lang w:eastAsia="cs-CZ"/>
              </w:rPr>
              <w:t xml:space="preserve"> - </w:t>
            </w:r>
            <w:r w:rsidR="00660E12" w:rsidRPr="00660E12">
              <w:rPr>
                <w:rStyle w:val="Hypertextovodkaz"/>
                <w:rFonts w:ascii="Arial" w:eastAsia="Times New Roman" w:hAnsi="Arial" w:cs="Arial"/>
                <w:bCs/>
                <w:color w:val="0F0D29" w:themeColor="text1"/>
                <w:kern w:val="36"/>
                <w:sz w:val="20"/>
                <w:szCs w:val="20"/>
                <w:u w:val="none"/>
                <w:lang w:eastAsia="cs-CZ"/>
              </w:rPr>
              <w:t>Odkladem povinnosti provozovat vybrané spalovací stacionární zdroje dojde k prodloužení termínu pro zákaz provozu spalovacích stacionárních zdrojů na pevná paliva o jmenovitém tepelném příkonu do 300 kW včetně, které slouží jako zdroje tepla pro teplovodní soustavu ústředního vytápění a které nejsou navrženy rovněž pro přímé vytápění místa instalace a které neplní emisní požadavky uvedené v § 17 odst. 1 písm. g) zákona o ochraně ovzduší, o dva roky pro provozovatele rodinných domů, bytových domů nebo staveb pro rodinnou rekreaci.</w:t>
            </w:r>
          </w:p>
          <w:p w14:paraId="4622B2EA" w14:textId="77777777" w:rsidR="00F1485A" w:rsidRPr="008070BF" w:rsidRDefault="00F1485A" w:rsidP="00F1485A">
            <w:pPr>
              <w:pStyle w:val="Bezmezer"/>
              <w:spacing w:line="276" w:lineRule="auto"/>
              <w:jc w:val="both"/>
              <w:rPr>
                <w:rStyle w:val="Hypertextovodkaz"/>
                <w:rFonts w:ascii="Arial" w:eastAsia="Times New Roman" w:hAnsi="Arial" w:cs="Arial"/>
                <w:b/>
                <w:bCs/>
                <w:color w:val="0F0D29" w:themeColor="text1"/>
                <w:kern w:val="36"/>
                <w:sz w:val="20"/>
                <w:szCs w:val="20"/>
                <w:lang w:eastAsia="cs-CZ"/>
              </w:rPr>
            </w:pPr>
          </w:p>
          <w:p w14:paraId="3C36A063" w14:textId="341FF00B" w:rsidR="00F1485A" w:rsidRPr="005078C0" w:rsidRDefault="00F1485A" w:rsidP="00F1485A">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OÚ</w:t>
            </w:r>
            <w:r w:rsidR="00660E12">
              <w:rPr>
                <w:rStyle w:val="Hypertextovodkaz"/>
                <w:rFonts w:ascii="Arial" w:eastAsia="Times New Roman" w:hAnsi="Arial" w:cs="Arial"/>
                <w:bCs/>
                <w:i/>
                <w:color w:val="0F0D29" w:themeColor="text1"/>
                <w:kern w:val="36"/>
                <w:sz w:val="20"/>
                <w:szCs w:val="20"/>
                <w:u w:val="none"/>
                <w:lang w:eastAsia="cs-CZ"/>
              </w:rPr>
              <w:t xml:space="preserve"> a FÚ</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16B3C697" w14:textId="77777777" w:rsidR="00F1485A" w:rsidRPr="005078C0" w:rsidRDefault="00F1485A" w:rsidP="00F1485A">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2B8F88FB" w14:textId="0129A991" w:rsidR="00F1485A" w:rsidRPr="005078C0" w:rsidRDefault="00F1485A" w:rsidP="002234C9">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i/>
                <w:color w:val="0F0D29" w:themeColor="text1"/>
                <w:kern w:val="36"/>
                <w:sz w:val="20"/>
                <w:szCs w:val="20"/>
                <w:u w:val="none"/>
                <w:lang w:eastAsia="cs-CZ"/>
              </w:rPr>
              <w:t>OÚ – Ing. Martin Vojtíšek</w:t>
            </w:r>
            <w:r w:rsidR="00660E12">
              <w:rPr>
                <w:rStyle w:val="Hypertextovodkaz"/>
                <w:rFonts w:ascii="Arial" w:eastAsia="Times New Roman" w:hAnsi="Arial" w:cs="Arial"/>
                <w:bCs/>
                <w:i/>
                <w:color w:val="0F0D29" w:themeColor="text1"/>
                <w:kern w:val="36"/>
                <w:sz w:val="20"/>
                <w:szCs w:val="20"/>
                <w:u w:val="none"/>
                <w:lang w:eastAsia="cs-CZ"/>
              </w:rPr>
              <w:t>; FÚ – Ing. Helena Hostková</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31.5.2022</w:t>
            </w:r>
          </w:p>
          <w:p w14:paraId="34A21985" w14:textId="18BD4139" w:rsidR="00782B2D" w:rsidRDefault="00782B2D" w:rsidP="00F5617F">
            <w:pPr>
              <w:pStyle w:val="Bezmezer"/>
              <w:jc w:val="right"/>
              <w:rPr>
                <w:rStyle w:val="Hypertextovodkaz"/>
                <w:rFonts w:ascii="Arial" w:eastAsia="Times New Roman" w:hAnsi="Arial" w:cs="Arial"/>
                <w:color w:val="0F0D29" w:themeColor="text1"/>
                <w:kern w:val="36"/>
                <w:sz w:val="24"/>
                <w:szCs w:val="20"/>
                <w:u w:val="none"/>
                <w:lang w:eastAsia="cs-CZ"/>
              </w:rPr>
            </w:pPr>
          </w:p>
          <w:p w14:paraId="2F7BF1BD" w14:textId="512B0E5B" w:rsidR="00F1485A" w:rsidRDefault="00F1485A" w:rsidP="00F5617F">
            <w:pPr>
              <w:pStyle w:val="Bezmezer"/>
              <w:jc w:val="right"/>
              <w:rPr>
                <w:rStyle w:val="Hypertextovodkaz"/>
                <w:rFonts w:ascii="Arial" w:eastAsia="Times New Roman" w:hAnsi="Arial" w:cs="Arial"/>
                <w:color w:val="0F0D29" w:themeColor="text1"/>
                <w:kern w:val="36"/>
                <w:sz w:val="24"/>
                <w:szCs w:val="20"/>
                <w:u w:val="none"/>
                <w:lang w:eastAsia="cs-CZ"/>
              </w:rPr>
            </w:pPr>
          </w:p>
          <w:p w14:paraId="0691D8E7" w14:textId="3217C05E" w:rsidR="00F1485A" w:rsidRPr="005078C0" w:rsidRDefault="00F1485A" w:rsidP="00F1485A">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F1485A">
              <w:rPr>
                <w:rStyle w:val="Hypertextovodkaz"/>
                <w:rFonts w:ascii="Arial" w:eastAsia="Times New Roman" w:hAnsi="Arial" w:cs="Arial"/>
                <w:b/>
                <w:bCs/>
                <w:color w:val="0F0D29" w:themeColor="text1"/>
                <w:kern w:val="36"/>
                <w:sz w:val="24"/>
                <w:szCs w:val="20"/>
                <w:u w:val="none"/>
                <w:lang w:eastAsia="cs-CZ"/>
              </w:rPr>
              <w:lastRenderedPageBreak/>
              <w:t>Novela zákona č. 159/2006 Sb., o střetu zájmů</w:t>
            </w:r>
            <w:r w:rsidR="00EF6723">
              <w:rPr>
                <w:rStyle w:val="Hypertextovodkaz"/>
                <w:rFonts w:ascii="Arial" w:eastAsia="Times New Roman" w:hAnsi="Arial" w:cs="Arial"/>
                <w:b/>
                <w:bCs/>
                <w:color w:val="0F0D29" w:themeColor="text1"/>
                <w:kern w:val="36"/>
                <w:sz w:val="24"/>
                <w:szCs w:val="24"/>
                <w:u w:val="none"/>
                <w:lang w:eastAsia="cs-CZ"/>
              </w:rPr>
              <w:pict w14:anchorId="5A3A3861">
                <v:rect id="_x0000_i1036" style="width:0;height:1.5pt" o:hralign="center" o:hrstd="t" o:hr="t" fillcolor="#a0a0a0" stroked="f"/>
              </w:pict>
            </w:r>
          </w:p>
          <w:p w14:paraId="243ACC78" w14:textId="10D9FFD8" w:rsidR="00F1485A" w:rsidRDefault="00F1485A" w:rsidP="00F1485A">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sidRPr="00F1485A">
              <w:rPr>
                <w:rStyle w:val="Hypertextovodkaz"/>
                <w:rFonts w:ascii="Arial" w:eastAsia="Times New Roman" w:hAnsi="Arial" w:cs="Arial"/>
                <w:bCs/>
                <w:color w:val="0F0D29" w:themeColor="text1"/>
                <w:kern w:val="36"/>
                <w:sz w:val="20"/>
                <w:szCs w:val="20"/>
                <w:u w:val="none"/>
                <w:lang w:eastAsia="cs-CZ"/>
              </w:rPr>
              <w:t>Sněmovní</w:t>
            </w:r>
            <w:r>
              <w:t xml:space="preserve"> </w:t>
            </w:r>
            <w:r w:rsidRPr="00F1485A">
              <w:rPr>
                <w:rStyle w:val="Hypertextovodkaz"/>
                <w:rFonts w:ascii="Arial" w:eastAsia="Times New Roman" w:hAnsi="Arial" w:cs="Arial"/>
                <w:bCs/>
                <w:color w:val="0F0D29" w:themeColor="text1"/>
                <w:kern w:val="36"/>
                <w:sz w:val="20"/>
                <w:szCs w:val="20"/>
                <w:u w:val="none"/>
                <w:lang w:eastAsia="cs-CZ"/>
              </w:rPr>
              <w:t>tisk</w:t>
            </w:r>
            <w:r w:rsidRPr="00F1485A">
              <w:t xml:space="preserve"> </w:t>
            </w:r>
            <w:r w:rsidRPr="00F1485A">
              <w:rPr>
                <w:rStyle w:val="Hypertextovodkaz"/>
                <w:rFonts w:ascii="Arial" w:eastAsia="Times New Roman" w:hAnsi="Arial" w:cs="Arial"/>
                <w:bCs/>
                <w:color w:val="0F0D29" w:themeColor="text1"/>
                <w:kern w:val="36"/>
                <w:sz w:val="20"/>
                <w:szCs w:val="20"/>
                <w:u w:val="none"/>
                <w:lang w:eastAsia="cs-CZ"/>
              </w:rPr>
              <w:t>192</w:t>
            </w:r>
            <w:r>
              <w:t xml:space="preserve"> </w:t>
            </w:r>
            <w:r>
              <w:rPr>
                <w:rStyle w:val="Hypertextovodkaz"/>
                <w:rFonts w:ascii="Arial" w:eastAsia="Times New Roman" w:hAnsi="Arial" w:cs="Arial"/>
                <w:bCs/>
                <w:color w:val="0F0D29" w:themeColor="text1"/>
                <w:kern w:val="36"/>
                <w:sz w:val="20"/>
                <w:szCs w:val="20"/>
                <w:u w:val="none"/>
                <w:lang w:eastAsia="cs-CZ"/>
              </w:rPr>
              <w:t xml:space="preserve">  </w:t>
            </w:r>
            <w:r>
              <w:t xml:space="preserve"> </w:t>
            </w:r>
            <w:r>
              <w:rPr>
                <w:rStyle w:val="Hypertextovodkaz"/>
                <w:rFonts w:ascii="Arial" w:eastAsia="Times New Roman" w:hAnsi="Arial" w:cs="Arial"/>
                <w:bCs/>
                <w:color w:val="0F0D29" w:themeColor="text1"/>
                <w:kern w:val="36"/>
                <w:sz w:val="20"/>
                <w:szCs w:val="20"/>
                <w:u w:val="none"/>
                <w:lang w:eastAsia="cs-CZ"/>
              </w:rPr>
              <w:t xml:space="preserve"> </w:t>
            </w:r>
            <w:r>
              <w:t xml:space="preserve">  </w:t>
            </w:r>
            <w:r>
              <w:rPr>
                <w:rStyle w:val="Hypertextovodkaz"/>
                <w:rFonts w:ascii="Arial" w:eastAsia="Times New Roman" w:hAnsi="Arial" w:cs="Arial"/>
                <w:bCs/>
                <w:color w:val="0F0D29" w:themeColor="text1"/>
                <w:kern w:val="36"/>
                <w:sz w:val="20"/>
                <w:szCs w:val="20"/>
                <w:u w:val="none"/>
                <w:lang w:eastAsia="cs-CZ"/>
              </w:rPr>
              <w:t xml:space="preserve"> </w:t>
            </w:r>
            <w:r>
              <w:t xml:space="preserve"> </w:t>
            </w:r>
            <w:r>
              <w:rPr>
                <w:rStyle w:val="Hypertextovodkaz"/>
                <w:rFonts w:ascii="Arial" w:eastAsia="Times New Roman" w:hAnsi="Arial" w:cs="Arial"/>
                <w:bCs/>
                <w:color w:val="0F0D29" w:themeColor="text1"/>
                <w:kern w:val="36"/>
                <w:sz w:val="20"/>
                <w:szCs w:val="20"/>
                <w:u w:val="none"/>
                <w:lang w:eastAsia="cs-CZ"/>
              </w:rPr>
              <w:t xml:space="preserve"> </w:t>
            </w:r>
          </w:p>
          <w:p w14:paraId="7EC2D40F" w14:textId="77777777" w:rsidR="00F1485A" w:rsidRDefault="00F1485A" w:rsidP="00F1485A">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Předloženo do poslanecké sněmovny</w:t>
            </w:r>
          </w:p>
          <w:p w14:paraId="134E33B2" w14:textId="77777777" w:rsidR="00F1485A" w:rsidRPr="005078C0" w:rsidRDefault="00F1485A" w:rsidP="00F1485A">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3A21EB09" w14:textId="4B0F35E5" w:rsidR="00F1485A" w:rsidRDefault="00660E12" w:rsidP="00A404F7">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660E12">
              <w:rPr>
                <w:rStyle w:val="Hypertextovodkaz"/>
                <w:rFonts w:ascii="Arial" w:eastAsia="Times New Roman" w:hAnsi="Arial" w:cs="Arial"/>
                <w:bCs/>
                <w:color w:val="0F0D29" w:themeColor="text1"/>
                <w:kern w:val="36"/>
                <w:sz w:val="20"/>
                <w:szCs w:val="20"/>
                <w:u w:val="none"/>
                <w:lang w:eastAsia="cs-CZ"/>
              </w:rPr>
              <w:t>Předkládaná novela primárně reaguje na nález Ústavního soudu sp. zn. Pl. ÚS 38/17 ze</w:t>
            </w:r>
            <w:r>
              <w:rPr>
                <w:rStyle w:val="Hypertextovodkaz"/>
                <w:rFonts w:ascii="Arial" w:eastAsia="Times New Roman" w:hAnsi="Arial" w:cs="Arial"/>
                <w:bCs/>
                <w:color w:val="0F0D29" w:themeColor="text1"/>
                <w:kern w:val="36"/>
                <w:sz w:val="20"/>
                <w:szCs w:val="20"/>
                <w:u w:val="none"/>
                <w:lang w:eastAsia="cs-CZ"/>
              </w:rPr>
              <w:t xml:space="preserve"> </w:t>
            </w:r>
            <w:proofErr w:type="gramStart"/>
            <w:r>
              <w:rPr>
                <w:rStyle w:val="Hypertextovodkaz"/>
                <w:rFonts w:ascii="Arial" w:eastAsia="Times New Roman" w:hAnsi="Arial" w:cs="Arial"/>
                <w:bCs/>
                <w:color w:val="0F0D29" w:themeColor="text1"/>
                <w:kern w:val="36"/>
                <w:sz w:val="20"/>
                <w:szCs w:val="20"/>
                <w:u w:val="none"/>
                <w:lang w:eastAsia="cs-CZ"/>
              </w:rPr>
              <w:t xml:space="preserve">dne  </w:t>
            </w:r>
            <w:r w:rsidRPr="00660E12">
              <w:rPr>
                <w:rStyle w:val="Hypertextovodkaz"/>
                <w:rFonts w:ascii="Arial" w:eastAsia="Times New Roman" w:hAnsi="Arial" w:cs="Arial"/>
                <w:bCs/>
                <w:color w:val="0F0D29" w:themeColor="text1"/>
                <w:kern w:val="36"/>
                <w:sz w:val="20"/>
                <w:szCs w:val="20"/>
                <w:u w:val="none"/>
                <w:lang w:eastAsia="cs-CZ"/>
              </w:rPr>
              <w:t>11.</w:t>
            </w:r>
            <w:proofErr w:type="gramEnd"/>
            <w:r w:rsidRPr="00660E12">
              <w:rPr>
                <w:rStyle w:val="Hypertextovodkaz"/>
                <w:rFonts w:ascii="Arial" w:eastAsia="Times New Roman" w:hAnsi="Arial" w:cs="Arial"/>
                <w:bCs/>
                <w:color w:val="0F0D29" w:themeColor="text1"/>
                <w:kern w:val="36"/>
                <w:sz w:val="20"/>
                <w:szCs w:val="20"/>
                <w:u w:val="none"/>
                <w:lang w:eastAsia="cs-CZ"/>
              </w:rPr>
              <w:t xml:space="preserve"> 2. 2020, kterým byl s odkladem vykonatelnosti ke dni 31.</w:t>
            </w:r>
            <w:r>
              <w:rPr>
                <w:rStyle w:val="Hypertextovodkaz"/>
                <w:rFonts w:ascii="Arial" w:eastAsia="Times New Roman" w:hAnsi="Arial" w:cs="Arial"/>
                <w:bCs/>
                <w:color w:val="0F0D29" w:themeColor="text1"/>
                <w:kern w:val="36"/>
                <w:sz w:val="20"/>
                <w:szCs w:val="20"/>
                <w:u w:val="none"/>
                <w:lang w:eastAsia="cs-CZ"/>
              </w:rPr>
              <w:t xml:space="preserve"> 12. 2020 zrušen § 14b odst. 1  </w:t>
            </w:r>
            <w:r w:rsidRPr="00660E12">
              <w:rPr>
                <w:rStyle w:val="Hypertextovodkaz"/>
                <w:rFonts w:ascii="Arial" w:eastAsia="Times New Roman" w:hAnsi="Arial" w:cs="Arial"/>
                <w:bCs/>
                <w:color w:val="0F0D29" w:themeColor="text1"/>
                <w:kern w:val="36"/>
                <w:sz w:val="20"/>
                <w:szCs w:val="20"/>
                <w:u w:val="none"/>
                <w:lang w:eastAsia="cs-CZ"/>
              </w:rPr>
              <w:t>písm. a), b) a c) zákona č. 159/2006 Sb., o střetu zájmů, ve znění</w:t>
            </w:r>
            <w:r>
              <w:rPr>
                <w:rStyle w:val="Hypertextovodkaz"/>
                <w:rFonts w:ascii="Arial" w:eastAsia="Times New Roman" w:hAnsi="Arial" w:cs="Arial"/>
                <w:bCs/>
                <w:color w:val="0F0D29" w:themeColor="text1"/>
                <w:kern w:val="36"/>
                <w:sz w:val="20"/>
                <w:szCs w:val="20"/>
                <w:u w:val="none"/>
                <w:lang w:eastAsia="cs-CZ"/>
              </w:rPr>
              <w:t xml:space="preserve"> pozdějších předpisů (dále jen  </w:t>
            </w:r>
            <w:r w:rsidRPr="00660E12">
              <w:rPr>
                <w:rStyle w:val="Hypertextovodkaz"/>
                <w:rFonts w:ascii="Arial" w:eastAsia="Times New Roman" w:hAnsi="Arial" w:cs="Arial"/>
                <w:bCs/>
                <w:color w:val="0F0D29" w:themeColor="text1"/>
                <w:kern w:val="36"/>
                <w:sz w:val="20"/>
                <w:szCs w:val="20"/>
                <w:u w:val="none"/>
                <w:lang w:eastAsia="cs-CZ"/>
              </w:rPr>
              <w:t xml:space="preserve">„zákon o střetu zájmů“). Hlavní navrhovanou změnou je proto </w:t>
            </w:r>
            <w:r>
              <w:rPr>
                <w:rStyle w:val="Hypertextovodkaz"/>
                <w:rFonts w:ascii="Arial" w:eastAsia="Times New Roman" w:hAnsi="Arial" w:cs="Arial"/>
                <w:bCs/>
                <w:color w:val="0F0D29" w:themeColor="text1"/>
                <w:kern w:val="36"/>
                <w:sz w:val="20"/>
                <w:szCs w:val="20"/>
                <w:u w:val="none"/>
                <w:lang w:eastAsia="cs-CZ"/>
              </w:rPr>
              <w:t xml:space="preserve">zakotvení </w:t>
            </w:r>
            <w:proofErr w:type="gramStart"/>
            <w:r>
              <w:rPr>
                <w:rStyle w:val="Hypertextovodkaz"/>
                <w:rFonts w:ascii="Arial" w:eastAsia="Times New Roman" w:hAnsi="Arial" w:cs="Arial"/>
                <w:bCs/>
                <w:color w:val="0F0D29" w:themeColor="text1"/>
                <w:kern w:val="36"/>
                <w:sz w:val="20"/>
                <w:szCs w:val="20"/>
                <w:u w:val="none"/>
                <w:lang w:eastAsia="cs-CZ"/>
              </w:rPr>
              <w:t xml:space="preserve">výslovného  </w:t>
            </w:r>
            <w:r w:rsidRPr="00660E12">
              <w:rPr>
                <w:rStyle w:val="Hypertextovodkaz"/>
                <w:rFonts w:ascii="Arial" w:eastAsia="Times New Roman" w:hAnsi="Arial" w:cs="Arial"/>
                <w:bCs/>
                <w:color w:val="0F0D29" w:themeColor="text1"/>
                <w:kern w:val="36"/>
                <w:sz w:val="20"/>
                <w:szCs w:val="20"/>
                <w:u w:val="none"/>
                <w:lang w:eastAsia="cs-CZ"/>
              </w:rPr>
              <w:t>požadavku</w:t>
            </w:r>
            <w:proofErr w:type="gramEnd"/>
            <w:r w:rsidRPr="00660E12">
              <w:rPr>
                <w:rStyle w:val="Hypertextovodkaz"/>
                <w:rFonts w:ascii="Arial" w:eastAsia="Times New Roman" w:hAnsi="Arial" w:cs="Arial"/>
                <w:bCs/>
                <w:color w:val="0F0D29" w:themeColor="text1"/>
                <w:kern w:val="36"/>
                <w:sz w:val="20"/>
                <w:szCs w:val="20"/>
                <w:u w:val="none"/>
                <w:lang w:eastAsia="cs-CZ"/>
              </w:rPr>
              <w:t xml:space="preserve"> předchozí žádosti o nahlížení do Centrálního registru</w:t>
            </w:r>
            <w:r>
              <w:rPr>
                <w:rStyle w:val="Hypertextovodkaz"/>
                <w:rFonts w:ascii="Arial" w:eastAsia="Times New Roman" w:hAnsi="Arial" w:cs="Arial"/>
                <w:bCs/>
                <w:color w:val="0F0D29" w:themeColor="text1"/>
                <w:kern w:val="36"/>
                <w:sz w:val="20"/>
                <w:szCs w:val="20"/>
                <w:u w:val="none"/>
                <w:lang w:eastAsia="cs-CZ"/>
              </w:rPr>
              <w:t xml:space="preserve"> oznámení (dále také „registr“ </w:t>
            </w:r>
            <w:r w:rsidRPr="00660E12">
              <w:rPr>
                <w:rStyle w:val="Hypertextovodkaz"/>
                <w:rFonts w:ascii="Arial" w:eastAsia="Times New Roman" w:hAnsi="Arial" w:cs="Arial"/>
                <w:bCs/>
                <w:color w:val="0F0D29" w:themeColor="text1"/>
                <w:kern w:val="36"/>
                <w:sz w:val="20"/>
                <w:szCs w:val="20"/>
                <w:u w:val="none"/>
                <w:lang w:eastAsia="cs-CZ"/>
              </w:rPr>
              <w:t>nebo „registr oznámení“) u všech kategorií veřejných f</w:t>
            </w:r>
            <w:r>
              <w:rPr>
                <w:rStyle w:val="Hypertextovodkaz"/>
                <w:rFonts w:ascii="Arial" w:eastAsia="Times New Roman" w:hAnsi="Arial" w:cs="Arial"/>
                <w:bCs/>
                <w:color w:val="0F0D29" w:themeColor="text1"/>
                <w:kern w:val="36"/>
                <w:sz w:val="20"/>
                <w:szCs w:val="20"/>
                <w:u w:val="none"/>
                <w:lang w:eastAsia="cs-CZ"/>
              </w:rPr>
              <w:t xml:space="preserve">unkcionářů, tedy nikoliv pouze </w:t>
            </w:r>
            <w:r w:rsidRPr="00660E12">
              <w:rPr>
                <w:rStyle w:val="Hypertextovodkaz"/>
                <w:rFonts w:ascii="Arial" w:eastAsia="Times New Roman" w:hAnsi="Arial" w:cs="Arial"/>
                <w:bCs/>
                <w:color w:val="0F0D29" w:themeColor="text1"/>
                <w:kern w:val="36"/>
                <w:sz w:val="20"/>
                <w:szCs w:val="20"/>
                <w:u w:val="none"/>
                <w:lang w:eastAsia="cs-CZ"/>
              </w:rPr>
              <w:t>u veřejných funkcionářů podle § 2 odst. 2 zákona o střetu z</w:t>
            </w:r>
            <w:r>
              <w:rPr>
                <w:rStyle w:val="Hypertextovodkaz"/>
                <w:rFonts w:ascii="Arial" w:eastAsia="Times New Roman" w:hAnsi="Arial" w:cs="Arial"/>
                <w:bCs/>
                <w:color w:val="0F0D29" w:themeColor="text1"/>
                <w:kern w:val="36"/>
                <w:sz w:val="20"/>
                <w:szCs w:val="20"/>
                <w:u w:val="none"/>
                <w:lang w:eastAsia="cs-CZ"/>
              </w:rPr>
              <w:t xml:space="preserve">ájmů, jak je tomu dle současné  </w:t>
            </w:r>
            <w:r w:rsidRPr="00660E12">
              <w:rPr>
                <w:rStyle w:val="Hypertextovodkaz"/>
                <w:rFonts w:ascii="Arial" w:eastAsia="Times New Roman" w:hAnsi="Arial" w:cs="Arial"/>
                <w:bCs/>
                <w:color w:val="0F0D29" w:themeColor="text1"/>
                <w:kern w:val="36"/>
                <w:sz w:val="20"/>
                <w:szCs w:val="20"/>
                <w:u w:val="none"/>
                <w:lang w:eastAsia="cs-CZ"/>
              </w:rPr>
              <w:t>právní úpravy.</w:t>
            </w:r>
          </w:p>
          <w:p w14:paraId="21935CE6" w14:textId="62D3BEE0" w:rsidR="00660E12" w:rsidRDefault="00660E12" w:rsidP="00660E12">
            <w:pPr>
              <w:pStyle w:val="Bezmezer"/>
              <w:jc w:val="both"/>
              <w:rPr>
                <w:rStyle w:val="Hypertextovodkaz"/>
                <w:rFonts w:ascii="Arial" w:eastAsia="Times New Roman" w:hAnsi="Arial" w:cs="Arial"/>
                <w:bCs/>
                <w:color w:val="0F0D29" w:themeColor="text1"/>
                <w:kern w:val="36"/>
                <w:sz w:val="20"/>
                <w:szCs w:val="20"/>
                <w:u w:val="none"/>
                <w:lang w:eastAsia="cs-CZ"/>
              </w:rPr>
            </w:pPr>
          </w:p>
          <w:p w14:paraId="42429B06" w14:textId="6C7C2F4F" w:rsidR="00F1485A" w:rsidRPr="005078C0" w:rsidRDefault="00F1485A" w:rsidP="00F1485A">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O</w:t>
            </w:r>
            <w:r w:rsidR="006A077B">
              <w:rPr>
                <w:rStyle w:val="Hypertextovodkaz"/>
                <w:rFonts w:ascii="Arial" w:eastAsia="Times New Roman" w:hAnsi="Arial" w:cs="Arial"/>
                <w:bCs/>
                <w:i/>
                <w:color w:val="0F0D29" w:themeColor="text1"/>
                <w:kern w:val="36"/>
                <w:sz w:val="20"/>
                <w:szCs w:val="20"/>
                <w:u w:val="none"/>
                <w:lang w:eastAsia="cs-CZ"/>
              </w:rPr>
              <w:t>PS</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10421E75" w14:textId="77777777" w:rsidR="00F1485A" w:rsidRPr="005078C0" w:rsidRDefault="00F1485A" w:rsidP="00F1485A">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539729D9" w14:textId="3089E183" w:rsidR="00F1485A" w:rsidRPr="005078C0" w:rsidRDefault="00F1485A" w:rsidP="00F1485A">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Odpovědný útvar</w:t>
            </w:r>
            <w:r w:rsidR="006A077B">
              <w:rPr>
                <w:rStyle w:val="Hypertextovodkaz"/>
                <w:rFonts w:ascii="Arial" w:eastAsia="Times New Roman" w:hAnsi="Arial" w:cs="Arial"/>
                <w:b/>
                <w:bCs/>
                <w:i/>
                <w:color w:val="0F0D29" w:themeColor="text1"/>
                <w:kern w:val="36"/>
                <w:sz w:val="20"/>
                <w:szCs w:val="20"/>
                <w:u w:val="none"/>
                <w:lang w:eastAsia="cs-CZ"/>
              </w:rPr>
              <w:t>:</w:t>
            </w:r>
            <w:r w:rsidR="006A077B">
              <w:rPr>
                <w:rStyle w:val="Hypertextovodkaz"/>
                <w:rFonts w:ascii="Arial" w:eastAsia="Times New Roman" w:hAnsi="Arial" w:cs="Arial"/>
                <w:i/>
                <w:color w:val="0F0D29" w:themeColor="text1"/>
                <w:kern w:val="36"/>
                <w:sz w:val="20"/>
                <w:szCs w:val="20"/>
                <w:u w:val="none"/>
                <w:lang w:eastAsia="cs-CZ"/>
              </w:rPr>
              <w:t xml:space="preserve"> OPS – Mgr. Pavel Císař</w:t>
            </w:r>
            <w:r w:rsidRPr="005078C0">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sidR="006A077B">
              <w:rPr>
                <w:rStyle w:val="Hypertextovodkaz"/>
                <w:rFonts w:ascii="Arial" w:eastAsia="Times New Roman" w:hAnsi="Arial" w:cs="Arial"/>
                <w:b/>
                <w:bCs/>
                <w:i/>
                <w:color w:val="0F0D29" w:themeColor="text1"/>
                <w:kern w:val="36"/>
                <w:sz w:val="20"/>
                <w:szCs w:val="20"/>
                <w:u w:val="none"/>
                <w:lang w:eastAsia="cs-CZ"/>
              </w:rPr>
              <w:t>30.6.2022</w:t>
            </w:r>
          </w:p>
          <w:p w14:paraId="7BD28E53" w14:textId="57AAFB1D" w:rsidR="00F1485A" w:rsidRDefault="00F1485A" w:rsidP="00F5617F">
            <w:pPr>
              <w:pStyle w:val="Bezmezer"/>
              <w:jc w:val="right"/>
              <w:rPr>
                <w:rStyle w:val="Hypertextovodkaz"/>
                <w:rFonts w:ascii="Arial" w:eastAsia="Times New Roman" w:hAnsi="Arial" w:cs="Arial"/>
                <w:color w:val="0F0D29" w:themeColor="text1"/>
                <w:kern w:val="36"/>
                <w:sz w:val="24"/>
                <w:szCs w:val="20"/>
                <w:u w:val="none"/>
                <w:lang w:eastAsia="cs-CZ"/>
              </w:rPr>
            </w:pPr>
          </w:p>
          <w:p w14:paraId="6C7E23BA" w14:textId="6AB12BCA" w:rsidR="006A077B" w:rsidRPr="005078C0" w:rsidRDefault="006A077B" w:rsidP="006A077B">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6A077B">
              <w:rPr>
                <w:rStyle w:val="Hypertextovodkaz"/>
                <w:rFonts w:ascii="Arial" w:eastAsia="Times New Roman" w:hAnsi="Arial" w:cs="Arial"/>
                <w:b/>
                <w:bCs/>
                <w:color w:val="0F0D29" w:themeColor="text1"/>
                <w:kern w:val="36"/>
                <w:sz w:val="24"/>
                <w:szCs w:val="20"/>
                <w:u w:val="none"/>
                <w:lang w:eastAsia="cs-CZ"/>
              </w:rPr>
              <w:t>Novela zákona č. 353/2003 Sb., o spotřebních daních</w:t>
            </w:r>
            <w:r w:rsidR="00EF6723">
              <w:rPr>
                <w:rStyle w:val="Hypertextovodkaz"/>
                <w:rFonts w:ascii="Arial" w:eastAsia="Times New Roman" w:hAnsi="Arial" w:cs="Arial"/>
                <w:b/>
                <w:bCs/>
                <w:color w:val="0F0D29" w:themeColor="text1"/>
                <w:kern w:val="36"/>
                <w:sz w:val="24"/>
                <w:szCs w:val="24"/>
                <w:u w:val="none"/>
                <w:lang w:eastAsia="cs-CZ"/>
              </w:rPr>
              <w:pict w14:anchorId="36441248">
                <v:rect id="_x0000_i1037" style="width:0;height:1.5pt" o:hralign="center" o:hrstd="t" o:hr="t" fillcolor="#a0a0a0" stroked="f"/>
              </w:pict>
            </w:r>
          </w:p>
          <w:p w14:paraId="3E2D9307" w14:textId="7B43D0F9" w:rsidR="006A077B" w:rsidRDefault="006A077B" w:rsidP="006A077B">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sidRPr="00F1485A">
              <w:rPr>
                <w:rStyle w:val="Hypertextovodkaz"/>
                <w:rFonts w:ascii="Arial" w:eastAsia="Times New Roman" w:hAnsi="Arial" w:cs="Arial"/>
                <w:bCs/>
                <w:color w:val="0F0D29" w:themeColor="text1"/>
                <w:kern w:val="36"/>
                <w:sz w:val="20"/>
                <w:szCs w:val="20"/>
                <w:u w:val="none"/>
                <w:lang w:eastAsia="cs-CZ"/>
              </w:rPr>
              <w:t>Sněmovní</w:t>
            </w:r>
            <w:r>
              <w:t xml:space="preserve"> </w:t>
            </w:r>
            <w:r w:rsidRPr="006A077B">
              <w:rPr>
                <w:rStyle w:val="Hypertextovodkaz"/>
                <w:rFonts w:ascii="Arial" w:eastAsia="Times New Roman" w:hAnsi="Arial" w:cs="Arial"/>
                <w:bCs/>
                <w:color w:val="0F0D29" w:themeColor="text1"/>
                <w:kern w:val="36"/>
                <w:sz w:val="20"/>
                <w:szCs w:val="20"/>
                <w:u w:val="none"/>
                <w:lang w:eastAsia="cs-CZ"/>
              </w:rPr>
              <w:t>tisk</w:t>
            </w:r>
            <w:r w:rsidRPr="006A077B">
              <w:t xml:space="preserve"> </w:t>
            </w:r>
            <w:r w:rsidRPr="006A077B">
              <w:rPr>
                <w:rStyle w:val="Hypertextovodkaz"/>
                <w:rFonts w:ascii="Arial" w:eastAsia="Times New Roman" w:hAnsi="Arial" w:cs="Arial"/>
                <w:bCs/>
                <w:color w:val="0F0D29" w:themeColor="text1"/>
                <w:kern w:val="36"/>
                <w:sz w:val="20"/>
                <w:szCs w:val="20"/>
                <w:u w:val="none"/>
                <w:lang w:eastAsia="cs-CZ"/>
              </w:rPr>
              <w:t>205</w:t>
            </w:r>
            <w:r>
              <w:t xml:space="preserve"> </w:t>
            </w:r>
            <w:r>
              <w:rPr>
                <w:rStyle w:val="Hypertextovodkaz"/>
                <w:rFonts w:ascii="Arial" w:eastAsia="Times New Roman" w:hAnsi="Arial" w:cs="Arial"/>
                <w:bCs/>
                <w:color w:val="0F0D29" w:themeColor="text1"/>
                <w:kern w:val="36"/>
                <w:sz w:val="20"/>
                <w:szCs w:val="20"/>
                <w:u w:val="none"/>
                <w:lang w:eastAsia="cs-CZ"/>
              </w:rPr>
              <w:t xml:space="preserve">  </w:t>
            </w:r>
            <w:r>
              <w:t xml:space="preserve"> </w:t>
            </w:r>
            <w:r>
              <w:rPr>
                <w:rStyle w:val="Hypertextovodkaz"/>
                <w:rFonts w:ascii="Arial" w:eastAsia="Times New Roman" w:hAnsi="Arial" w:cs="Arial"/>
                <w:bCs/>
                <w:color w:val="0F0D29" w:themeColor="text1"/>
                <w:kern w:val="36"/>
                <w:sz w:val="20"/>
                <w:szCs w:val="20"/>
                <w:u w:val="none"/>
                <w:lang w:eastAsia="cs-CZ"/>
              </w:rPr>
              <w:t xml:space="preserve"> </w:t>
            </w:r>
            <w:r>
              <w:t xml:space="preserve">  </w:t>
            </w:r>
            <w:r>
              <w:rPr>
                <w:rStyle w:val="Hypertextovodkaz"/>
                <w:rFonts w:ascii="Arial" w:eastAsia="Times New Roman" w:hAnsi="Arial" w:cs="Arial"/>
                <w:bCs/>
                <w:color w:val="0F0D29" w:themeColor="text1"/>
                <w:kern w:val="36"/>
                <w:sz w:val="20"/>
                <w:szCs w:val="20"/>
                <w:u w:val="none"/>
                <w:lang w:eastAsia="cs-CZ"/>
              </w:rPr>
              <w:t xml:space="preserve"> </w:t>
            </w:r>
            <w:r>
              <w:t xml:space="preserve"> </w:t>
            </w:r>
            <w:r>
              <w:rPr>
                <w:rStyle w:val="Hypertextovodkaz"/>
                <w:rFonts w:ascii="Arial" w:eastAsia="Times New Roman" w:hAnsi="Arial" w:cs="Arial"/>
                <w:bCs/>
                <w:color w:val="0F0D29" w:themeColor="text1"/>
                <w:kern w:val="36"/>
                <w:sz w:val="20"/>
                <w:szCs w:val="20"/>
                <w:u w:val="none"/>
                <w:lang w:eastAsia="cs-CZ"/>
              </w:rPr>
              <w:t xml:space="preserve"> </w:t>
            </w:r>
          </w:p>
          <w:p w14:paraId="21EC4DAD" w14:textId="76F49A19" w:rsidR="006A077B" w:rsidRPr="005078C0" w:rsidRDefault="00660E12" w:rsidP="006A077B">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Schváleno poslaneckou sněmovnou</w:t>
            </w:r>
          </w:p>
          <w:p w14:paraId="016C9D39" w14:textId="557938DE" w:rsidR="006A077B" w:rsidRDefault="006A077B" w:rsidP="006A077B">
            <w:pPr>
              <w:pStyle w:val="Bezmezer"/>
              <w:spacing w:line="276" w:lineRule="auto"/>
              <w:jc w:val="both"/>
              <w:rPr>
                <w:rStyle w:val="Hypertextovodkaz"/>
                <w:rFonts w:ascii="Arial" w:eastAsia="Times New Roman" w:hAnsi="Arial" w:cs="Arial"/>
                <w:bCs/>
                <w:color w:val="0F0D29" w:themeColor="text1"/>
                <w:kern w:val="36"/>
                <w:sz w:val="20"/>
                <w:szCs w:val="20"/>
                <w:u w:val="none"/>
                <w:lang w:eastAsia="cs-CZ"/>
              </w:rPr>
            </w:pPr>
          </w:p>
          <w:p w14:paraId="341DC19C" w14:textId="20CB5ECF" w:rsidR="004F0B76" w:rsidRDefault="004F0B76" w:rsidP="00A404F7">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4F0B76">
              <w:rPr>
                <w:rStyle w:val="Hypertextovodkaz"/>
                <w:rFonts w:ascii="Arial" w:eastAsia="Times New Roman" w:hAnsi="Arial" w:cs="Arial"/>
                <w:bCs/>
                <w:color w:val="0F0D29" w:themeColor="text1"/>
                <w:kern w:val="36"/>
                <w:sz w:val="20"/>
                <w:szCs w:val="20"/>
                <w:u w:val="none"/>
                <w:lang w:eastAsia="cs-CZ"/>
              </w:rPr>
              <w:t xml:space="preserve">Hlavním principem novely zákona o spotřebních daních je </w:t>
            </w:r>
            <w:r>
              <w:rPr>
                <w:rStyle w:val="Hypertextovodkaz"/>
                <w:rFonts w:ascii="Arial" w:eastAsia="Times New Roman" w:hAnsi="Arial" w:cs="Arial"/>
                <w:bCs/>
                <w:color w:val="0F0D29" w:themeColor="text1"/>
                <w:kern w:val="36"/>
                <w:sz w:val="20"/>
                <w:szCs w:val="20"/>
                <w:u w:val="none"/>
                <w:lang w:eastAsia="cs-CZ"/>
              </w:rPr>
              <w:t xml:space="preserve">dočasné snížení spotřební </w:t>
            </w:r>
            <w:proofErr w:type="gramStart"/>
            <w:r>
              <w:rPr>
                <w:rStyle w:val="Hypertextovodkaz"/>
                <w:rFonts w:ascii="Arial" w:eastAsia="Times New Roman" w:hAnsi="Arial" w:cs="Arial"/>
                <w:bCs/>
                <w:color w:val="0F0D29" w:themeColor="text1"/>
                <w:kern w:val="36"/>
                <w:sz w:val="20"/>
                <w:szCs w:val="20"/>
                <w:u w:val="none"/>
                <w:lang w:eastAsia="cs-CZ"/>
              </w:rPr>
              <w:t xml:space="preserve">daně  </w:t>
            </w:r>
            <w:r w:rsidRPr="004F0B76">
              <w:rPr>
                <w:rStyle w:val="Hypertextovodkaz"/>
                <w:rFonts w:ascii="Arial" w:eastAsia="Times New Roman" w:hAnsi="Arial" w:cs="Arial"/>
                <w:bCs/>
                <w:color w:val="0F0D29" w:themeColor="text1"/>
                <w:kern w:val="36"/>
                <w:sz w:val="20"/>
                <w:szCs w:val="20"/>
                <w:u w:val="none"/>
                <w:lang w:eastAsia="cs-CZ"/>
              </w:rPr>
              <w:t>z</w:t>
            </w:r>
            <w:proofErr w:type="gramEnd"/>
            <w:r w:rsidRPr="004F0B76">
              <w:rPr>
                <w:rStyle w:val="Hypertextovodkaz"/>
                <w:rFonts w:ascii="Arial" w:eastAsia="Times New Roman" w:hAnsi="Arial" w:cs="Arial"/>
                <w:bCs/>
                <w:color w:val="0F0D29" w:themeColor="text1"/>
                <w:kern w:val="36"/>
                <w:sz w:val="20"/>
                <w:szCs w:val="20"/>
                <w:u w:val="none"/>
                <w:lang w:eastAsia="cs-CZ"/>
              </w:rPr>
              <w:t xml:space="preserve"> motorové nafty a bezolovnatého benzínu o 1,50 Kč/l, a to s </w:t>
            </w:r>
            <w:r>
              <w:rPr>
                <w:rStyle w:val="Hypertextovodkaz"/>
                <w:rFonts w:ascii="Arial" w:eastAsia="Times New Roman" w:hAnsi="Arial" w:cs="Arial"/>
                <w:bCs/>
                <w:color w:val="0F0D29" w:themeColor="text1"/>
                <w:kern w:val="36"/>
                <w:sz w:val="20"/>
                <w:szCs w:val="20"/>
                <w:u w:val="none"/>
                <w:lang w:eastAsia="cs-CZ"/>
              </w:rPr>
              <w:t xml:space="preserve">účinností od 1. června 2022 do </w:t>
            </w:r>
            <w:r w:rsidRPr="004F0B76">
              <w:rPr>
                <w:rStyle w:val="Hypertextovodkaz"/>
                <w:rFonts w:ascii="Arial" w:eastAsia="Times New Roman" w:hAnsi="Arial" w:cs="Arial"/>
                <w:bCs/>
                <w:color w:val="0F0D29" w:themeColor="text1"/>
                <w:kern w:val="36"/>
                <w:sz w:val="20"/>
                <w:szCs w:val="20"/>
                <w:u w:val="none"/>
                <w:lang w:eastAsia="cs-CZ"/>
              </w:rPr>
              <w:t>30. září 2022. Vzhledem ke konstrukci zákona o spotřebních daních prot</w:t>
            </w:r>
            <w:r>
              <w:rPr>
                <w:rStyle w:val="Hypertextovodkaz"/>
                <w:rFonts w:ascii="Arial" w:eastAsia="Times New Roman" w:hAnsi="Arial" w:cs="Arial"/>
                <w:bCs/>
                <w:color w:val="0F0D29" w:themeColor="text1"/>
                <w:kern w:val="36"/>
                <w:sz w:val="20"/>
                <w:szCs w:val="20"/>
                <w:u w:val="none"/>
                <w:lang w:eastAsia="cs-CZ"/>
              </w:rPr>
              <w:t xml:space="preserve">o budou sníženy </w:t>
            </w:r>
            <w:proofErr w:type="gramStart"/>
            <w:r>
              <w:rPr>
                <w:rStyle w:val="Hypertextovodkaz"/>
                <w:rFonts w:ascii="Arial" w:eastAsia="Times New Roman" w:hAnsi="Arial" w:cs="Arial"/>
                <w:bCs/>
                <w:color w:val="0F0D29" w:themeColor="text1"/>
                <w:kern w:val="36"/>
                <w:sz w:val="20"/>
                <w:szCs w:val="20"/>
                <w:u w:val="none"/>
                <w:lang w:eastAsia="cs-CZ"/>
              </w:rPr>
              <w:t xml:space="preserve">sazby  </w:t>
            </w:r>
            <w:r w:rsidRPr="004F0B76">
              <w:rPr>
                <w:rStyle w:val="Hypertextovodkaz"/>
                <w:rFonts w:ascii="Arial" w:eastAsia="Times New Roman" w:hAnsi="Arial" w:cs="Arial"/>
                <w:bCs/>
                <w:color w:val="0F0D29" w:themeColor="text1"/>
                <w:kern w:val="36"/>
                <w:sz w:val="20"/>
                <w:szCs w:val="20"/>
                <w:u w:val="none"/>
                <w:lang w:eastAsia="cs-CZ"/>
              </w:rPr>
              <w:t>daně</w:t>
            </w:r>
            <w:proofErr w:type="gramEnd"/>
            <w:r w:rsidRPr="004F0B76">
              <w:rPr>
                <w:rStyle w:val="Hypertextovodkaz"/>
                <w:rFonts w:ascii="Arial" w:eastAsia="Times New Roman" w:hAnsi="Arial" w:cs="Arial"/>
                <w:bCs/>
                <w:color w:val="0F0D29" w:themeColor="text1"/>
                <w:kern w:val="36"/>
                <w:sz w:val="20"/>
                <w:szCs w:val="20"/>
                <w:u w:val="none"/>
                <w:lang w:eastAsia="cs-CZ"/>
              </w:rPr>
              <w:t xml:space="preserve"> předmětných minerálních olejů, které budou ve sledov</w:t>
            </w:r>
            <w:r>
              <w:rPr>
                <w:rStyle w:val="Hypertextovodkaz"/>
                <w:rFonts w:ascii="Arial" w:eastAsia="Times New Roman" w:hAnsi="Arial" w:cs="Arial"/>
                <w:bCs/>
                <w:color w:val="0F0D29" w:themeColor="text1"/>
                <w:kern w:val="36"/>
                <w:sz w:val="20"/>
                <w:szCs w:val="20"/>
                <w:u w:val="none"/>
                <w:lang w:eastAsia="cs-CZ"/>
              </w:rPr>
              <w:t xml:space="preserve">aném období uvedeny do volného </w:t>
            </w:r>
            <w:r w:rsidRPr="004F0B76">
              <w:rPr>
                <w:rStyle w:val="Hypertextovodkaz"/>
                <w:rFonts w:ascii="Arial" w:eastAsia="Times New Roman" w:hAnsi="Arial" w:cs="Arial"/>
                <w:bCs/>
                <w:color w:val="0F0D29" w:themeColor="text1"/>
                <w:kern w:val="36"/>
                <w:sz w:val="20"/>
                <w:szCs w:val="20"/>
                <w:u w:val="none"/>
                <w:lang w:eastAsia="cs-CZ"/>
              </w:rPr>
              <w:t>daňového oběhu.</w:t>
            </w:r>
          </w:p>
          <w:p w14:paraId="350100C5" w14:textId="77777777" w:rsidR="004F0B76" w:rsidRPr="004F0B76" w:rsidRDefault="004F0B76" w:rsidP="00A404F7">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26878699" w14:textId="40A99F4B" w:rsidR="004F0B76" w:rsidRDefault="004F0B76" w:rsidP="00A404F7">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4F0B76">
              <w:rPr>
                <w:rStyle w:val="Hypertextovodkaz"/>
                <w:rFonts w:ascii="Arial" w:eastAsia="Times New Roman" w:hAnsi="Arial" w:cs="Arial"/>
                <w:bCs/>
                <w:color w:val="0F0D29" w:themeColor="text1"/>
                <w:kern w:val="36"/>
                <w:sz w:val="20"/>
                <w:szCs w:val="20"/>
                <w:u w:val="none"/>
                <w:lang w:eastAsia="cs-CZ"/>
              </w:rPr>
              <w:t>Cílem návrhu je snaha o zmírnění dopadů energetické krize v</w:t>
            </w:r>
            <w:r>
              <w:rPr>
                <w:rStyle w:val="Hypertextovodkaz"/>
                <w:rFonts w:ascii="Arial" w:eastAsia="Times New Roman" w:hAnsi="Arial" w:cs="Arial"/>
                <w:bCs/>
                <w:color w:val="0F0D29" w:themeColor="text1"/>
                <w:kern w:val="36"/>
                <w:sz w:val="20"/>
                <w:szCs w:val="20"/>
                <w:u w:val="none"/>
                <w:lang w:eastAsia="cs-CZ"/>
              </w:rPr>
              <w:t xml:space="preserve"> oblasti cen paliv a </w:t>
            </w:r>
            <w:proofErr w:type="gramStart"/>
            <w:r>
              <w:rPr>
                <w:rStyle w:val="Hypertextovodkaz"/>
                <w:rFonts w:ascii="Arial" w:eastAsia="Times New Roman" w:hAnsi="Arial" w:cs="Arial"/>
                <w:bCs/>
                <w:color w:val="0F0D29" w:themeColor="text1"/>
                <w:kern w:val="36"/>
                <w:sz w:val="20"/>
                <w:szCs w:val="20"/>
                <w:u w:val="none"/>
                <w:lang w:eastAsia="cs-CZ"/>
              </w:rPr>
              <w:t xml:space="preserve">pohonných  </w:t>
            </w:r>
            <w:r w:rsidRPr="004F0B76">
              <w:rPr>
                <w:rStyle w:val="Hypertextovodkaz"/>
                <w:rFonts w:ascii="Arial" w:eastAsia="Times New Roman" w:hAnsi="Arial" w:cs="Arial"/>
                <w:bCs/>
                <w:color w:val="0F0D29" w:themeColor="text1"/>
                <w:kern w:val="36"/>
                <w:sz w:val="20"/>
                <w:szCs w:val="20"/>
                <w:u w:val="none"/>
                <w:lang w:eastAsia="cs-CZ"/>
              </w:rPr>
              <w:t>hmot</w:t>
            </w:r>
            <w:proofErr w:type="gramEnd"/>
            <w:r w:rsidRPr="004F0B76">
              <w:rPr>
                <w:rStyle w:val="Hypertextovodkaz"/>
                <w:rFonts w:ascii="Arial" w:eastAsia="Times New Roman" w:hAnsi="Arial" w:cs="Arial"/>
                <w:bCs/>
                <w:color w:val="0F0D29" w:themeColor="text1"/>
                <w:kern w:val="36"/>
                <w:sz w:val="20"/>
                <w:szCs w:val="20"/>
                <w:u w:val="none"/>
                <w:lang w:eastAsia="cs-CZ"/>
              </w:rPr>
              <w:t xml:space="preserve"> vyvolané invazí ozbrojených sil Ruské federace na ú</w:t>
            </w:r>
            <w:r>
              <w:rPr>
                <w:rStyle w:val="Hypertextovodkaz"/>
                <w:rFonts w:ascii="Arial" w:eastAsia="Times New Roman" w:hAnsi="Arial" w:cs="Arial"/>
                <w:bCs/>
                <w:color w:val="0F0D29" w:themeColor="text1"/>
                <w:kern w:val="36"/>
                <w:sz w:val="20"/>
                <w:szCs w:val="20"/>
                <w:u w:val="none"/>
                <w:lang w:eastAsia="cs-CZ"/>
              </w:rPr>
              <w:t xml:space="preserve">zemí Ukrajiny na podnikatelské </w:t>
            </w:r>
            <w:r w:rsidRPr="004F0B76">
              <w:rPr>
                <w:rStyle w:val="Hypertextovodkaz"/>
                <w:rFonts w:ascii="Arial" w:eastAsia="Times New Roman" w:hAnsi="Arial" w:cs="Arial"/>
                <w:bCs/>
                <w:color w:val="0F0D29" w:themeColor="text1"/>
                <w:kern w:val="36"/>
                <w:sz w:val="20"/>
                <w:szCs w:val="20"/>
                <w:u w:val="none"/>
                <w:lang w:eastAsia="cs-CZ"/>
              </w:rPr>
              <w:t>subjekty i občany</w:t>
            </w:r>
            <w:r>
              <w:rPr>
                <w:rStyle w:val="Hypertextovodkaz"/>
                <w:rFonts w:ascii="Arial" w:eastAsia="Times New Roman" w:hAnsi="Arial" w:cs="Arial"/>
                <w:bCs/>
                <w:color w:val="0F0D29" w:themeColor="text1"/>
                <w:kern w:val="36"/>
                <w:sz w:val="20"/>
                <w:szCs w:val="20"/>
                <w:u w:val="none"/>
                <w:lang w:eastAsia="cs-CZ"/>
              </w:rPr>
              <w:t>.</w:t>
            </w:r>
          </w:p>
          <w:p w14:paraId="4650E434" w14:textId="77777777" w:rsidR="004F0B76" w:rsidRPr="005078C0" w:rsidRDefault="004F0B76" w:rsidP="004F0B76">
            <w:pPr>
              <w:pStyle w:val="Bezmezer"/>
              <w:jc w:val="both"/>
              <w:rPr>
                <w:rStyle w:val="Hypertextovodkaz"/>
                <w:rFonts w:ascii="Arial" w:eastAsia="Times New Roman" w:hAnsi="Arial" w:cs="Arial"/>
                <w:bCs/>
                <w:color w:val="0F0D29" w:themeColor="text1"/>
                <w:kern w:val="36"/>
                <w:sz w:val="20"/>
                <w:szCs w:val="20"/>
                <w:u w:val="none"/>
                <w:lang w:eastAsia="cs-CZ"/>
              </w:rPr>
            </w:pPr>
          </w:p>
          <w:p w14:paraId="3ED8501A" w14:textId="408857D0" w:rsidR="006A077B" w:rsidRPr="005078C0" w:rsidRDefault="006A077B" w:rsidP="006A077B">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 xml:space="preserve">OÚ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0B85B85C" w14:textId="77777777" w:rsidR="006A077B" w:rsidRPr="005078C0" w:rsidRDefault="006A077B" w:rsidP="006A077B">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23FE683B" w14:textId="5C3714B6" w:rsidR="006A077B" w:rsidRPr="005078C0" w:rsidRDefault="006A077B" w:rsidP="006A077B">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Odpovědný útvar</w:t>
            </w:r>
            <w:r>
              <w:rPr>
                <w:rStyle w:val="Hypertextovodkaz"/>
                <w:rFonts w:ascii="Arial" w:eastAsia="Times New Roman" w:hAnsi="Arial" w:cs="Arial"/>
                <w:b/>
                <w:bCs/>
                <w:i/>
                <w:color w:val="0F0D29" w:themeColor="text1"/>
                <w:kern w:val="36"/>
                <w:sz w:val="20"/>
                <w:szCs w:val="20"/>
                <w:u w:val="none"/>
                <w:lang w:eastAsia="cs-CZ"/>
              </w:rPr>
              <w:t>:</w:t>
            </w:r>
            <w:r>
              <w:rPr>
                <w:rStyle w:val="Hypertextovodkaz"/>
                <w:rFonts w:ascii="Arial" w:eastAsia="Times New Roman" w:hAnsi="Arial" w:cs="Arial"/>
                <w:i/>
                <w:color w:val="0F0D29" w:themeColor="text1"/>
                <w:kern w:val="36"/>
                <w:sz w:val="20"/>
                <w:szCs w:val="20"/>
                <w:u w:val="none"/>
                <w:lang w:eastAsia="cs-CZ"/>
              </w:rPr>
              <w:t xml:space="preserve"> </w:t>
            </w:r>
            <w:r w:rsidR="00D97B4A">
              <w:rPr>
                <w:rStyle w:val="Hypertextovodkaz"/>
                <w:rFonts w:ascii="Arial" w:eastAsia="Times New Roman" w:hAnsi="Arial" w:cs="Arial"/>
                <w:i/>
                <w:color w:val="0F0D29" w:themeColor="text1"/>
                <w:kern w:val="36"/>
                <w:sz w:val="20"/>
                <w:szCs w:val="20"/>
                <w:u w:val="none"/>
                <w:lang w:eastAsia="cs-CZ"/>
              </w:rPr>
              <w:t>FÚ</w:t>
            </w:r>
            <w:r w:rsidRPr="005078C0">
              <w:rPr>
                <w:rStyle w:val="Hypertextovodkaz"/>
                <w:rFonts w:ascii="Arial" w:eastAsia="Times New Roman" w:hAnsi="Arial" w:cs="Arial"/>
                <w:bCs/>
                <w:i/>
                <w:color w:val="0F0D29" w:themeColor="text1"/>
                <w:kern w:val="36"/>
                <w:sz w:val="20"/>
                <w:szCs w:val="20"/>
                <w:u w:val="none"/>
                <w:lang w:eastAsia="cs-CZ"/>
              </w:rPr>
              <w:t xml:space="preserve"> </w:t>
            </w:r>
            <w:r w:rsidR="00D97B4A">
              <w:rPr>
                <w:rStyle w:val="Hypertextovodkaz"/>
                <w:rFonts w:ascii="Arial" w:eastAsia="Times New Roman" w:hAnsi="Arial" w:cs="Arial"/>
                <w:bCs/>
                <w:i/>
                <w:color w:val="0F0D29" w:themeColor="text1"/>
                <w:kern w:val="36"/>
                <w:sz w:val="20"/>
                <w:szCs w:val="20"/>
                <w:u w:val="none"/>
                <w:lang w:eastAsia="cs-CZ"/>
              </w:rPr>
              <w:t>– Ing. Helena Hostková</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31.5.2022</w:t>
            </w:r>
          </w:p>
          <w:p w14:paraId="55707634" w14:textId="77777777" w:rsidR="00F1485A" w:rsidRDefault="00F1485A" w:rsidP="00F1485A">
            <w:pPr>
              <w:pStyle w:val="Bezmezer"/>
              <w:jc w:val="center"/>
              <w:rPr>
                <w:rStyle w:val="Hypertextovodkaz"/>
                <w:rFonts w:ascii="Arial" w:eastAsia="Times New Roman" w:hAnsi="Arial" w:cs="Arial"/>
                <w:color w:val="0F0D29" w:themeColor="text1"/>
                <w:kern w:val="36"/>
                <w:sz w:val="24"/>
                <w:szCs w:val="20"/>
                <w:u w:val="none"/>
                <w:lang w:eastAsia="cs-CZ"/>
              </w:rPr>
            </w:pPr>
          </w:p>
          <w:p w14:paraId="438EFA47" w14:textId="56C9D4AB" w:rsidR="006A077B" w:rsidRPr="005078C0" w:rsidRDefault="006A077B" w:rsidP="006A077B">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6A077B">
              <w:rPr>
                <w:rStyle w:val="Hypertextovodkaz"/>
                <w:rFonts w:ascii="Arial" w:eastAsia="Times New Roman" w:hAnsi="Arial" w:cs="Arial"/>
                <w:b/>
                <w:bCs/>
                <w:color w:val="0F0D29" w:themeColor="text1"/>
                <w:kern w:val="36"/>
                <w:sz w:val="24"/>
                <w:szCs w:val="20"/>
                <w:u w:val="none"/>
                <w:lang w:eastAsia="cs-CZ"/>
              </w:rPr>
              <w:t>Návrh zákona, kterým se mění zákon č. 155/1995 Sb., o důchodovém pojištění, ve znění pozdějších předpisů, a některé další zákony</w:t>
            </w:r>
            <w:r w:rsidR="00EF6723">
              <w:rPr>
                <w:rStyle w:val="Hypertextovodkaz"/>
                <w:rFonts w:ascii="Arial" w:eastAsia="Times New Roman" w:hAnsi="Arial" w:cs="Arial"/>
                <w:b/>
                <w:bCs/>
                <w:color w:val="0F0D29" w:themeColor="text1"/>
                <w:kern w:val="36"/>
                <w:sz w:val="24"/>
                <w:szCs w:val="24"/>
                <w:u w:val="none"/>
                <w:lang w:eastAsia="cs-CZ"/>
              </w:rPr>
              <w:pict w14:anchorId="04A831E6">
                <v:rect id="_x0000_i1038" style="width:0;height:1.5pt" o:hralign="center" o:hrstd="t" o:hr="t" fillcolor="#a0a0a0" stroked="f"/>
              </w:pict>
            </w:r>
          </w:p>
          <w:p w14:paraId="5F2458B2" w14:textId="5562B450" w:rsidR="006A077B" w:rsidRDefault="006A077B" w:rsidP="006A077B">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EKLEP</w:t>
            </w:r>
            <w:r>
              <w:t xml:space="preserve"> </w:t>
            </w:r>
            <w:r w:rsidRPr="006A077B">
              <w:rPr>
                <w:rStyle w:val="Hypertextovodkaz"/>
                <w:rFonts w:ascii="Arial" w:eastAsia="Times New Roman" w:hAnsi="Arial" w:cs="Arial"/>
                <w:bCs/>
                <w:color w:val="0F0D29" w:themeColor="text1"/>
                <w:kern w:val="36"/>
                <w:sz w:val="20"/>
                <w:szCs w:val="20"/>
                <w:u w:val="none"/>
                <w:lang w:eastAsia="cs-CZ"/>
              </w:rPr>
              <w:t>KORNCDFF4DQX</w:t>
            </w:r>
            <w:r>
              <w:rPr>
                <w:rStyle w:val="Hypertextovodkaz"/>
                <w:rFonts w:ascii="Arial" w:eastAsia="Times New Roman" w:hAnsi="Arial" w:cs="Arial"/>
                <w:bCs/>
                <w:color w:val="0F0D29" w:themeColor="text1"/>
                <w:kern w:val="36"/>
                <w:sz w:val="20"/>
                <w:szCs w:val="20"/>
                <w:u w:val="none"/>
                <w:lang w:eastAsia="cs-CZ"/>
              </w:rPr>
              <w:t xml:space="preserve"> </w:t>
            </w:r>
          </w:p>
          <w:p w14:paraId="106B9BE1" w14:textId="6BAE67BE" w:rsidR="006A077B" w:rsidRDefault="007E06C5" w:rsidP="006A077B">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V mezirezortním připomínkovém řízení</w:t>
            </w:r>
          </w:p>
          <w:p w14:paraId="0B47B9D8" w14:textId="77777777" w:rsidR="006A077B" w:rsidRPr="005078C0" w:rsidRDefault="006A077B" w:rsidP="006A077B">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59B1424C" w14:textId="093E4F36" w:rsidR="006A077B" w:rsidRPr="005078C0" w:rsidRDefault="00C2146C" w:rsidP="00A404F7">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C2146C">
              <w:rPr>
                <w:rStyle w:val="Hypertextovodkaz"/>
                <w:rFonts w:ascii="Arial" w:eastAsia="Times New Roman" w:hAnsi="Arial" w:cs="Arial"/>
                <w:bCs/>
                <w:color w:val="0F0D29" w:themeColor="text1"/>
                <w:kern w:val="36"/>
                <w:sz w:val="20"/>
                <w:szCs w:val="20"/>
                <w:u w:val="none"/>
                <w:lang w:eastAsia="cs-CZ"/>
              </w:rPr>
              <w:t>Návrh zákona se předkládá k realizaci Programového prohlášení vlády a na základě Plánu legislativních</w:t>
            </w:r>
            <w:r>
              <w:rPr>
                <w:rStyle w:val="Hypertextovodkaz"/>
                <w:rFonts w:ascii="Arial" w:eastAsia="Times New Roman" w:hAnsi="Arial" w:cs="Arial"/>
                <w:bCs/>
                <w:color w:val="0F0D29" w:themeColor="text1"/>
                <w:kern w:val="36"/>
                <w:sz w:val="20"/>
                <w:szCs w:val="20"/>
                <w:u w:val="none"/>
                <w:lang w:eastAsia="cs-CZ"/>
              </w:rPr>
              <w:t xml:space="preserve"> prací vlády na rok 2022. </w:t>
            </w:r>
            <w:r w:rsidRPr="00C2146C">
              <w:rPr>
                <w:rStyle w:val="Hypertextovodkaz"/>
                <w:rFonts w:ascii="Arial" w:eastAsia="Times New Roman" w:hAnsi="Arial" w:cs="Arial"/>
                <w:bCs/>
                <w:color w:val="0F0D29" w:themeColor="text1"/>
                <w:kern w:val="36"/>
                <w:sz w:val="20"/>
                <w:szCs w:val="20"/>
                <w:u w:val="none"/>
                <w:lang w:eastAsia="cs-CZ"/>
              </w:rPr>
              <w:t>Návrh zákona obsahuje úpravu snížení důchodového věku pro pojištěnce, kteří pracovali po stanovenou dobu v rizikových zaměstnáních.</w:t>
            </w:r>
          </w:p>
          <w:p w14:paraId="00494B9C" w14:textId="7ACBA4E1" w:rsidR="006A077B" w:rsidRPr="005078C0" w:rsidRDefault="006A077B" w:rsidP="006A077B">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lastRenderedPageBreak/>
              <w:t xml:space="preserve">Úkol: </w:t>
            </w:r>
            <w:r>
              <w:rPr>
                <w:rStyle w:val="Hypertextovodkaz"/>
                <w:rFonts w:ascii="Arial" w:eastAsia="Times New Roman" w:hAnsi="Arial" w:cs="Arial"/>
                <w:bCs/>
                <w:i/>
                <w:color w:val="0F0D29" w:themeColor="text1"/>
                <w:kern w:val="36"/>
                <w:sz w:val="20"/>
                <w:szCs w:val="20"/>
                <w:u w:val="none"/>
                <w:lang w:eastAsia="cs-CZ"/>
              </w:rPr>
              <w:t>O</w:t>
            </w:r>
            <w:r w:rsidR="007E06C5">
              <w:rPr>
                <w:rStyle w:val="Hypertextovodkaz"/>
                <w:rFonts w:ascii="Arial" w:eastAsia="Times New Roman" w:hAnsi="Arial" w:cs="Arial"/>
                <w:bCs/>
                <w:i/>
                <w:color w:val="0F0D29" w:themeColor="text1"/>
                <w:kern w:val="36"/>
                <w:sz w:val="20"/>
                <w:szCs w:val="20"/>
                <w:u w:val="none"/>
                <w:lang w:eastAsia="cs-CZ"/>
              </w:rPr>
              <w:t xml:space="preserve">ŘLZ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16E645AA" w14:textId="77777777" w:rsidR="006A077B" w:rsidRPr="005078C0" w:rsidRDefault="006A077B" w:rsidP="006A077B">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1B0B41C2" w14:textId="6DD458F2" w:rsidR="006A077B" w:rsidRPr="005078C0" w:rsidRDefault="006A077B" w:rsidP="006A077B">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Odpovědný útvar</w:t>
            </w:r>
            <w:r>
              <w:rPr>
                <w:rStyle w:val="Hypertextovodkaz"/>
                <w:rFonts w:ascii="Arial" w:eastAsia="Times New Roman" w:hAnsi="Arial" w:cs="Arial"/>
                <w:b/>
                <w:bCs/>
                <w:i/>
                <w:color w:val="0F0D29" w:themeColor="text1"/>
                <w:kern w:val="36"/>
                <w:sz w:val="20"/>
                <w:szCs w:val="20"/>
                <w:u w:val="none"/>
                <w:lang w:eastAsia="cs-CZ"/>
              </w:rPr>
              <w:t>:</w:t>
            </w:r>
            <w:r>
              <w:rPr>
                <w:rStyle w:val="Hypertextovodkaz"/>
                <w:rFonts w:ascii="Arial" w:eastAsia="Times New Roman" w:hAnsi="Arial" w:cs="Arial"/>
                <w:i/>
                <w:color w:val="0F0D29" w:themeColor="text1"/>
                <w:kern w:val="36"/>
                <w:sz w:val="20"/>
                <w:szCs w:val="20"/>
                <w:u w:val="none"/>
                <w:lang w:eastAsia="cs-CZ"/>
              </w:rPr>
              <w:t xml:space="preserve"> </w:t>
            </w:r>
            <w:r w:rsidR="007E06C5">
              <w:rPr>
                <w:rStyle w:val="Hypertextovodkaz"/>
                <w:rFonts w:ascii="Arial" w:eastAsia="Times New Roman" w:hAnsi="Arial" w:cs="Arial"/>
                <w:i/>
                <w:color w:val="0F0D29" w:themeColor="text1"/>
                <w:kern w:val="36"/>
                <w:sz w:val="20"/>
                <w:szCs w:val="20"/>
                <w:u w:val="none"/>
                <w:lang w:eastAsia="cs-CZ"/>
              </w:rPr>
              <w:t>OŘLZ – Mgr. Šárka Šolcová</w:t>
            </w:r>
            <w:r w:rsidRPr="005078C0">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ab/>
            </w:r>
            <w:proofErr w:type="gramStart"/>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sidR="007E06C5">
              <w:rPr>
                <w:rStyle w:val="Hypertextovodkaz"/>
                <w:rFonts w:ascii="Arial" w:eastAsia="Times New Roman" w:hAnsi="Arial" w:cs="Arial"/>
                <w:b/>
                <w:bCs/>
                <w:i/>
                <w:color w:val="0F0D29" w:themeColor="text1"/>
                <w:kern w:val="36"/>
                <w:sz w:val="20"/>
                <w:szCs w:val="20"/>
                <w:u w:val="none"/>
                <w:lang w:eastAsia="cs-CZ"/>
              </w:rPr>
              <w:t>30.</w:t>
            </w:r>
            <w:proofErr w:type="gramEnd"/>
            <w:r w:rsidR="007E06C5">
              <w:rPr>
                <w:rStyle w:val="Hypertextovodkaz"/>
                <w:rFonts w:ascii="Arial" w:eastAsia="Times New Roman" w:hAnsi="Arial" w:cs="Arial"/>
                <w:b/>
                <w:bCs/>
                <w:i/>
                <w:color w:val="0F0D29" w:themeColor="text1"/>
                <w:kern w:val="36"/>
                <w:sz w:val="20"/>
                <w:szCs w:val="20"/>
                <w:u w:val="none"/>
                <w:lang w:eastAsia="cs-CZ"/>
              </w:rPr>
              <w:t xml:space="preserve"> 6. 2022</w:t>
            </w:r>
          </w:p>
          <w:p w14:paraId="2AC0D8DE" w14:textId="76C76886" w:rsidR="00F1485A" w:rsidRDefault="00F1485A" w:rsidP="00F5617F">
            <w:pPr>
              <w:pStyle w:val="Bezmezer"/>
              <w:jc w:val="right"/>
              <w:rPr>
                <w:rStyle w:val="Hypertextovodkaz"/>
                <w:rFonts w:ascii="Arial" w:eastAsia="Times New Roman" w:hAnsi="Arial" w:cs="Arial"/>
                <w:color w:val="0F0D29" w:themeColor="text1"/>
                <w:kern w:val="36"/>
                <w:sz w:val="24"/>
                <w:szCs w:val="20"/>
                <w:u w:val="none"/>
                <w:lang w:eastAsia="cs-CZ"/>
              </w:rPr>
            </w:pPr>
          </w:p>
          <w:p w14:paraId="5B01E6B2" w14:textId="5E4B316A" w:rsidR="006A077B" w:rsidRDefault="00D06200" w:rsidP="00D06200">
            <w:pPr>
              <w:pStyle w:val="Bezmezer"/>
              <w:tabs>
                <w:tab w:val="left" w:pos="6336"/>
              </w:tabs>
              <w:rPr>
                <w:rStyle w:val="Hypertextovodkaz"/>
                <w:rFonts w:ascii="Arial" w:eastAsia="Times New Roman" w:hAnsi="Arial" w:cs="Arial"/>
                <w:color w:val="0F0D29" w:themeColor="text1"/>
                <w:kern w:val="36"/>
                <w:sz w:val="24"/>
                <w:szCs w:val="20"/>
                <w:u w:val="none"/>
                <w:lang w:eastAsia="cs-CZ"/>
              </w:rPr>
            </w:pPr>
            <w:r>
              <w:rPr>
                <w:rStyle w:val="Hypertextovodkaz"/>
                <w:rFonts w:ascii="Arial" w:eastAsia="Times New Roman" w:hAnsi="Arial" w:cs="Arial"/>
                <w:color w:val="0F0D29" w:themeColor="text1"/>
                <w:kern w:val="36"/>
                <w:sz w:val="24"/>
                <w:szCs w:val="20"/>
                <w:u w:val="none"/>
                <w:lang w:eastAsia="cs-CZ"/>
              </w:rPr>
              <w:tab/>
            </w:r>
          </w:p>
          <w:p w14:paraId="1054DD5F" w14:textId="2418B1F9" w:rsidR="00D06200" w:rsidRPr="00C2146C" w:rsidRDefault="00D06200" w:rsidP="00D06200">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D06200">
              <w:rPr>
                <w:rStyle w:val="Hypertextovodkaz"/>
                <w:rFonts w:ascii="Arial" w:eastAsia="Times New Roman" w:hAnsi="Arial" w:cs="Arial"/>
                <w:b/>
                <w:bCs/>
                <w:color w:val="0F0D29" w:themeColor="text1"/>
                <w:kern w:val="36"/>
                <w:sz w:val="24"/>
                <w:szCs w:val="20"/>
                <w:u w:val="none"/>
                <w:lang w:eastAsia="cs-CZ"/>
              </w:rPr>
              <w:t>Návrh vyhlášky, kterou se mění vyhláška č. 511/2021 Sb., o změně sazby základní náhrady za používání silničních motorových vozidel a stravného a o stanovení průměrné ceny pohonných hmot pro účely poskytování cestovních náhrad, ve znění vyhlášky č. 47/2022 Sb</w:t>
            </w:r>
            <w:r w:rsidRPr="00C2146C">
              <w:rPr>
                <w:rStyle w:val="Hypertextovodkaz"/>
                <w:rFonts w:ascii="Arial" w:eastAsia="Times New Roman" w:hAnsi="Arial" w:cs="Arial"/>
                <w:b/>
                <w:bCs/>
                <w:color w:val="0F0D29" w:themeColor="text1"/>
                <w:kern w:val="36"/>
                <w:sz w:val="24"/>
                <w:szCs w:val="20"/>
                <w:u w:val="none"/>
                <w:lang w:eastAsia="cs-CZ"/>
              </w:rPr>
              <w:t>.</w:t>
            </w:r>
            <w:r w:rsidR="00EF6723">
              <w:rPr>
                <w:rStyle w:val="Hypertextovodkaz"/>
                <w:rFonts w:ascii="Arial" w:eastAsia="Times New Roman" w:hAnsi="Arial" w:cs="Arial"/>
                <w:b/>
                <w:bCs/>
                <w:color w:val="0F0D29" w:themeColor="text1"/>
                <w:kern w:val="36"/>
                <w:sz w:val="24"/>
                <w:szCs w:val="24"/>
                <w:u w:val="none"/>
                <w:lang w:eastAsia="cs-CZ"/>
              </w:rPr>
              <w:pict w14:anchorId="5571F871">
                <v:rect id="_x0000_i1039" style="width:0;height:1.5pt" o:hralign="center" o:hrstd="t" o:hr="t" fillcolor="#a0a0a0" stroked="f"/>
              </w:pict>
            </w:r>
          </w:p>
          <w:p w14:paraId="22BD4295" w14:textId="7EE81170" w:rsidR="00D06200" w:rsidRPr="00C2146C" w:rsidRDefault="00D06200" w:rsidP="00D06200">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sidRPr="00C2146C">
              <w:rPr>
                <w:rStyle w:val="Hypertextovodkaz"/>
                <w:rFonts w:ascii="Arial" w:eastAsia="Times New Roman" w:hAnsi="Arial" w:cs="Arial"/>
                <w:bCs/>
                <w:color w:val="0F0D29" w:themeColor="text1"/>
                <w:kern w:val="36"/>
                <w:sz w:val="20"/>
                <w:szCs w:val="20"/>
                <w:u w:val="none"/>
                <w:lang w:eastAsia="cs-CZ"/>
              </w:rPr>
              <w:t>EKLEP</w:t>
            </w:r>
            <w:r w:rsidRPr="00C2146C">
              <w:t xml:space="preserve"> </w:t>
            </w:r>
            <w:r w:rsidR="00C2146C" w:rsidRPr="00C2146C">
              <w:rPr>
                <w:rStyle w:val="Hypertextovodkaz"/>
                <w:rFonts w:ascii="Arial" w:eastAsia="Times New Roman" w:hAnsi="Arial" w:cs="Arial"/>
                <w:bCs/>
                <w:color w:val="0F0D29" w:themeColor="text1"/>
                <w:kern w:val="36"/>
                <w:sz w:val="20"/>
                <w:szCs w:val="20"/>
                <w:u w:val="none"/>
                <w:lang w:eastAsia="cs-CZ"/>
              </w:rPr>
              <w:t>ALBSCDQ8XGS3</w:t>
            </w:r>
            <w:r w:rsidRPr="00C2146C">
              <w:rPr>
                <w:rStyle w:val="Hypertextovodkaz"/>
                <w:rFonts w:ascii="Arial" w:eastAsia="Times New Roman" w:hAnsi="Arial" w:cs="Arial"/>
                <w:bCs/>
                <w:color w:val="0F0D29" w:themeColor="text1"/>
                <w:kern w:val="36"/>
                <w:sz w:val="20"/>
                <w:szCs w:val="20"/>
                <w:u w:val="none"/>
                <w:lang w:eastAsia="cs-CZ"/>
              </w:rPr>
              <w:t xml:space="preserve"> </w:t>
            </w:r>
          </w:p>
          <w:p w14:paraId="51B00307" w14:textId="77777777" w:rsidR="00D06200" w:rsidRPr="00C2146C" w:rsidRDefault="00D06200" w:rsidP="00D06200">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sidRPr="00C2146C">
              <w:rPr>
                <w:rStyle w:val="Hypertextovodkaz"/>
                <w:rFonts w:ascii="Arial" w:eastAsia="Times New Roman" w:hAnsi="Arial" w:cs="Arial"/>
                <w:bCs/>
                <w:color w:val="0F0D29" w:themeColor="text1"/>
                <w:kern w:val="36"/>
                <w:sz w:val="20"/>
                <w:szCs w:val="20"/>
                <w:u w:val="none"/>
                <w:lang w:eastAsia="cs-CZ"/>
              </w:rPr>
              <w:t>V mezirezortním připomínkovém řízení</w:t>
            </w:r>
          </w:p>
          <w:p w14:paraId="68710685" w14:textId="77777777" w:rsidR="00D06200" w:rsidRPr="00C2146C" w:rsidRDefault="00D06200" w:rsidP="00D06200">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53141A7F" w14:textId="30BB96E7" w:rsidR="00D06200" w:rsidRDefault="00C2146C" w:rsidP="00A404F7">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C2146C">
              <w:rPr>
                <w:rStyle w:val="Hypertextovodkaz"/>
                <w:rFonts w:ascii="Arial" w:eastAsia="Times New Roman" w:hAnsi="Arial" w:cs="Arial"/>
                <w:bCs/>
                <w:color w:val="0F0D29" w:themeColor="text1"/>
                <w:kern w:val="36"/>
                <w:sz w:val="20"/>
                <w:szCs w:val="20"/>
                <w:u w:val="none"/>
                <w:lang w:eastAsia="cs-CZ"/>
              </w:rPr>
              <w:t xml:space="preserve">Ministerstvo práce a sociálních věcí předkládá mimo plán </w:t>
            </w:r>
            <w:r w:rsidR="00AE31E2">
              <w:rPr>
                <w:rStyle w:val="Hypertextovodkaz"/>
                <w:rFonts w:ascii="Arial" w:eastAsia="Times New Roman" w:hAnsi="Arial" w:cs="Arial"/>
                <w:bCs/>
                <w:color w:val="0F0D29" w:themeColor="text1"/>
                <w:kern w:val="36"/>
                <w:sz w:val="20"/>
                <w:szCs w:val="20"/>
                <w:u w:val="none"/>
                <w:lang w:eastAsia="cs-CZ"/>
              </w:rPr>
              <w:t xml:space="preserve">legislativních prací </w:t>
            </w:r>
            <w:r w:rsidRPr="00C2146C">
              <w:rPr>
                <w:rStyle w:val="Hypertextovodkaz"/>
                <w:rFonts w:ascii="Arial" w:eastAsia="Times New Roman" w:hAnsi="Arial" w:cs="Arial"/>
                <w:bCs/>
                <w:color w:val="0F0D29" w:themeColor="text1"/>
                <w:kern w:val="36"/>
                <w:sz w:val="20"/>
                <w:szCs w:val="20"/>
                <w:u w:val="none"/>
                <w:lang w:eastAsia="cs-CZ"/>
              </w:rPr>
              <w:t>na základě zmocnění v § 189 odst. 2 zákoníku</w:t>
            </w:r>
            <w:r>
              <w:rPr>
                <w:rStyle w:val="Hypertextovodkaz"/>
                <w:rFonts w:ascii="Arial" w:eastAsia="Times New Roman" w:hAnsi="Arial" w:cs="Arial"/>
                <w:bCs/>
                <w:color w:val="0F0D29" w:themeColor="text1"/>
                <w:kern w:val="36"/>
                <w:sz w:val="20"/>
                <w:szCs w:val="20"/>
                <w:u w:val="none"/>
                <w:lang w:eastAsia="cs-CZ"/>
              </w:rPr>
              <w:t xml:space="preserve"> práce novelu vyhlášky, kterou se mimořádně aktualizuje průměrná cena</w:t>
            </w:r>
            <w:r w:rsidRPr="00C2146C">
              <w:rPr>
                <w:rStyle w:val="Hypertextovodkaz"/>
                <w:rFonts w:ascii="Arial" w:eastAsia="Times New Roman" w:hAnsi="Arial" w:cs="Arial"/>
                <w:bCs/>
                <w:color w:val="0F0D29" w:themeColor="text1"/>
                <w:kern w:val="36"/>
                <w:sz w:val="20"/>
                <w:szCs w:val="20"/>
                <w:u w:val="none"/>
                <w:lang w:eastAsia="cs-CZ"/>
              </w:rPr>
              <w:t xml:space="preserve"> pohonných hmot pro účely poskytování cestovních náhrad.</w:t>
            </w:r>
          </w:p>
          <w:p w14:paraId="0AE9E8A8" w14:textId="77777777" w:rsidR="00C2146C" w:rsidRPr="005078C0" w:rsidRDefault="00C2146C" w:rsidP="00C2146C">
            <w:pPr>
              <w:pStyle w:val="Bezmezer"/>
              <w:jc w:val="both"/>
              <w:rPr>
                <w:rStyle w:val="Hypertextovodkaz"/>
                <w:rFonts w:ascii="Arial" w:eastAsia="Times New Roman" w:hAnsi="Arial" w:cs="Arial"/>
                <w:bCs/>
                <w:color w:val="0F0D29" w:themeColor="text1"/>
                <w:kern w:val="36"/>
                <w:sz w:val="20"/>
                <w:szCs w:val="20"/>
                <w:u w:val="none"/>
                <w:lang w:eastAsia="cs-CZ"/>
              </w:rPr>
            </w:pPr>
          </w:p>
          <w:p w14:paraId="106C3CBA" w14:textId="09405957" w:rsidR="00D06200" w:rsidRPr="005078C0" w:rsidRDefault="00D06200" w:rsidP="00D06200">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Na vědomí OŘLZ.</w:t>
            </w:r>
          </w:p>
          <w:p w14:paraId="06C09240" w14:textId="36EF8277" w:rsidR="00D06200" w:rsidRDefault="00D06200" w:rsidP="00D06200">
            <w:pPr>
              <w:pStyle w:val="Bezmezer"/>
              <w:tabs>
                <w:tab w:val="left" w:pos="6336"/>
              </w:tabs>
              <w:rPr>
                <w:rStyle w:val="Hypertextovodkaz"/>
                <w:rFonts w:ascii="Arial" w:eastAsia="Times New Roman" w:hAnsi="Arial" w:cs="Arial"/>
                <w:color w:val="0F0D29" w:themeColor="text1"/>
                <w:kern w:val="36"/>
                <w:sz w:val="24"/>
                <w:szCs w:val="20"/>
                <w:u w:val="none"/>
                <w:lang w:eastAsia="cs-CZ"/>
              </w:rPr>
            </w:pPr>
          </w:p>
          <w:p w14:paraId="7FA7CDEA" w14:textId="08918F64" w:rsidR="00D06200" w:rsidRPr="005078C0" w:rsidRDefault="00D06200" w:rsidP="00D06200">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D06200">
              <w:rPr>
                <w:rStyle w:val="Hypertextovodkaz"/>
                <w:rFonts w:ascii="Arial" w:eastAsia="Times New Roman" w:hAnsi="Arial" w:cs="Arial"/>
                <w:b/>
                <w:bCs/>
                <w:color w:val="0F0D29" w:themeColor="text1"/>
                <w:kern w:val="36"/>
                <w:sz w:val="24"/>
                <w:szCs w:val="20"/>
                <w:u w:val="none"/>
                <w:lang w:eastAsia="cs-CZ"/>
              </w:rPr>
              <w:t>Návrh zákona, kterým se mění zákon č. 106/1999 Sb., o svobodném přístupu k informacím, zákon č. 123/1998 Sb., o právu na informace o životním prostředí, a zákon č. 130/2002 Sb., o podpoře výzkumu, experimentálního vývoje a inovací z veřejných prostředků a o změně některých souvisejících zákonů (zákon o podpoře výzkumu, experimentálního vývoje a inovací)</w:t>
            </w:r>
            <w:r w:rsidR="00EF6723">
              <w:rPr>
                <w:rStyle w:val="Hypertextovodkaz"/>
                <w:rFonts w:ascii="Arial" w:eastAsia="Times New Roman" w:hAnsi="Arial" w:cs="Arial"/>
                <w:b/>
                <w:bCs/>
                <w:color w:val="0F0D29" w:themeColor="text1"/>
                <w:kern w:val="36"/>
                <w:sz w:val="24"/>
                <w:szCs w:val="24"/>
                <w:u w:val="none"/>
                <w:lang w:eastAsia="cs-CZ"/>
              </w:rPr>
              <w:pict w14:anchorId="738CE7DC">
                <v:rect id="_x0000_i1040" style="width:0;height:1.5pt" o:hralign="center" o:hrstd="t" o:hr="t" fillcolor="#a0a0a0" stroked="f"/>
              </w:pict>
            </w:r>
          </w:p>
          <w:p w14:paraId="639398E5" w14:textId="1FB543DF" w:rsidR="00D06200" w:rsidRDefault="00D06200" w:rsidP="00D06200">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EKLEP</w:t>
            </w:r>
            <w:r>
              <w:t xml:space="preserve"> </w:t>
            </w:r>
            <w:r w:rsidR="00C2146C" w:rsidRPr="00C2146C">
              <w:rPr>
                <w:rStyle w:val="Hypertextovodkaz"/>
                <w:rFonts w:ascii="Arial" w:eastAsia="Times New Roman" w:hAnsi="Arial" w:cs="Arial"/>
                <w:bCs/>
                <w:color w:val="0F0D29" w:themeColor="text1"/>
                <w:kern w:val="36"/>
                <w:sz w:val="20"/>
                <w:szCs w:val="20"/>
                <w:u w:val="none"/>
                <w:lang w:eastAsia="cs-CZ"/>
              </w:rPr>
              <w:t>ALBSCDGK7HH4</w:t>
            </w:r>
            <w:r>
              <w:rPr>
                <w:rStyle w:val="Hypertextovodkaz"/>
                <w:rFonts w:ascii="Arial" w:eastAsia="Times New Roman" w:hAnsi="Arial" w:cs="Arial"/>
                <w:bCs/>
                <w:color w:val="0F0D29" w:themeColor="text1"/>
                <w:kern w:val="36"/>
                <w:sz w:val="20"/>
                <w:szCs w:val="20"/>
                <w:u w:val="none"/>
                <w:lang w:eastAsia="cs-CZ"/>
              </w:rPr>
              <w:t xml:space="preserve"> </w:t>
            </w:r>
          </w:p>
          <w:p w14:paraId="305D7204" w14:textId="50DFAA16" w:rsidR="00D06200" w:rsidRDefault="00756BA5" w:rsidP="00D06200">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Zařazeno na jednání vlády</w:t>
            </w:r>
          </w:p>
          <w:p w14:paraId="0BEBE1B7" w14:textId="77777777" w:rsidR="00D06200" w:rsidRPr="005078C0" w:rsidRDefault="00D06200" w:rsidP="00D06200">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733EF049" w14:textId="773702C1" w:rsidR="00D06200" w:rsidRDefault="00C2146C" w:rsidP="00A404F7">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C2146C">
              <w:rPr>
                <w:rStyle w:val="Hypertextovodkaz"/>
                <w:rFonts w:ascii="Arial" w:eastAsia="Times New Roman" w:hAnsi="Arial" w:cs="Arial"/>
                <w:bCs/>
                <w:color w:val="0F0D29" w:themeColor="text1"/>
                <w:kern w:val="36"/>
                <w:sz w:val="20"/>
                <w:szCs w:val="20"/>
                <w:u w:val="none"/>
                <w:lang w:eastAsia="cs-CZ"/>
              </w:rPr>
              <w:t>Novela sloužící k transpozici směrnice Evropského parlamentu a Rady (EU) 2019/1024 ze dne 20. června 2019 o otevřených datech a opakovaném použití informací veřejného sektoru.</w:t>
            </w:r>
          </w:p>
          <w:p w14:paraId="1471A438" w14:textId="1876FE80" w:rsidR="00C2146C" w:rsidRDefault="00C2146C" w:rsidP="00A404F7">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111819BB" w14:textId="4A5E49E6" w:rsidR="00C2146C" w:rsidRPr="00C2146C" w:rsidRDefault="00C2146C" w:rsidP="00A404F7">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C2146C">
              <w:rPr>
                <w:rStyle w:val="Hypertextovodkaz"/>
                <w:rFonts w:ascii="Arial" w:eastAsia="Times New Roman" w:hAnsi="Arial" w:cs="Arial"/>
                <w:bCs/>
                <w:color w:val="0F0D29" w:themeColor="text1"/>
                <w:kern w:val="36"/>
                <w:sz w:val="20"/>
                <w:szCs w:val="20"/>
                <w:u w:val="none"/>
                <w:lang w:eastAsia="cs-CZ"/>
              </w:rPr>
              <w:t xml:space="preserve">Hlavní </w:t>
            </w:r>
            <w:r>
              <w:rPr>
                <w:rStyle w:val="Hypertextovodkaz"/>
                <w:rFonts w:ascii="Arial" w:eastAsia="Times New Roman" w:hAnsi="Arial" w:cs="Arial"/>
                <w:bCs/>
                <w:color w:val="0F0D29" w:themeColor="text1"/>
                <w:kern w:val="36"/>
                <w:sz w:val="20"/>
                <w:szCs w:val="20"/>
                <w:u w:val="none"/>
                <w:lang w:eastAsia="cs-CZ"/>
              </w:rPr>
              <w:t>změny</w:t>
            </w:r>
            <w:r w:rsidRPr="00C2146C">
              <w:rPr>
                <w:rStyle w:val="Hypertextovodkaz"/>
                <w:rFonts w:ascii="Arial" w:eastAsia="Times New Roman" w:hAnsi="Arial" w:cs="Arial"/>
                <w:bCs/>
                <w:color w:val="0F0D29" w:themeColor="text1"/>
                <w:kern w:val="36"/>
                <w:sz w:val="20"/>
                <w:szCs w:val="20"/>
                <w:u w:val="none"/>
                <w:lang w:eastAsia="cs-CZ"/>
              </w:rPr>
              <w:t xml:space="preserve"> lze charakterizovat následovně:</w:t>
            </w:r>
          </w:p>
          <w:p w14:paraId="649FD8AC" w14:textId="77777777" w:rsidR="00C2146C" w:rsidRPr="00C2146C" w:rsidRDefault="00C2146C" w:rsidP="00A404F7">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31C9AC2F" w14:textId="77777777" w:rsidR="00C2146C" w:rsidRDefault="00C2146C" w:rsidP="00A404F7">
            <w:pPr>
              <w:pStyle w:val="Bezmezer"/>
              <w:numPr>
                <w:ilvl w:val="0"/>
                <w:numId w:val="15"/>
              </w:numPr>
              <w:spacing w:line="360" w:lineRule="auto"/>
              <w:jc w:val="both"/>
              <w:rPr>
                <w:rStyle w:val="Hypertextovodkaz"/>
                <w:rFonts w:ascii="Arial" w:eastAsia="Times New Roman" w:hAnsi="Arial" w:cs="Arial"/>
                <w:bCs/>
                <w:color w:val="0F0D29" w:themeColor="text1"/>
                <w:kern w:val="36"/>
                <w:sz w:val="20"/>
                <w:szCs w:val="20"/>
                <w:u w:val="none"/>
                <w:lang w:eastAsia="cs-CZ"/>
              </w:rPr>
            </w:pPr>
            <w:r w:rsidRPr="00C2146C">
              <w:rPr>
                <w:rStyle w:val="Hypertextovodkaz"/>
                <w:rFonts w:ascii="Arial" w:eastAsia="Times New Roman" w:hAnsi="Arial" w:cs="Arial"/>
                <w:bCs/>
                <w:color w:val="0F0D29" w:themeColor="text1"/>
                <w:kern w:val="36"/>
                <w:sz w:val="20"/>
                <w:szCs w:val="20"/>
                <w:u w:val="none"/>
                <w:lang w:eastAsia="cs-CZ"/>
              </w:rPr>
              <w:t>Rozšíření působnosti pravidel pro opakované použití informací veřejného sektoru i na tzv. veřejné podniky v odvětvích dopravy a veřejných služeb</w:t>
            </w:r>
            <w:r>
              <w:rPr>
                <w:rStyle w:val="Hypertextovodkaz"/>
                <w:rFonts w:ascii="Arial" w:eastAsia="Times New Roman" w:hAnsi="Arial" w:cs="Arial"/>
                <w:bCs/>
                <w:color w:val="0F0D29" w:themeColor="text1"/>
                <w:kern w:val="36"/>
                <w:sz w:val="20"/>
                <w:szCs w:val="20"/>
                <w:u w:val="none"/>
                <w:lang w:eastAsia="cs-CZ"/>
              </w:rPr>
              <w:t xml:space="preserve"> – </w:t>
            </w:r>
            <w:r w:rsidRPr="00C2146C">
              <w:rPr>
                <w:rStyle w:val="Hypertextovodkaz"/>
                <w:rFonts w:ascii="Arial" w:eastAsia="Times New Roman" w:hAnsi="Arial" w:cs="Arial"/>
                <w:b/>
                <w:bCs/>
                <w:color w:val="0F0D29" w:themeColor="text1"/>
                <w:kern w:val="36"/>
                <w:sz w:val="20"/>
                <w:szCs w:val="20"/>
                <w:lang w:eastAsia="cs-CZ"/>
              </w:rPr>
              <w:t>mj. i obchodní společnosti s majetkovou účastí státu</w:t>
            </w:r>
            <w:r>
              <w:rPr>
                <w:rStyle w:val="Hypertextovodkaz"/>
                <w:rFonts w:ascii="Arial" w:eastAsia="Times New Roman" w:hAnsi="Arial" w:cs="Arial"/>
                <w:bCs/>
                <w:color w:val="0F0D29" w:themeColor="text1"/>
                <w:kern w:val="36"/>
                <w:sz w:val="20"/>
                <w:szCs w:val="20"/>
                <w:u w:val="none"/>
                <w:lang w:eastAsia="cs-CZ"/>
              </w:rPr>
              <w:t>.</w:t>
            </w:r>
          </w:p>
          <w:p w14:paraId="57911ABB" w14:textId="77777777" w:rsidR="00C2146C" w:rsidRDefault="00C2146C" w:rsidP="00A404F7">
            <w:pPr>
              <w:pStyle w:val="Bezmezer"/>
              <w:spacing w:line="360" w:lineRule="auto"/>
              <w:ind w:left="720"/>
              <w:jc w:val="both"/>
              <w:rPr>
                <w:rStyle w:val="Hypertextovodkaz"/>
                <w:rFonts w:ascii="Arial" w:eastAsia="Times New Roman" w:hAnsi="Arial" w:cs="Arial"/>
                <w:bCs/>
                <w:color w:val="0F0D29" w:themeColor="text1"/>
                <w:kern w:val="36"/>
                <w:sz w:val="20"/>
                <w:szCs w:val="20"/>
                <w:u w:val="none"/>
                <w:lang w:eastAsia="cs-CZ"/>
              </w:rPr>
            </w:pPr>
          </w:p>
          <w:p w14:paraId="29AAAD4B" w14:textId="77777777" w:rsidR="00C2146C" w:rsidRDefault="00C2146C" w:rsidP="00A404F7">
            <w:pPr>
              <w:pStyle w:val="Bezmezer"/>
              <w:numPr>
                <w:ilvl w:val="0"/>
                <w:numId w:val="15"/>
              </w:numPr>
              <w:spacing w:line="360" w:lineRule="auto"/>
              <w:jc w:val="both"/>
              <w:rPr>
                <w:rStyle w:val="Hypertextovodkaz"/>
                <w:rFonts w:ascii="Arial" w:eastAsia="Times New Roman" w:hAnsi="Arial" w:cs="Arial"/>
                <w:bCs/>
                <w:color w:val="0F0D29" w:themeColor="text1"/>
                <w:kern w:val="36"/>
                <w:sz w:val="20"/>
                <w:szCs w:val="20"/>
                <w:u w:val="none"/>
                <w:lang w:eastAsia="cs-CZ"/>
              </w:rPr>
            </w:pPr>
            <w:r w:rsidRPr="00C2146C">
              <w:rPr>
                <w:rStyle w:val="Hypertextovodkaz"/>
                <w:rFonts w:ascii="Arial" w:eastAsia="Times New Roman" w:hAnsi="Arial" w:cs="Arial"/>
                <w:bCs/>
                <w:color w:val="0F0D29" w:themeColor="text1"/>
                <w:kern w:val="36"/>
                <w:sz w:val="20"/>
                <w:szCs w:val="20"/>
                <w:u w:val="none"/>
                <w:lang w:eastAsia="cs-CZ"/>
              </w:rPr>
              <w:t>Výslovná úprava přístupu k tzv. výzkumným datům jakožto specifické kategorii dokumentů vypracovaných v rámci vědeckého výzkumu podporovaného z veřejných prostředků, a to na výsledky vědeckého zjišťovacího procesu (experimenty, průzkumy a podobně). Publikace ve vědeckých časopisech jsou nadále vyloučeny z oblasti působnosti.</w:t>
            </w:r>
          </w:p>
          <w:p w14:paraId="62C2E32D" w14:textId="77777777" w:rsidR="00C2146C" w:rsidRPr="00C2146C" w:rsidRDefault="00C2146C" w:rsidP="00A404F7">
            <w:pPr>
              <w:spacing w:line="360" w:lineRule="auto"/>
              <w:rPr>
                <w:rStyle w:val="Hypertextovodkaz"/>
                <w:rFonts w:ascii="Arial" w:eastAsia="Times New Roman" w:hAnsi="Arial" w:cs="Arial"/>
                <w:bCs/>
                <w:color w:val="0F0D29" w:themeColor="text1"/>
                <w:kern w:val="36"/>
                <w:sz w:val="20"/>
                <w:szCs w:val="20"/>
                <w:u w:val="none"/>
                <w:lang w:eastAsia="cs-CZ"/>
              </w:rPr>
            </w:pPr>
          </w:p>
          <w:p w14:paraId="01720332" w14:textId="77777777" w:rsidR="00C2146C" w:rsidRDefault="00C2146C" w:rsidP="00A404F7">
            <w:pPr>
              <w:pStyle w:val="Bezmezer"/>
              <w:numPr>
                <w:ilvl w:val="0"/>
                <w:numId w:val="15"/>
              </w:numPr>
              <w:spacing w:line="360" w:lineRule="auto"/>
              <w:jc w:val="both"/>
              <w:rPr>
                <w:rStyle w:val="Hypertextovodkaz"/>
                <w:rFonts w:ascii="Arial" w:eastAsia="Times New Roman" w:hAnsi="Arial" w:cs="Arial"/>
                <w:bCs/>
                <w:color w:val="0F0D29" w:themeColor="text1"/>
                <w:kern w:val="36"/>
                <w:sz w:val="20"/>
                <w:szCs w:val="20"/>
                <w:u w:val="none"/>
                <w:lang w:eastAsia="cs-CZ"/>
              </w:rPr>
            </w:pPr>
            <w:r w:rsidRPr="00C2146C">
              <w:rPr>
                <w:rStyle w:val="Hypertextovodkaz"/>
                <w:rFonts w:ascii="Arial" w:eastAsia="Times New Roman" w:hAnsi="Arial" w:cs="Arial"/>
                <w:bCs/>
                <w:color w:val="0F0D29" w:themeColor="text1"/>
                <w:kern w:val="36"/>
                <w:sz w:val="20"/>
                <w:szCs w:val="20"/>
                <w:u w:val="none"/>
                <w:lang w:eastAsia="cs-CZ"/>
              </w:rPr>
              <w:t>Možnost publikace dynamických dat prostřednictvím programovatelných aplikačních rozhraní.</w:t>
            </w:r>
          </w:p>
          <w:p w14:paraId="57CC7532" w14:textId="77777777" w:rsidR="00C2146C" w:rsidRPr="00C2146C" w:rsidRDefault="00C2146C" w:rsidP="00A404F7">
            <w:pPr>
              <w:spacing w:line="360" w:lineRule="auto"/>
              <w:ind w:left="360"/>
              <w:rPr>
                <w:rStyle w:val="Hypertextovodkaz"/>
                <w:rFonts w:ascii="Arial" w:eastAsia="Times New Roman" w:hAnsi="Arial" w:cs="Arial"/>
                <w:bCs/>
                <w:color w:val="0F0D29" w:themeColor="text1"/>
                <w:kern w:val="36"/>
                <w:sz w:val="20"/>
                <w:szCs w:val="20"/>
                <w:u w:val="none"/>
                <w:lang w:eastAsia="cs-CZ"/>
              </w:rPr>
            </w:pPr>
          </w:p>
          <w:p w14:paraId="280E2162" w14:textId="5575527D" w:rsidR="00C2146C" w:rsidRDefault="00C2146C" w:rsidP="00A404F7">
            <w:pPr>
              <w:pStyle w:val="Bezmezer"/>
              <w:numPr>
                <w:ilvl w:val="0"/>
                <w:numId w:val="15"/>
              </w:numPr>
              <w:spacing w:line="360" w:lineRule="auto"/>
              <w:jc w:val="both"/>
              <w:rPr>
                <w:rStyle w:val="Hypertextovodkaz"/>
                <w:rFonts w:ascii="Arial" w:eastAsia="Times New Roman" w:hAnsi="Arial" w:cs="Arial"/>
                <w:bCs/>
                <w:color w:val="0F0D29" w:themeColor="text1"/>
                <w:kern w:val="36"/>
                <w:sz w:val="20"/>
                <w:szCs w:val="20"/>
                <w:u w:val="none"/>
                <w:lang w:eastAsia="cs-CZ"/>
              </w:rPr>
            </w:pPr>
            <w:r w:rsidRPr="00C2146C">
              <w:rPr>
                <w:rStyle w:val="Hypertextovodkaz"/>
                <w:rFonts w:ascii="Arial" w:eastAsia="Times New Roman" w:hAnsi="Arial" w:cs="Arial"/>
                <w:bCs/>
                <w:color w:val="0F0D29" w:themeColor="text1"/>
                <w:kern w:val="36"/>
                <w:sz w:val="20"/>
                <w:szCs w:val="20"/>
                <w:u w:val="none"/>
                <w:lang w:eastAsia="cs-CZ"/>
              </w:rPr>
              <w:lastRenderedPageBreak/>
              <w:t>Úprava tzv. datových souborů s vysokou hodnotou (</w:t>
            </w:r>
            <w:proofErr w:type="spellStart"/>
            <w:r w:rsidRPr="00C2146C">
              <w:rPr>
                <w:rStyle w:val="Hypertextovodkaz"/>
                <w:rFonts w:ascii="Arial" w:eastAsia="Times New Roman" w:hAnsi="Arial" w:cs="Arial"/>
                <w:bCs/>
                <w:color w:val="0F0D29" w:themeColor="text1"/>
                <w:kern w:val="36"/>
                <w:sz w:val="20"/>
                <w:szCs w:val="20"/>
                <w:u w:val="none"/>
                <w:lang w:eastAsia="cs-CZ"/>
              </w:rPr>
              <w:t>high-value</w:t>
            </w:r>
            <w:proofErr w:type="spellEnd"/>
            <w:r w:rsidRPr="00C2146C">
              <w:rPr>
                <w:rStyle w:val="Hypertextovodkaz"/>
                <w:rFonts w:ascii="Arial" w:eastAsia="Times New Roman" w:hAnsi="Arial" w:cs="Arial"/>
                <w:bCs/>
                <w:color w:val="0F0D29" w:themeColor="text1"/>
                <w:kern w:val="36"/>
                <w:sz w:val="20"/>
                <w:szCs w:val="20"/>
                <w:u w:val="none"/>
                <w:lang w:eastAsia="cs-CZ"/>
              </w:rPr>
              <w:t xml:space="preserve"> </w:t>
            </w:r>
            <w:proofErr w:type="spellStart"/>
            <w:r w:rsidRPr="00C2146C">
              <w:rPr>
                <w:rStyle w:val="Hypertextovodkaz"/>
                <w:rFonts w:ascii="Arial" w:eastAsia="Times New Roman" w:hAnsi="Arial" w:cs="Arial"/>
                <w:bCs/>
                <w:color w:val="0F0D29" w:themeColor="text1"/>
                <w:kern w:val="36"/>
                <w:sz w:val="20"/>
                <w:szCs w:val="20"/>
                <w:u w:val="none"/>
                <w:lang w:eastAsia="cs-CZ"/>
              </w:rPr>
              <w:t>datasets</w:t>
            </w:r>
            <w:proofErr w:type="spellEnd"/>
            <w:r w:rsidRPr="00C2146C">
              <w:rPr>
                <w:rStyle w:val="Hypertextovodkaz"/>
                <w:rFonts w:ascii="Arial" w:eastAsia="Times New Roman" w:hAnsi="Arial" w:cs="Arial"/>
                <w:bCs/>
                <w:color w:val="0F0D29" w:themeColor="text1"/>
                <w:kern w:val="36"/>
                <w:sz w:val="20"/>
                <w:szCs w:val="20"/>
                <w:u w:val="none"/>
                <w:lang w:eastAsia="cs-CZ"/>
              </w:rPr>
              <w:t>), které mají být bezplatně zpřístupněny. Tematické kategorie, ze kterých se bude vytvářet seznam datových souborů s vysokou hodnotou, jsou: Geoprostorové údaje, pozorování Země a životní prostředí, meteorologie, statistika, společnosti a vlastnictví společností, mobilita.</w:t>
            </w:r>
          </w:p>
          <w:p w14:paraId="10EA74D5" w14:textId="782EB58B" w:rsidR="00C2146C" w:rsidRPr="00C2146C" w:rsidRDefault="00C2146C" w:rsidP="009A17AB">
            <w:pPr>
              <w:pStyle w:val="Bezmezer"/>
              <w:jc w:val="both"/>
              <w:rPr>
                <w:rStyle w:val="Hypertextovodkaz"/>
                <w:rFonts w:ascii="Arial" w:eastAsia="Times New Roman" w:hAnsi="Arial" w:cs="Arial"/>
                <w:bCs/>
                <w:color w:val="0F0D29" w:themeColor="text1"/>
                <w:kern w:val="36"/>
                <w:sz w:val="20"/>
                <w:szCs w:val="20"/>
                <w:u w:val="none"/>
                <w:lang w:eastAsia="cs-CZ"/>
              </w:rPr>
            </w:pPr>
          </w:p>
          <w:p w14:paraId="5095134F" w14:textId="1F00A086" w:rsidR="00D06200" w:rsidRPr="005078C0" w:rsidRDefault="00D06200" w:rsidP="00D06200">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 xml:space="preserve">OPS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0212A208" w14:textId="77777777" w:rsidR="00D06200" w:rsidRPr="005078C0" w:rsidRDefault="00D06200" w:rsidP="00D06200">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1FDEC8B4" w14:textId="670008B4" w:rsidR="00D06200" w:rsidRPr="005078C0" w:rsidRDefault="00D06200" w:rsidP="00D06200">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Odpovědný útvar</w:t>
            </w:r>
            <w:r>
              <w:rPr>
                <w:rStyle w:val="Hypertextovodkaz"/>
                <w:rFonts w:ascii="Arial" w:eastAsia="Times New Roman" w:hAnsi="Arial" w:cs="Arial"/>
                <w:b/>
                <w:bCs/>
                <w:i/>
                <w:color w:val="0F0D29" w:themeColor="text1"/>
                <w:kern w:val="36"/>
                <w:sz w:val="20"/>
                <w:szCs w:val="20"/>
                <w:u w:val="none"/>
                <w:lang w:eastAsia="cs-CZ"/>
              </w:rPr>
              <w:t>:</w:t>
            </w:r>
            <w:r>
              <w:rPr>
                <w:rStyle w:val="Hypertextovodkaz"/>
                <w:rFonts w:ascii="Arial" w:eastAsia="Times New Roman" w:hAnsi="Arial" w:cs="Arial"/>
                <w:i/>
                <w:color w:val="0F0D29" w:themeColor="text1"/>
                <w:kern w:val="36"/>
                <w:sz w:val="20"/>
                <w:szCs w:val="20"/>
                <w:u w:val="none"/>
                <w:lang w:eastAsia="cs-CZ"/>
              </w:rPr>
              <w:t xml:space="preserve"> OPS – Mgr. Pavel Císař</w:t>
            </w:r>
            <w:r w:rsidRPr="005078C0">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ab/>
            </w:r>
            <w:proofErr w:type="gramStart"/>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30.</w:t>
            </w:r>
            <w:proofErr w:type="gramEnd"/>
            <w:r>
              <w:rPr>
                <w:rStyle w:val="Hypertextovodkaz"/>
                <w:rFonts w:ascii="Arial" w:eastAsia="Times New Roman" w:hAnsi="Arial" w:cs="Arial"/>
                <w:b/>
                <w:bCs/>
                <w:i/>
                <w:color w:val="0F0D29" w:themeColor="text1"/>
                <w:kern w:val="36"/>
                <w:sz w:val="20"/>
                <w:szCs w:val="20"/>
                <w:u w:val="none"/>
                <w:lang w:eastAsia="cs-CZ"/>
              </w:rPr>
              <w:t xml:space="preserve"> 6. 2022</w:t>
            </w:r>
          </w:p>
          <w:p w14:paraId="1D6CD750" w14:textId="277A7501" w:rsidR="00D06200" w:rsidRDefault="00D06200" w:rsidP="00D06200">
            <w:pPr>
              <w:pStyle w:val="Bezmezer"/>
              <w:tabs>
                <w:tab w:val="left" w:pos="6336"/>
              </w:tabs>
              <w:rPr>
                <w:rStyle w:val="Hypertextovodkaz"/>
                <w:rFonts w:ascii="Arial" w:eastAsia="Times New Roman" w:hAnsi="Arial" w:cs="Arial"/>
                <w:color w:val="0F0D29" w:themeColor="text1"/>
                <w:kern w:val="36"/>
                <w:sz w:val="24"/>
                <w:szCs w:val="20"/>
                <w:u w:val="none"/>
                <w:lang w:eastAsia="cs-CZ"/>
              </w:rPr>
            </w:pPr>
          </w:p>
          <w:p w14:paraId="0604FA0A" w14:textId="29A75F57" w:rsidR="00D06200" w:rsidRPr="005078C0" w:rsidRDefault="00D06200" w:rsidP="00D06200">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D06200">
              <w:rPr>
                <w:rStyle w:val="Hypertextovodkaz"/>
                <w:rFonts w:ascii="Arial" w:eastAsia="Times New Roman" w:hAnsi="Arial" w:cs="Arial"/>
                <w:b/>
                <w:bCs/>
                <w:color w:val="0F0D29" w:themeColor="text1"/>
                <w:kern w:val="36"/>
                <w:sz w:val="24"/>
                <w:szCs w:val="20"/>
                <w:u w:val="none"/>
                <w:lang w:eastAsia="cs-CZ"/>
              </w:rPr>
              <w:t>Návrh zákona, kterým se mění zákon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ve znění pozdějších předpisů, a zákon č. 634/2004 Sb., o správních poplatcích</w:t>
            </w:r>
            <w:r w:rsidR="00EF6723">
              <w:rPr>
                <w:rStyle w:val="Hypertextovodkaz"/>
                <w:rFonts w:ascii="Arial" w:eastAsia="Times New Roman" w:hAnsi="Arial" w:cs="Arial"/>
                <w:b/>
                <w:bCs/>
                <w:color w:val="0F0D29" w:themeColor="text1"/>
                <w:kern w:val="36"/>
                <w:sz w:val="24"/>
                <w:szCs w:val="24"/>
                <w:u w:val="none"/>
                <w:lang w:eastAsia="cs-CZ"/>
              </w:rPr>
              <w:pict w14:anchorId="0C85D9E6">
                <v:rect id="_x0000_i1041" style="width:0;height:1.5pt" o:hralign="center" o:hrstd="t" o:hr="t" fillcolor="#a0a0a0" stroked="f"/>
              </w:pict>
            </w:r>
          </w:p>
          <w:p w14:paraId="07F90EEE" w14:textId="0774AB51" w:rsidR="00D06200" w:rsidRDefault="00D06200" w:rsidP="00D06200">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EKLEP</w:t>
            </w:r>
            <w:r>
              <w:t xml:space="preserve"> </w:t>
            </w:r>
            <w:r w:rsidR="009A17AB" w:rsidRPr="009A17AB">
              <w:rPr>
                <w:rStyle w:val="Hypertextovodkaz"/>
                <w:rFonts w:ascii="Arial" w:eastAsia="Times New Roman" w:hAnsi="Arial" w:cs="Arial"/>
                <w:bCs/>
                <w:color w:val="0F0D29" w:themeColor="text1"/>
                <w:kern w:val="36"/>
                <w:sz w:val="20"/>
                <w:szCs w:val="20"/>
                <w:u w:val="none"/>
                <w:lang w:eastAsia="cs-CZ"/>
              </w:rPr>
              <w:t>KORNCCADJQH3</w:t>
            </w:r>
            <w:r>
              <w:rPr>
                <w:rStyle w:val="Hypertextovodkaz"/>
                <w:rFonts w:ascii="Arial" w:eastAsia="Times New Roman" w:hAnsi="Arial" w:cs="Arial"/>
                <w:bCs/>
                <w:color w:val="0F0D29" w:themeColor="text1"/>
                <w:kern w:val="36"/>
                <w:sz w:val="20"/>
                <w:szCs w:val="20"/>
                <w:u w:val="none"/>
                <w:lang w:eastAsia="cs-CZ"/>
              </w:rPr>
              <w:t xml:space="preserve"> </w:t>
            </w:r>
          </w:p>
          <w:p w14:paraId="78BE63E6" w14:textId="46021FEF" w:rsidR="00D06200" w:rsidRDefault="00756BA5" w:rsidP="00D06200">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Projednáno vládou</w:t>
            </w:r>
          </w:p>
          <w:p w14:paraId="3B0B6B89" w14:textId="77777777" w:rsidR="00D06200" w:rsidRPr="005078C0" w:rsidRDefault="00D06200" w:rsidP="00D06200">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40293FB6" w14:textId="2978C44C" w:rsidR="00D06200" w:rsidRDefault="009A17AB" w:rsidP="00A404F7">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 xml:space="preserve">Ministerstvo dopravy předložilo novelu zákona o podmínkách provozu vozidel na pozemních komunikacích a zákona o pojištění odpovědnosti z provozu vozidla. Hlavním cílem novelizace je </w:t>
            </w:r>
            <w:r>
              <w:rPr>
                <w:rStyle w:val="Hypertextovodkaz"/>
                <w:rFonts w:ascii="Arial" w:eastAsia="Times New Roman" w:hAnsi="Arial" w:cs="Arial"/>
                <w:bCs/>
                <w:color w:val="0F0D29" w:themeColor="text1"/>
                <w:kern w:val="36"/>
                <w:sz w:val="20"/>
                <w:szCs w:val="20"/>
                <w:u w:val="none"/>
                <w:lang w:eastAsia="cs-CZ"/>
              </w:rPr>
              <w:tab/>
              <w:t>i</w:t>
            </w:r>
            <w:r w:rsidRPr="009A17AB">
              <w:rPr>
                <w:rStyle w:val="Hypertextovodkaz"/>
                <w:rFonts w:ascii="Arial" w:eastAsia="Times New Roman" w:hAnsi="Arial" w:cs="Arial"/>
                <w:bCs/>
                <w:color w:val="0F0D29" w:themeColor="text1"/>
                <w:kern w:val="36"/>
                <w:sz w:val="20"/>
                <w:szCs w:val="20"/>
                <w:u w:val="none"/>
                <w:lang w:eastAsia="cs-CZ"/>
              </w:rPr>
              <w:t>mple</w:t>
            </w:r>
            <w:r>
              <w:rPr>
                <w:rStyle w:val="Hypertextovodkaz"/>
                <w:rFonts w:ascii="Arial" w:eastAsia="Times New Roman" w:hAnsi="Arial" w:cs="Arial"/>
                <w:bCs/>
                <w:color w:val="0F0D29" w:themeColor="text1"/>
                <w:kern w:val="36"/>
                <w:sz w:val="20"/>
                <w:szCs w:val="20"/>
                <w:u w:val="none"/>
                <w:lang w:eastAsia="cs-CZ"/>
              </w:rPr>
              <w:t>mentace</w:t>
            </w:r>
            <w:r w:rsidR="00DD262D">
              <w:rPr>
                <w:rStyle w:val="Hypertextovodkaz"/>
                <w:rFonts w:ascii="Arial" w:eastAsia="Times New Roman" w:hAnsi="Arial" w:cs="Arial"/>
                <w:bCs/>
                <w:color w:val="0F0D29" w:themeColor="text1"/>
                <w:kern w:val="36"/>
                <w:sz w:val="20"/>
                <w:szCs w:val="20"/>
                <w:u w:val="none"/>
                <w:lang w:eastAsia="cs-CZ"/>
              </w:rPr>
              <w:t xml:space="preserve"> </w:t>
            </w:r>
            <w:r>
              <w:rPr>
                <w:rStyle w:val="Hypertextovodkaz"/>
                <w:rFonts w:ascii="Arial" w:eastAsia="Times New Roman" w:hAnsi="Arial" w:cs="Arial"/>
                <w:bCs/>
                <w:color w:val="0F0D29" w:themeColor="text1"/>
                <w:kern w:val="36"/>
                <w:sz w:val="20"/>
                <w:szCs w:val="20"/>
                <w:u w:val="none"/>
                <w:lang w:eastAsia="cs-CZ"/>
              </w:rPr>
              <w:t>předpisů Evropské unie, přičemž n</w:t>
            </w:r>
            <w:r w:rsidRPr="009A17AB">
              <w:rPr>
                <w:rStyle w:val="Hypertextovodkaz"/>
                <w:rFonts w:ascii="Arial" w:eastAsia="Times New Roman" w:hAnsi="Arial" w:cs="Arial"/>
                <w:bCs/>
                <w:color w:val="0F0D29" w:themeColor="text1"/>
                <w:kern w:val="36"/>
                <w:sz w:val="20"/>
                <w:szCs w:val="20"/>
                <w:u w:val="none"/>
                <w:lang w:eastAsia="cs-CZ"/>
              </w:rPr>
              <w:t>ávrh se týká zejména problematiky schvalování technické způsobilosti vozidel a registrace vozidel.</w:t>
            </w:r>
          </w:p>
          <w:p w14:paraId="24F79B0D" w14:textId="77777777" w:rsidR="009A17AB" w:rsidRPr="005078C0" w:rsidRDefault="009A17AB" w:rsidP="00D06200">
            <w:pPr>
              <w:pStyle w:val="Bezmezer"/>
              <w:spacing w:line="276" w:lineRule="auto"/>
              <w:jc w:val="both"/>
              <w:rPr>
                <w:rStyle w:val="Hypertextovodkaz"/>
                <w:rFonts w:ascii="Arial" w:eastAsia="Times New Roman" w:hAnsi="Arial" w:cs="Arial"/>
                <w:bCs/>
                <w:color w:val="0F0D29" w:themeColor="text1"/>
                <w:kern w:val="36"/>
                <w:sz w:val="20"/>
                <w:szCs w:val="20"/>
                <w:u w:val="none"/>
                <w:lang w:eastAsia="cs-CZ"/>
              </w:rPr>
            </w:pPr>
          </w:p>
          <w:p w14:paraId="097DF3E6" w14:textId="2C69B27C" w:rsidR="00D06200" w:rsidRPr="005078C0" w:rsidRDefault="00D06200" w:rsidP="00D06200">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9A17AB">
              <w:rPr>
                <w:rStyle w:val="Hypertextovodkaz"/>
                <w:rFonts w:ascii="Arial" w:eastAsia="Times New Roman" w:hAnsi="Arial" w:cs="Arial"/>
                <w:bCs/>
                <w:i/>
                <w:color w:val="0F0D29" w:themeColor="text1"/>
                <w:kern w:val="36"/>
                <w:sz w:val="20"/>
                <w:szCs w:val="20"/>
                <w:u w:val="none"/>
                <w:lang w:eastAsia="cs-CZ"/>
              </w:rPr>
              <w:t xml:space="preserve">PÚ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40027CAC" w14:textId="77777777" w:rsidR="00D06200" w:rsidRPr="005078C0" w:rsidRDefault="00D06200" w:rsidP="00D06200">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3A759C37" w14:textId="5874C350" w:rsidR="00D06200" w:rsidRPr="005078C0" w:rsidRDefault="00D06200" w:rsidP="00D06200">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Odpovědný útvar</w:t>
            </w:r>
            <w:r>
              <w:rPr>
                <w:rStyle w:val="Hypertextovodkaz"/>
                <w:rFonts w:ascii="Arial" w:eastAsia="Times New Roman" w:hAnsi="Arial" w:cs="Arial"/>
                <w:b/>
                <w:bCs/>
                <w:i/>
                <w:color w:val="0F0D29" w:themeColor="text1"/>
                <w:kern w:val="36"/>
                <w:sz w:val="20"/>
                <w:szCs w:val="20"/>
                <w:u w:val="none"/>
                <w:lang w:eastAsia="cs-CZ"/>
              </w:rPr>
              <w:t>:</w:t>
            </w:r>
            <w:r>
              <w:rPr>
                <w:rStyle w:val="Hypertextovodkaz"/>
                <w:rFonts w:ascii="Arial" w:eastAsia="Times New Roman" w:hAnsi="Arial" w:cs="Arial"/>
                <w:i/>
                <w:color w:val="0F0D29" w:themeColor="text1"/>
                <w:kern w:val="36"/>
                <w:sz w:val="20"/>
                <w:szCs w:val="20"/>
                <w:u w:val="none"/>
                <w:lang w:eastAsia="cs-CZ"/>
              </w:rPr>
              <w:t xml:space="preserve"> </w:t>
            </w:r>
            <w:r w:rsidR="009A17AB">
              <w:rPr>
                <w:rStyle w:val="Hypertextovodkaz"/>
                <w:rFonts w:ascii="Arial" w:eastAsia="Times New Roman" w:hAnsi="Arial" w:cs="Arial"/>
                <w:i/>
                <w:color w:val="0F0D29" w:themeColor="text1"/>
                <w:kern w:val="36"/>
                <w:sz w:val="20"/>
                <w:szCs w:val="20"/>
                <w:u w:val="none"/>
                <w:lang w:eastAsia="cs-CZ"/>
              </w:rPr>
              <w:t>PÚ</w:t>
            </w:r>
            <w:r>
              <w:rPr>
                <w:rStyle w:val="Hypertextovodkaz"/>
                <w:rFonts w:ascii="Arial" w:eastAsia="Times New Roman" w:hAnsi="Arial" w:cs="Arial"/>
                <w:i/>
                <w:color w:val="0F0D29" w:themeColor="text1"/>
                <w:kern w:val="36"/>
                <w:sz w:val="20"/>
                <w:szCs w:val="20"/>
                <w:u w:val="none"/>
                <w:lang w:eastAsia="cs-CZ"/>
              </w:rPr>
              <w:t xml:space="preserve"> – </w:t>
            </w:r>
            <w:r w:rsidR="009A17AB">
              <w:rPr>
                <w:rStyle w:val="Hypertextovodkaz"/>
                <w:rFonts w:ascii="Arial" w:eastAsia="Times New Roman" w:hAnsi="Arial" w:cs="Arial"/>
                <w:i/>
                <w:color w:val="0F0D29" w:themeColor="text1"/>
                <w:kern w:val="36"/>
                <w:sz w:val="20"/>
                <w:szCs w:val="20"/>
                <w:u w:val="none"/>
                <w:lang w:eastAsia="cs-CZ"/>
              </w:rPr>
              <w:t>Ing. František Todt</w:t>
            </w:r>
            <w:r w:rsidRPr="005078C0">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ab/>
            </w:r>
            <w:proofErr w:type="gramStart"/>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30.</w:t>
            </w:r>
            <w:proofErr w:type="gramEnd"/>
            <w:r>
              <w:rPr>
                <w:rStyle w:val="Hypertextovodkaz"/>
                <w:rFonts w:ascii="Arial" w:eastAsia="Times New Roman" w:hAnsi="Arial" w:cs="Arial"/>
                <w:b/>
                <w:bCs/>
                <w:i/>
                <w:color w:val="0F0D29" w:themeColor="text1"/>
                <w:kern w:val="36"/>
                <w:sz w:val="20"/>
                <w:szCs w:val="20"/>
                <w:u w:val="none"/>
                <w:lang w:eastAsia="cs-CZ"/>
              </w:rPr>
              <w:t xml:space="preserve"> 6. 2022</w:t>
            </w:r>
          </w:p>
          <w:p w14:paraId="1FE76E79" w14:textId="190F6E9B" w:rsidR="00D06200" w:rsidRDefault="00D06200" w:rsidP="00D06200">
            <w:pPr>
              <w:pStyle w:val="Bezmezer"/>
              <w:tabs>
                <w:tab w:val="left" w:pos="6336"/>
              </w:tabs>
              <w:rPr>
                <w:rStyle w:val="Hypertextovodkaz"/>
                <w:rFonts w:ascii="Arial" w:eastAsia="Times New Roman" w:hAnsi="Arial" w:cs="Arial"/>
                <w:color w:val="0F0D29" w:themeColor="text1"/>
                <w:kern w:val="36"/>
                <w:sz w:val="24"/>
                <w:szCs w:val="20"/>
                <w:u w:val="none"/>
                <w:lang w:eastAsia="cs-CZ"/>
              </w:rPr>
            </w:pPr>
          </w:p>
          <w:p w14:paraId="4682EFF4" w14:textId="48570264" w:rsidR="00756BA5" w:rsidRPr="00756BA5" w:rsidRDefault="00756BA5" w:rsidP="00756BA5">
            <w:pPr>
              <w:pStyle w:val="Bezmezer"/>
              <w:tabs>
                <w:tab w:val="left" w:pos="6336"/>
              </w:tabs>
              <w:jc w:val="center"/>
              <w:rPr>
                <w:rStyle w:val="Hypertextovodkaz"/>
                <w:rFonts w:ascii="Arial" w:eastAsia="Times New Roman" w:hAnsi="Arial" w:cs="Arial"/>
                <w:b/>
                <w:bCs/>
                <w:color w:val="0F0D29" w:themeColor="text1"/>
                <w:kern w:val="36"/>
                <w:sz w:val="24"/>
                <w:szCs w:val="20"/>
                <w:u w:val="none"/>
                <w:lang w:eastAsia="cs-CZ"/>
              </w:rPr>
            </w:pPr>
            <w:r w:rsidRPr="00756BA5">
              <w:rPr>
                <w:rStyle w:val="Hypertextovodkaz"/>
                <w:rFonts w:ascii="Arial" w:eastAsia="Times New Roman" w:hAnsi="Arial" w:cs="Arial"/>
                <w:b/>
                <w:bCs/>
                <w:color w:val="0F0D29" w:themeColor="text1"/>
                <w:kern w:val="36"/>
                <w:sz w:val="24"/>
                <w:szCs w:val="20"/>
                <w:u w:val="none"/>
                <w:lang w:eastAsia="cs-CZ"/>
              </w:rPr>
              <w:t>Návrh zákona, kterým se mění zákon č. 49/1997 Sb., o civilním letectví a o změně a doplnění zákona č. 455/1991 Sb., o živnostenském podnikání (živnostenský zákon), ve znění pozdějších předpisů, ve znění pozdějších předpisů, a některé související zákony</w:t>
            </w:r>
          </w:p>
          <w:p w14:paraId="3F17F870" w14:textId="2F685252" w:rsidR="00D06200" w:rsidRPr="005078C0" w:rsidRDefault="00EF6723" w:rsidP="00D06200">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Pr>
                <w:rStyle w:val="Hypertextovodkaz"/>
                <w:rFonts w:ascii="Arial" w:eastAsia="Times New Roman" w:hAnsi="Arial" w:cs="Arial"/>
                <w:b/>
                <w:bCs/>
                <w:color w:val="0F0D29" w:themeColor="text1"/>
                <w:kern w:val="36"/>
                <w:sz w:val="24"/>
                <w:szCs w:val="24"/>
                <w:u w:val="none"/>
                <w:lang w:eastAsia="cs-CZ"/>
              </w:rPr>
              <w:pict w14:anchorId="0C694F68">
                <v:rect id="_x0000_i1042" style="width:0;height:1.5pt" o:hralign="center" o:hrstd="t" o:hr="t" fillcolor="#a0a0a0" stroked="f"/>
              </w:pict>
            </w:r>
          </w:p>
          <w:p w14:paraId="15A2A83F" w14:textId="6E70AC00" w:rsidR="00D06200" w:rsidRDefault="00D06200" w:rsidP="00D06200">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EKLEP</w:t>
            </w:r>
            <w:r>
              <w:t xml:space="preserve"> </w:t>
            </w:r>
            <w:r w:rsidR="009A17AB" w:rsidRPr="009A17AB">
              <w:rPr>
                <w:rStyle w:val="Hypertextovodkaz"/>
                <w:rFonts w:ascii="Arial" w:eastAsia="Times New Roman" w:hAnsi="Arial" w:cs="Arial"/>
                <w:bCs/>
                <w:color w:val="0F0D29" w:themeColor="text1"/>
                <w:kern w:val="36"/>
                <w:sz w:val="20"/>
                <w:szCs w:val="20"/>
                <w:u w:val="none"/>
                <w:lang w:eastAsia="cs-CZ"/>
              </w:rPr>
              <w:t>KORNCBFDBXYL</w:t>
            </w:r>
            <w:r>
              <w:rPr>
                <w:rStyle w:val="Hypertextovodkaz"/>
                <w:rFonts w:ascii="Arial" w:eastAsia="Times New Roman" w:hAnsi="Arial" w:cs="Arial"/>
                <w:bCs/>
                <w:color w:val="0F0D29" w:themeColor="text1"/>
                <w:kern w:val="36"/>
                <w:sz w:val="20"/>
                <w:szCs w:val="20"/>
                <w:u w:val="none"/>
                <w:lang w:eastAsia="cs-CZ"/>
              </w:rPr>
              <w:t xml:space="preserve"> </w:t>
            </w:r>
          </w:p>
          <w:p w14:paraId="1C1D3E46" w14:textId="376DBF26" w:rsidR="00D06200" w:rsidRDefault="00756BA5" w:rsidP="00D06200">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Projednáno vládou</w:t>
            </w:r>
          </w:p>
          <w:p w14:paraId="28EABE8D" w14:textId="77777777" w:rsidR="00D06200" w:rsidRPr="005078C0" w:rsidRDefault="00D06200" w:rsidP="00D06200">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509CE6C3" w14:textId="65358A6D" w:rsidR="00D06200" w:rsidRDefault="009A17AB" w:rsidP="00A404F7">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 xml:space="preserve">Ministerstvo dopravy předložilo </w:t>
            </w:r>
            <w:r w:rsidRPr="009A17AB">
              <w:rPr>
                <w:rStyle w:val="Hypertextovodkaz"/>
                <w:rFonts w:ascii="Arial" w:eastAsia="Times New Roman" w:hAnsi="Arial" w:cs="Arial"/>
                <w:bCs/>
                <w:color w:val="0F0D29" w:themeColor="text1"/>
                <w:kern w:val="36"/>
                <w:sz w:val="20"/>
                <w:szCs w:val="20"/>
                <w:u w:val="none"/>
                <w:lang w:eastAsia="cs-CZ"/>
              </w:rPr>
              <w:t>na</w:t>
            </w:r>
            <w:r w:rsidR="00AE31E2">
              <w:rPr>
                <w:rStyle w:val="Hypertextovodkaz"/>
                <w:rFonts w:ascii="Arial" w:eastAsia="Times New Roman" w:hAnsi="Arial" w:cs="Arial"/>
                <w:bCs/>
                <w:color w:val="0F0D29" w:themeColor="text1"/>
                <w:kern w:val="36"/>
                <w:sz w:val="20"/>
                <w:szCs w:val="20"/>
                <w:u w:val="none"/>
                <w:lang w:eastAsia="cs-CZ"/>
              </w:rPr>
              <w:t xml:space="preserve"> základě</w:t>
            </w:r>
            <w:r w:rsidRPr="009A17AB">
              <w:rPr>
                <w:rStyle w:val="Hypertextovodkaz"/>
                <w:rFonts w:ascii="Arial" w:eastAsia="Times New Roman" w:hAnsi="Arial" w:cs="Arial"/>
                <w:bCs/>
                <w:color w:val="0F0D29" w:themeColor="text1"/>
                <w:kern w:val="36"/>
                <w:sz w:val="20"/>
                <w:szCs w:val="20"/>
                <w:u w:val="none"/>
                <w:lang w:eastAsia="cs-CZ"/>
              </w:rPr>
              <w:t xml:space="preserve"> Plánu legislativních prací vlády</w:t>
            </w:r>
            <w:r w:rsidR="00F75C32">
              <w:rPr>
                <w:rStyle w:val="Hypertextovodkaz"/>
                <w:rFonts w:ascii="Arial" w:eastAsia="Times New Roman" w:hAnsi="Arial" w:cs="Arial"/>
                <w:bCs/>
                <w:color w:val="0F0D29" w:themeColor="text1"/>
                <w:kern w:val="36"/>
                <w:sz w:val="20"/>
                <w:szCs w:val="20"/>
                <w:u w:val="none"/>
                <w:lang w:eastAsia="cs-CZ"/>
              </w:rPr>
              <w:t xml:space="preserve"> novelu zákona o civilním letectví a živnostenského zákona, jejímž cílem je </w:t>
            </w:r>
            <w:r w:rsidRPr="009A17AB">
              <w:rPr>
                <w:rStyle w:val="Hypertextovodkaz"/>
                <w:rFonts w:ascii="Arial" w:eastAsia="Times New Roman" w:hAnsi="Arial" w:cs="Arial"/>
                <w:bCs/>
                <w:color w:val="0F0D29" w:themeColor="text1"/>
                <w:kern w:val="36"/>
                <w:sz w:val="20"/>
                <w:szCs w:val="20"/>
                <w:u w:val="none"/>
                <w:lang w:eastAsia="cs-CZ"/>
              </w:rPr>
              <w:t>provést adaptaci právního řádu České republiky na přímo použitelné předpisy Evropské unie týkající se zejména bezpilotních systémů.</w:t>
            </w:r>
          </w:p>
          <w:p w14:paraId="04216264" w14:textId="77777777" w:rsidR="00F75C32" w:rsidRPr="005078C0" w:rsidRDefault="00F75C32" w:rsidP="00F75C32">
            <w:pPr>
              <w:pStyle w:val="Bezmezer"/>
              <w:jc w:val="both"/>
              <w:rPr>
                <w:rStyle w:val="Hypertextovodkaz"/>
                <w:rFonts w:ascii="Arial" w:eastAsia="Times New Roman" w:hAnsi="Arial" w:cs="Arial"/>
                <w:bCs/>
                <w:color w:val="0F0D29" w:themeColor="text1"/>
                <w:kern w:val="36"/>
                <w:sz w:val="20"/>
                <w:szCs w:val="20"/>
                <w:u w:val="none"/>
                <w:lang w:eastAsia="cs-CZ"/>
              </w:rPr>
            </w:pPr>
          </w:p>
          <w:p w14:paraId="2E4DA1E1" w14:textId="77777777" w:rsidR="00D06200" w:rsidRPr="005078C0" w:rsidRDefault="00D06200" w:rsidP="00D06200">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 xml:space="preserve">OPS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734802D0" w14:textId="77777777" w:rsidR="00D06200" w:rsidRPr="005078C0" w:rsidRDefault="00D06200" w:rsidP="00D06200">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2CA0C9BE" w14:textId="77777777" w:rsidR="00D06200" w:rsidRPr="005078C0" w:rsidRDefault="00D06200" w:rsidP="00D06200">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Odpovědný útvar</w:t>
            </w:r>
            <w:r>
              <w:rPr>
                <w:rStyle w:val="Hypertextovodkaz"/>
                <w:rFonts w:ascii="Arial" w:eastAsia="Times New Roman" w:hAnsi="Arial" w:cs="Arial"/>
                <w:b/>
                <w:bCs/>
                <w:i/>
                <w:color w:val="0F0D29" w:themeColor="text1"/>
                <w:kern w:val="36"/>
                <w:sz w:val="20"/>
                <w:szCs w:val="20"/>
                <w:u w:val="none"/>
                <w:lang w:eastAsia="cs-CZ"/>
              </w:rPr>
              <w:t>:</w:t>
            </w:r>
            <w:r>
              <w:rPr>
                <w:rStyle w:val="Hypertextovodkaz"/>
                <w:rFonts w:ascii="Arial" w:eastAsia="Times New Roman" w:hAnsi="Arial" w:cs="Arial"/>
                <w:i/>
                <w:color w:val="0F0D29" w:themeColor="text1"/>
                <w:kern w:val="36"/>
                <w:sz w:val="20"/>
                <w:szCs w:val="20"/>
                <w:u w:val="none"/>
                <w:lang w:eastAsia="cs-CZ"/>
              </w:rPr>
              <w:t xml:space="preserve"> OPS – Mgr. Pavel Císař</w:t>
            </w:r>
            <w:r w:rsidRPr="005078C0">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ab/>
            </w:r>
            <w:proofErr w:type="gramStart"/>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30.</w:t>
            </w:r>
            <w:proofErr w:type="gramEnd"/>
            <w:r>
              <w:rPr>
                <w:rStyle w:val="Hypertextovodkaz"/>
                <w:rFonts w:ascii="Arial" w:eastAsia="Times New Roman" w:hAnsi="Arial" w:cs="Arial"/>
                <w:b/>
                <w:bCs/>
                <w:i/>
                <w:color w:val="0F0D29" w:themeColor="text1"/>
                <w:kern w:val="36"/>
                <w:sz w:val="20"/>
                <w:szCs w:val="20"/>
                <w:u w:val="none"/>
                <w:lang w:eastAsia="cs-CZ"/>
              </w:rPr>
              <w:t xml:space="preserve"> 6. 2022</w:t>
            </w:r>
          </w:p>
          <w:p w14:paraId="4A0A68F5" w14:textId="606FCFB3" w:rsidR="00D06200" w:rsidRDefault="00D06200" w:rsidP="00D06200">
            <w:pPr>
              <w:pStyle w:val="Bezmezer"/>
              <w:tabs>
                <w:tab w:val="left" w:pos="6336"/>
              </w:tabs>
              <w:rPr>
                <w:rStyle w:val="Hypertextovodkaz"/>
                <w:rFonts w:ascii="Arial" w:eastAsia="Times New Roman" w:hAnsi="Arial" w:cs="Arial"/>
                <w:color w:val="0F0D29" w:themeColor="text1"/>
                <w:kern w:val="36"/>
                <w:sz w:val="24"/>
                <w:szCs w:val="20"/>
                <w:u w:val="none"/>
                <w:lang w:eastAsia="cs-CZ"/>
              </w:rPr>
            </w:pPr>
          </w:p>
          <w:p w14:paraId="200AEB88" w14:textId="5926A7FC" w:rsidR="00756BA5" w:rsidRPr="005078C0" w:rsidRDefault="00756BA5" w:rsidP="00756BA5">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756BA5">
              <w:rPr>
                <w:rStyle w:val="Hypertextovodkaz"/>
                <w:rFonts w:ascii="Arial" w:eastAsia="Times New Roman" w:hAnsi="Arial" w:cs="Arial"/>
                <w:b/>
                <w:bCs/>
                <w:color w:val="0F0D29" w:themeColor="text1"/>
                <w:kern w:val="36"/>
                <w:sz w:val="24"/>
                <w:szCs w:val="20"/>
                <w:u w:val="none"/>
                <w:lang w:eastAsia="cs-CZ"/>
              </w:rPr>
              <w:t>Návrh nařízení vlády, kterým se mění nařízení vlády č. 481/2012 Sb., o omezení používání některých nebezpečných látek v elektrických a elektronických zařízeních, ve znění pozdějších předpisů</w:t>
            </w:r>
            <w:r w:rsidR="00EF6723">
              <w:rPr>
                <w:rStyle w:val="Hypertextovodkaz"/>
                <w:rFonts w:ascii="Arial" w:eastAsia="Times New Roman" w:hAnsi="Arial" w:cs="Arial"/>
                <w:b/>
                <w:bCs/>
                <w:color w:val="0F0D29" w:themeColor="text1"/>
                <w:kern w:val="36"/>
                <w:sz w:val="24"/>
                <w:szCs w:val="24"/>
                <w:u w:val="none"/>
                <w:lang w:eastAsia="cs-CZ"/>
              </w:rPr>
              <w:pict w14:anchorId="0D384CCF">
                <v:rect id="_x0000_i1043" style="width:0;height:1.5pt" o:hralign="center" o:hrstd="t" o:hr="t" fillcolor="#a0a0a0" stroked="f"/>
              </w:pict>
            </w:r>
          </w:p>
          <w:p w14:paraId="5DFA77B4" w14:textId="7C26506D" w:rsidR="00756BA5" w:rsidRDefault="00756BA5" w:rsidP="00756BA5">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EKLEP</w:t>
            </w:r>
            <w:r>
              <w:t xml:space="preserve"> </w:t>
            </w:r>
            <w:r w:rsidR="00BF2049" w:rsidRPr="00BF2049">
              <w:rPr>
                <w:rStyle w:val="Hypertextovodkaz"/>
                <w:rFonts w:ascii="Arial" w:eastAsia="Times New Roman" w:hAnsi="Arial" w:cs="Arial"/>
                <w:bCs/>
                <w:color w:val="0F0D29" w:themeColor="text1"/>
                <w:kern w:val="36"/>
                <w:sz w:val="20"/>
                <w:szCs w:val="20"/>
                <w:u w:val="none"/>
                <w:lang w:eastAsia="cs-CZ"/>
              </w:rPr>
              <w:t>ALBSCBRFGTCM</w:t>
            </w:r>
            <w:r>
              <w:rPr>
                <w:rStyle w:val="Hypertextovodkaz"/>
                <w:rFonts w:ascii="Arial" w:eastAsia="Times New Roman" w:hAnsi="Arial" w:cs="Arial"/>
                <w:bCs/>
                <w:color w:val="0F0D29" w:themeColor="text1"/>
                <w:kern w:val="36"/>
                <w:sz w:val="20"/>
                <w:szCs w:val="20"/>
                <w:u w:val="none"/>
                <w:lang w:eastAsia="cs-CZ"/>
              </w:rPr>
              <w:t xml:space="preserve"> </w:t>
            </w:r>
          </w:p>
          <w:p w14:paraId="6CCF102D" w14:textId="2543C8E7" w:rsidR="00756BA5" w:rsidRDefault="00756BA5" w:rsidP="00756BA5">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Zařazeno na jednání vlády</w:t>
            </w:r>
          </w:p>
          <w:p w14:paraId="5EAC7BBE" w14:textId="77777777" w:rsidR="00756BA5" w:rsidRPr="005078C0" w:rsidRDefault="00756BA5" w:rsidP="00A404F7">
            <w:pPr>
              <w:pStyle w:val="Bezmezer"/>
              <w:spacing w:line="360" w:lineRule="auto"/>
              <w:jc w:val="right"/>
              <w:rPr>
                <w:rStyle w:val="Hypertextovodkaz"/>
                <w:rFonts w:ascii="Arial" w:eastAsia="Times New Roman" w:hAnsi="Arial" w:cs="Arial"/>
                <w:bCs/>
                <w:color w:val="0F0D29" w:themeColor="text1"/>
                <w:kern w:val="36"/>
                <w:sz w:val="20"/>
                <w:szCs w:val="20"/>
                <w:u w:val="none"/>
                <w:lang w:eastAsia="cs-CZ"/>
              </w:rPr>
            </w:pPr>
          </w:p>
          <w:p w14:paraId="1A14095C" w14:textId="31B6F3CF" w:rsidR="00756BA5" w:rsidRPr="005078C0" w:rsidRDefault="00BF2049" w:rsidP="00A404F7">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 xml:space="preserve">Ministerstvo průmyslu a obchodu stanovuje v nařízení vlády výjimky (případně </w:t>
            </w:r>
            <w:r w:rsidRPr="00BF2049">
              <w:rPr>
                <w:rStyle w:val="Hypertextovodkaz"/>
                <w:rFonts w:ascii="Arial" w:eastAsia="Times New Roman" w:hAnsi="Arial" w:cs="Arial"/>
                <w:bCs/>
                <w:color w:val="0F0D29" w:themeColor="text1"/>
                <w:kern w:val="36"/>
                <w:sz w:val="20"/>
                <w:szCs w:val="20"/>
                <w:u w:val="none"/>
                <w:lang w:eastAsia="cs-CZ"/>
              </w:rPr>
              <w:t>jejich zrušení/prodloužení</w:t>
            </w:r>
            <w:r>
              <w:rPr>
                <w:rStyle w:val="Hypertextovodkaz"/>
                <w:rFonts w:ascii="Arial" w:eastAsia="Times New Roman" w:hAnsi="Arial" w:cs="Arial"/>
                <w:bCs/>
                <w:color w:val="0F0D29" w:themeColor="text1"/>
                <w:kern w:val="36"/>
                <w:sz w:val="20"/>
                <w:szCs w:val="20"/>
                <w:u w:val="none"/>
                <w:lang w:eastAsia="cs-CZ"/>
              </w:rPr>
              <w:t>)</w:t>
            </w:r>
            <w:r w:rsidRPr="00BF2049">
              <w:rPr>
                <w:rStyle w:val="Hypertextovodkaz"/>
                <w:rFonts w:ascii="Arial" w:eastAsia="Times New Roman" w:hAnsi="Arial" w:cs="Arial"/>
                <w:bCs/>
                <w:color w:val="0F0D29" w:themeColor="text1"/>
                <w:kern w:val="36"/>
                <w:sz w:val="20"/>
                <w:szCs w:val="20"/>
                <w:u w:val="none"/>
                <w:lang w:eastAsia="cs-CZ"/>
              </w:rPr>
              <w:t xml:space="preserve"> ze zákazu používání některých nebezpečných látek </w:t>
            </w:r>
            <w:r>
              <w:rPr>
                <w:rStyle w:val="Hypertextovodkaz"/>
                <w:rFonts w:ascii="Arial" w:eastAsia="Times New Roman" w:hAnsi="Arial" w:cs="Arial"/>
                <w:bCs/>
                <w:color w:val="0F0D29" w:themeColor="text1"/>
                <w:kern w:val="36"/>
                <w:sz w:val="20"/>
                <w:szCs w:val="20"/>
                <w:u w:val="none"/>
                <w:lang w:eastAsia="cs-CZ"/>
              </w:rPr>
              <w:t xml:space="preserve">v </w:t>
            </w:r>
            <w:r w:rsidRPr="00BF2049">
              <w:rPr>
                <w:rStyle w:val="Hypertextovodkaz"/>
                <w:rFonts w:ascii="Arial" w:eastAsia="Times New Roman" w:hAnsi="Arial" w:cs="Arial"/>
                <w:bCs/>
                <w:color w:val="0F0D29" w:themeColor="text1"/>
                <w:kern w:val="36"/>
                <w:sz w:val="20"/>
                <w:szCs w:val="20"/>
                <w:u w:val="none"/>
                <w:lang w:eastAsia="cs-CZ"/>
              </w:rPr>
              <w:t>osvětlovacích zařízeních</w:t>
            </w:r>
            <w:r>
              <w:rPr>
                <w:rStyle w:val="Hypertextovodkaz"/>
                <w:rFonts w:ascii="Arial" w:eastAsia="Times New Roman" w:hAnsi="Arial" w:cs="Arial"/>
                <w:bCs/>
                <w:color w:val="0F0D29" w:themeColor="text1"/>
                <w:kern w:val="36"/>
                <w:sz w:val="20"/>
                <w:szCs w:val="20"/>
                <w:u w:val="none"/>
                <w:lang w:eastAsia="cs-CZ"/>
              </w:rPr>
              <w:t>.</w:t>
            </w:r>
          </w:p>
          <w:p w14:paraId="0DB7C007" w14:textId="47C70BEA" w:rsidR="00756BA5" w:rsidRPr="005078C0" w:rsidRDefault="00756BA5" w:rsidP="00756BA5">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 xml:space="preserve">OHSE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5D4E8975" w14:textId="77777777" w:rsidR="00756BA5" w:rsidRPr="005078C0" w:rsidRDefault="00756BA5" w:rsidP="00756BA5">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28FC4132" w14:textId="73BF35F5" w:rsidR="00756BA5" w:rsidRPr="005078C0" w:rsidRDefault="00756BA5" w:rsidP="00756BA5">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Odpovědný útvar</w:t>
            </w:r>
            <w:r>
              <w:rPr>
                <w:rStyle w:val="Hypertextovodkaz"/>
                <w:rFonts w:ascii="Arial" w:eastAsia="Times New Roman" w:hAnsi="Arial" w:cs="Arial"/>
                <w:b/>
                <w:bCs/>
                <w:i/>
                <w:color w:val="0F0D29" w:themeColor="text1"/>
                <w:kern w:val="36"/>
                <w:sz w:val="20"/>
                <w:szCs w:val="20"/>
                <w:u w:val="none"/>
                <w:lang w:eastAsia="cs-CZ"/>
              </w:rPr>
              <w:t>:</w:t>
            </w:r>
            <w:r>
              <w:rPr>
                <w:rStyle w:val="Hypertextovodkaz"/>
                <w:rFonts w:ascii="Arial" w:eastAsia="Times New Roman" w:hAnsi="Arial" w:cs="Arial"/>
                <w:i/>
                <w:color w:val="0F0D29" w:themeColor="text1"/>
                <w:kern w:val="36"/>
                <w:sz w:val="20"/>
                <w:szCs w:val="20"/>
                <w:u w:val="none"/>
                <w:lang w:eastAsia="cs-CZ"/>
              </w:rPr>
              <w:t xml:space="preserve"> OHSE – Ing. Zdeněk Stejskal</w:t>
            </w:r>
            <w:r w:rsidRPr="005078C0">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ab/>
            </w:r>
            <w:proofErr w:type="gramStart"/>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30.</w:t>
            </w:r>
            <w:proofErr w:type="gramEnd"/>
            <w:r>
              <w:rPr>
                <w:rStyle w:val="Hypertextovodkaz"/>
                <w:rFonts w:ascii="Arial" w:eastAsia="Times New Roman" w:hAnsi="Arial" w:cs="Arial"/>
                <w:b/>
                <w:bCs/>
                <w:i/>
                <w:color w:val="0F0D29" w:themeColor="text1"/>
                <w:kern w:val="36"/>
                <w:sz w:val="20"/>
                <w:szCs w:val="20"/>
                <w:u w:val="none"/>
                <w:lang w:eastAsia="cs-CZ"/>
              </w:rPr>
              <w:t xml:space="preserve"> 6. 2022</w:t>
            </w:r>
          </w:p>
          <w:p w14:paraId="6D012BEB" w14:textId="23B226C1" w:rsidR="00D06200" w:rsidRDefault="00D06200" w:rsidP="00D06200">
            <w:pPr>
              <w:pStyle w:val="Bezmezer"/>
              <w:tabs>
                <w:tab w:val="left" w:pos="6336"/>
              </w:tabs>
              <w:rPr>
                <w:rStyle w:val="Hypertextovodkaz"/>
                <w:rFonts w:ascii="Arial" w:eastAsia="Times New Roman" w:hAnsi="Arial" w:cs="Arial"/>
                <w:color w:val="0F0D29" w:themeColor="text1"/>
                <w:kern w:val="36"/>
                <w:sz w:val="24"/>
                <w:szCs w:val="20"/>
                <w:u w:val="none"/>
                <w:lang w:eastAsia="cs-CZ"/>
              </w:rPr>
            </w:pPr>
          </w:p>
          <w:p w14:paraId="59B92CF9" w14:textId="60C9BA61" w:rsidR="00756BA5" w:rsidRPr="005078C0" w:rsidRDefault="00756BA5" w:rsidP="00756BA5">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756BA5">
              <w:rPr>
                <w:rStyle w:val="Hypertextovodkaz"/>
                <w:rFonts w:ascii="Arial" w:eastAsia="Times New Roman" w:hAnsi="Arial" w:cs="Arial"/>
                <w:b/>
                <w:bCs/>
                <w:color w:val="0F0D29" w:themeColor="text1"/>
                <w:kern w:val="36"/>
                <w:sz w:val="24"/>
                <w:szCs w:val="20"/>
                <w:u w:val="none"/>
                <w:lang w:eastAsia="cs-CZ"/>
              </w:rPr>
              <w:t>Návrh zákona o požadavcích na přístupnost služeb</w:t>
            </w:r>
            <w:r w:rsidR="00EF6723">
              <w:rPr>
                <w:rStyle w:val="Hypertextovodkaz"/>
                <w:rFonts w:ascii="Arial" w:eastAsia="Times New Roman" w:hAnsi="Arial" w:cs="Arial"/>
                <w:b/>
                <w:bCs/>
                <w:color w:val="0F0D29" w:themeColor="text1"/>
                <w:kern w:val="36"/>
                <w:sz w:val="24"/>
                <w:szCs w:val="24"/>
                <w:u w:val="none"/>
                <w:lang w:eastAsia="cs-CZ"/>
              </w:rPr>
              <w:pict w14:anchorId="1081AC3C">
                <v:rect id="_x0000_i1044" style="width:0;height:1.5pt" o:hralign="center" o:hrstd="t" o:hr="t" fillcolor="#a0a0a0" stroked="f"/>
              </w:pict>
            </w:r>
          </w:p>
          <w:p w14:paraId="2FFF289F" w14:textId="35833D1D" w:rsidR="00756BA5" w:rsidRDefault="00756BA5" w:rsidP="00A404F7">
            <w:pPr>
              <w:pStyle w:val="Bezmezer"/>
              <w:spacing w:line="360"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EKLEP</w:t>
            </w:r>
            <w:r>
              <w:t xml:space="preserve"> </w:t>
            </w:r>
            <w:r w:rsidR="00BF2049" w:rsidRPr="00BF2049">
              <w:rPr>
                <w:rStyle w:val="Hypertextovodkaz"/>
                <w:rFonts w:ascii="Arial" w:eastAsia="Times New Roman" w:hAnsi="Arial" w:cs="Arial"/>
                <w:bCs/>
                <w:color w:val="0F0D29" w:themeColor="text1"/>
                <w:kern w:val="36"/>
                <w:sz w:val="20"/>
                <w:szCs w:val="20"/>
                <w:u w:val="none"/>
                <w:lang w:eastAsia="cs-CZ"/>
              </w:rPr>
              <w:t>KORNC9XGVCVG</w:t>
            </w:r>
            <w:r>
              <w:rPr>
                <w:rStyle w:val="Hypertextovodkaz"/>
                <w:rFonts w:ascii="Arial" w:eastAsia="Times New Roman" w:hAnsi="Arial" w:cs="Arial"/>
                <w:bCs/>
                <w:color w:val="0F0D29" w:themeColor="text1"/>
                <w:kern w:val="36"/>
                <w:sz w:val="20"/>
                <w:szCs w:val="20"/>
                <w:u w:val="none"/>
                <w:lang w:eastAsia="cs-CZ"/>
              </w:rPr>
              <w:t xml:space="preserve"> </w:t>
            </w:r>
          </w:p>
          <w:p w14:paraId="6AC61F45" w14:textId="22A1A98A" w:rsidR="00756BA5" w:rsidRDefault="00756BA5" w:rsidP="00A404F7">
            <w:pPr>
              <w:pStyle w:val="Bezmezer"/>
              <w:spacing w:line="360"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Připomínkové řízení ukončeno</w:t>
            </w:r>
          </w:p>
          <w:p w14:paraId="4DAA8D28" w14:textId="77777777" w:rsidR="00756BA5" w:rsidRPr="005078C0" w:rsidRDefault="00756BA5" w:rsidP="00A404F7">
            <w:pPr>
              <w:pStyle w:val="Bezmezer"/>
              <w:spacing w:line="360" w:lineRule="auto"/>
              <w:jc w:val="right"/>
              <w:rPr>
                <w:rStyle w:val="Hypertextovodkaz"/>
                <w:rFonts w:ascii="Arial" w:eastAsia="Times New Roman" w:hAnsi="Arial" w:cs="Arial"/>
                <w:bCs/>
                <w:color w:val="0F0D29" w:themeColor="text1"/>
                <w:kern w:val="36"/>
                <w:sz w:val="20"/>
                <w:szCs w:val="20"/>
                <w:u w:val="none"/>
                <w:lang w:eastAsia="cs-CZ"/>
              </w:rPr>
            </w:pPr>
          </w:p>
          <w:p w14:paraId="22F6115F" w14:textId="43AF2729" w:rsidR="00756BA5" w:rsidRDefault="00BF2049" w:rsidP="00A404F7">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 xml:space="preserve">Ministerstvo průmyslu a obchodu předložilo </w:t>
            </w:r>
            <w:r w:rsidRPr="00BF2049">
              <w:rPr>
                <w:rStyle w:val="Hypertextovodkaz"/>
                <w:rFonts w:ascii="Arial" w:eastAsia="Times New Roman" w:hAnsi="Arial" w:cs="Arial"/>
                <w:bCs/>
                <w:color w:val="0F0D29" w:themeColor="text1"/>
                <w:kern w:val="36"/>
                <w:sz w:val="20"/>
                <w:szCs w:val="20"/>
                <w:u w:val="none"/>
                <w:lang w:eastAsia="cs-CZ"/>
              </w:rPr>
              <w:t xml:space="preserve">na </w:t>
            </w:r>
            <w:r w:rsidR="00AE31E2">
              <w:rPr>
                <w:rStyle w:val="Hypertextovodkaz"/>
                <w:rFonts w:ascii="Arial" w:eastAsia="Times New Roman" w:hAnsi="Arial" w:cs="Arial"/>
                <w:bCs/>
                <w:color w:val="0F0D29" w:themeColor="text1"/>
                <w:kern w:val="36"/>
                <w:sz w:val="20"/>
                <w:szCs w:val="20"/>
                <w:u w:val="none"/>
                <w:lang w:eastAsia="cs-CZ"/>
              </w:rPr>
              <w:t xml:space="preserve">základě </w:t>
            </w:r>
            <w:r w:rsidRPr="00BF2049">
              <w:rPr>
                <w:rStyle w:val="Hypertextovodkaz"/>
                <w:rFonts w:ascii="Arial" w:eastAsia="Times New Roman" w:hAnsi="Arial" w:cs="Arial"/>
                <w:bCs/>
                <w:color w:val="0F0D29" w:themeColor="text1"/>
                <w:kern w:val="36"/>
                <w:sz w:val="20"/>
                <w:szCs w:val="20"/>
                <w:u w:val="none"/>
                <w:lang w:eastAsia="cs-CZ"/>
              </w:rPr>
              <w:t>Plán</w:t>
            </w:r>
            <w:r>
              <w:rPr>
                <w:rStyle w:val="Hypertextovodkaz"/>
                <w:rFonts w:ascii="Arial" w:eastAsia="Times New Roman" w:hAnsi="Arial" w:cs="Arial"/>
                <w:bCs/>
                <w:color w:val="0F0D29" w:themeColor="text1"/>
                <w:kern w:val="36"/>
                <w:sz w:val="20"/>
                <w:szCs w:val="20"/>
                <w:u w:val="none"/>
                <w:lang w:eastAsia="cs-CZ"/>
              </w:rPr>
              <w:t>u</w:t>
            </w:r>
            <w:r w:rsidRPr="00BF2049">
              <w:rPr>
                <w:rStyle w:val="Hypertextovodkaz"/>
                <w:rFonts w:ascii="Arial" w:eastAsia="Times New Roman" w:hAnsi="Arial" w:cs="Arial"/>
                <w:bCs/>
                <w:color w:val="0F0D29" w:themeColor="text1"/>
                <w:kern w:val="36"/>
                <w:sz w:val="20"/>
                <w:szCs w:val="20"/>
                <w:u w:val="none"/>
                <w:lang w:eastAsia="cs-CZ"/>
              </w:rPr>
              <w:t xml:space="preserve"> legislativních prací vlády na rok 2021</w:t>
            </w:r>
            <w:r>
              <w:rPr>
                <w:rStyle w:val="Hypertextovodkaz"/>
                <w:rFonts w:ascii="Arial" w:eastAsia="Times New Roman" w:hAnsi="Arial" w:cs="Arial"/>
                <w:bCs/>
                <w:color w:val="0F0D29" w:themeColor="text1"/>
                <w:kern w:val="36"/>
                <w:sz w:val="20"/>
                <w:szCs w:val="20"/>
                <w:u w:val="none"/>
                <w:lang w:eastAsia="cs-CZ"/>
              </w:rPr>
              <w:t xml:space="preserve"> návrh nového zákona o požadavcích na přístupnost služeb</w:t>
            </w:r>
            <w:r w:rsidRPr="00BF2049">
              <w:rPr>
                <w:rStyle w:val="Hypertextovodkaz"/>
                <w:rFonts w:ascii="Arial" w:eastAsia="Times New Roman" w:hAnsi="Arial" w:cs="Arial"/>
                <w:bCs/>
                <w:color w:val="0F0D29" w:themeColor="text1"/>
                <w:kern w:val="36"/>
                <w:sz w:val="20"/>
                <w:szCs w:val="20"/>
                <w:u w:val="none"/>
                <w:lang w:eastAsia="cs-CZ"/>
              </w:rPr>
              <w:t xml:space="preserve">. Překládaným návrhem zákona se zajišťuje částečná transpozice směrnice Evropského parlamentu a Rady (EU) 2019/882 o požadavcích na </w:t>
            </w:r>
            <w:r>
              <w:rPr>
                <w:rStyle w:val="Hypertextovodkaz"/>
                <w:rFonts w:ascii="Arial" w:eastAsia="Times New Roman" w:hAnsi="Arial" w:cs="Arial"/>
                <w:bCs/>
                <w:color w:val="0F0D29" w:themeColor="text1"/>
                <w:kern w:val="36"/>
                <w:sz w:val="20"/>
                <w:szCs w:val="20"/>
                <w:u w:val="none"/>
                <w:lang w:eastAsia="cs-CZ"/>
              </w:rPr>
              <w:t xml:space="preserve">přístupnost u výrobků a služeb. </w:t>
            </w:r>
            <w:r w:rsidRPr="00BF2049">
              <w:rPr>
                <w:rStyle w:val="Hypertextovodkaz"/>
                <w:rFonts w:ascii="Arial" w:eastAsia="Times New Roman" w:hAnsi="Arial" w:cs="Arial"/>
                <w:bCs/>
                <w:color w:val="0F0D29" w:themeColor="text1"/>
                <w:kern w:val="36"/>
                <w:sz w:val="20"/>
                <w:szCs w:val="20"/>
                <w:u w:val="none"/>
                <w:lang w:eastAsia="cs-CZ"/>
              </w:rPr>
              <w:t>Předkládaný návrh zákona zajistí přístupnost některých služeb zejména osobám zdravotně postiženým (ale i jiným osobám, např. seniorům nebo těhotným ženám) a umožní jim tak účinné zapojení do společnosti.</w:t>
            </w:r>
          </w:p>
          <w:p w14:paraId="65D3800E" w14:textId="77777777" w:rsidR="00BF2049" w:rsidRPr="005078C0" w:rsidRDefault="00BF2049" w:rsidP="00BF2049">
            <w:pPr>
              <w:pStyle w:val="Bezmezer"/>
              <w:jc w:val="both"/>
              <w:rPr>
                <w:rStyle w:val="Hypertextovodkaz"/>
                <w:rFonts w:ascii="Arial" w:eastAsia="Times New Roman" w:hAnsi="Arial" w:cs="Arial"/>
                <w:bCs/>
                <w:color w:val="0F0D29" w:themeColor="text1"/>
                <w:kern w:val="36"/>
                <w:sz w:val="20"/>
                <w:szCs w:val="20"/>
                <w:u w:val="none"/>
                <w:lang w:eastAsia="cs-CZ"/>
              </w:rPr>
            </w:pPr>
          </w:p>
          <w:p w14:paraId="55053B2F" w14:textId="7632FB0D" w:rsidR="00756BA5" w:rsidRPr="005078C0" w:rsidRDefault="00756BA5" w:rsidP="00756BA5">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 xml:space="preserve">OPS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44BC5377" w14:textId="77777777" w:rsidR="00756BA5" w:rsidRPr="005078C0" w:rsidRDefault="00756BA5" w:rsidP="00756BA5">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07DACA76" w14:textId="3421C203" w:rsidR="00756BA5" w:rsidRPr="005078C0" w:rsidRDefault="00756BA5" w:rsidP="00756BA5">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Odpovědný útvar</w:t>
            </w:r>
            <w:r>
              <w:rPr>
                <w:rStyle w:val="Hypertextovodkaz"/>
                <w:rFonts w:ascii="Arial" w:eastAsia="Times New Roman" w:hAnsi="Arial" w:cs="Arial"/>
                <w:b/>
                <w:bCs/>
                <w:i/>
                <w:color w:val="0F0D29" w:themeColor="text1"/>
                <w:kern w:val="36"/>
                <w:sz w:val="20"/>
                <w:szCs w:val="20"/>
                <w:u w:val="none"/>
                <w:lang w:eastAsia="cs-CZ"/>
              </w:rPr>
              <w:t>:</w:t>
            </w:r>
            <w:r>
              <w:rPr>
                <w:rStyle w:val="Hypertextovodkaz"/>
                <w:rFonts w:ascii="Arial" w:eastAsia="Times New Roman" w:hAnsi="Arial" w:cs="Arial"/>
                <w:i/>
                <w:color w:val="0F0D29" w:themeColor="text1"/>
                <w:kern w:val="36"/>
                <w:sz w:val="20"/>
                <w:szCs w:val="20"/>
                <w:u w:val="none"/>
                <w:lang w:eastAsia="cs-CZ"/>
              </w:rPr>
              <w:t xml:space="preserve"> OPS – Mgr. Pavel Císař</w:t>
            </w:r>
            <w:r w:rsidRPr="005078C0">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ab/>
            </w:r>
            <w:proofErr w:type="gramStart"/>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30.</w:t>
            </w:r>
            <w:proofErr w:type="gramEnd"/>
            <w:r>
              <w:rPr>
                <w:rStyle w:val="Hypertextovodkaz"/>
                <w:rFonts w:ascii="Arial" w:eastAsia="Times New Roman" w:hAnsi="Arial" w:cs="Arial"/>
                <w:b/>
                <w:bCs/>
                <w:i/>
                <w:color w:val="0F0D29" w:themeColor="text1"/>
                <w:kern w:val="36"/>
                <w:sz w:val="20"/>
                <w:szCs w:val="20"/>
                <w:u w:val="none"/>
                <w:lang w:eastAsia="cs-CZ"/>
              </w:rPr>
              <w:t xml:space="preserve"> 6. 2022</w:t>
            </w:r>
          </w:p>
          <w:p w14:paraId="0B95FEFF" w14:textId="77777777" w:rsidR="000472DA" w:rsidRDefault="000472DA" w:rsidP="000472DA">
            <w:pPr>
              <w:pStyle w:val="Bezmezer"/>
              <w:tabs>
                <w:tab w:val="left" w:pos="6336"/>
              </w:tabs>
              <w:jc w:val="center"/>
              <w:rPr>
                <w:rStyle w:val="Hypertextovodkaz"/>
                <w:rFonts w:ascii="Arial" w:eastAsia="Times New Roman" w:hAnsi="Arial" w:cs="Arial"/>
                <w:b/>
                <w:bCs/>
                <w:color w:val="0F0D29" w:themeColor="text1"/>
                <w:kern w:val="36"/>
                <w:sz w:val="24"/>
                <w:szCs w:val="20"/>
                <w:u w:val="none"/>
                <w:lang w:eastAsia="cs-CZ"/>
              </w:rPr>
            </w:pPr>
          </w:p>
          <w:p w14:paraId="6E328DF5" w14:textId="77777777" w:rsidR="000472DA" w:rsidRDefault="000472DA" w:rsidP="000472DA">
            <w:pPr>
              <w:pStyle w:val="Bezmezer"/>
              <w:tabs>
                <w:tab w:val="left" w:pos="6336"/>
              </w:tabs>
              <w:jc w:val="center"/>
              <w:rPr>
                <w:rStyle w:val="Hypertextovodkaz"/>
                <w:rFonts w:ascii="Arial" w:eastAsia="Times New Roman" w:hAnsi="Arial" w:cs="Arial"/>
                <w:b/>
                <w:bCs/>
                <w:color w:val="0F0D29" w:themeColor="text1"/>
                <w:kern w:val="36"/>
                <w:sz w:val="24"/>
                <w:szCs w:val="20"/>
                <w:u w:val="none"/>
                <w:lang w:eastAsia="cs-CZ"/>
              </w:rPr>
            </w:pPr>
            <w:r w:rsidRPr="000472DA">
              <w:rPr>
                <w:rStyle w:val="Hypertextovodkaz"/>
                <w:rFonts w:ascii="Arial" w:eastAsia="Times New Roman" w:hAnsi="Arial" w:cs="Arial"/>
                <w:b/>
                <w:bCs/>
                <w:color w:val="0F0D29" w:themeColor="text1"/>
                <w:kern w:val="36"/>
                <w:sz w:val="24"/>
                <w:szCs w:val="20"/>
                <w:u w:val="none"/>
                <w:lang w:eastAsia="cs-CZ"/>
              </w:rPr>
              <w:t>Zákon o ochraně oznamovatelů</w:t>
            </w:r>
          </w:p>
          <w:p w14:paraId="04857FBA" w14:textId="4C9CEBCC" w:rsidR="00756BA5" w:rsidRPr="000472DA" w:rsidRDefault="00EF6723" w:rsidP="000472DA">
            <w:pPr>
              <w:pStyle w:val="Bezmezer"/>
              <w:tabs>
                <w:tab w:val="left" w:pos="6336"/>
              </w:tabs>
              <w:jc w:val="center"/>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4"/>
                <w:u w:val="none"/>
                <w:lang w:eastAsia="cs-CZ"/>
              </w:rPr>
              <w:pict w14:anchorId="399963F8">
                <v:rect id="_x0000_i1045" style="width:0;height:1.5pt" o:hralign="center" o:hrstd="t" o:hr="t" fillcolor="#a0a0a0" stroked="f"/>
              </w:pict>
            </w:r>
          </w:p>
          <w:p w14:paraId="01899010" w14:textId="77777777" w:rsidR="000472DA" w:rsidRDefault="000472DA" w:rsidP="000472DA">
            <w:pPr>
              <w:pStyle w:val="Bezmezer"/>
              <w:tabs>
                <w:tab w:val="left" w:pos="6336"/>
              </w:tabs>
              <w:jc w:val="right"/>
              <w:rPr>
                <w:rStyle w:val="Hypertextovodkaz"/>
                <w:rFonts w:ascii="Arial" w:eastAsia="Times New Roman" w:hAnsi="Arial" w:cs="Arial"/>
                <w:color w:val="0F0D29" w:themeColor="text1"/>
                <w:kern w:val="36"/>
                <w:sz w:val="20"/>
                <w:szCs w:val="20"/>
                <w:u w:val="none"/>
                <w:lang w:eastAsia="cs-CZ"/>
              </w:rPr>
            </w:pPr>
            <w:r w:rsidRPr="000472DA">
              <w:rPr>
                <w:rStyle w:val="Hypertextovodkaz"/>
                <w:rFonts w:ascii="Arial" w:eastAsia="Times New Roman" w:hAnsi="Arial" w:cs="Arial"/>
                <w:color w:val="0F0D29" w:themeColor="text1"/>
                <w:kern w:val="36"/>
                <w:sz w:val="20"/>
                <w:szCs w:val="20"/>
                <w:u w:val="none"/>
                <w:lang w:eastAsia="cs-CZ"/>
              </w:rPr>
              <w:t>EKLEP</w:t>
            </w:r>
            <w:r>
              <w:rPr>
                <w:rStyle w:val="Hypertextovodkaz"/>
                <w:rFonts w:ascii="Arial" w:eastAsia="Times New Roman" w:hAnsi="Arial" w:cs="Arial"/>
                <w:color w:val="0F0D29" w:themeColor="text1"/>
                <w:kern w:val="36"/>
                <w:sz w:val="20"/>
                <w:szCs w:val="20"/>
                <w:u w:val="none"/>
                <w:lang w:eastAsia="cs-CZ"/>
              </w:rPr>
              <w:t xml:space="preserve"> </w:t>
            </w:r>
            <w:r w:rsidRPr="000472DA">
              <w:rPr>
                <w:rStyle w:val="Hypertextovodkaz"/>
                <w:rFonts w:ascii="Arial" w:eastAsia="Times New Roman" w:hAnsi="Arial" w:cs="Arial"/>
                <w:color w:val="0F0D29" w:themeColor="text1"/>
                <w:kern w:val="36"/>
                <w:sz w:val="20"/>
                <w:szCs w:val="20"/>
                <w:u w:val="none"/>
                <w:lang w:eastAsia="cs-CZ"/>
              </w:rPr>
              <w:t>KORNCDXFM97V</w:t>
            </w:r>
          </w:p>
          <w:p w14:paraId="6D7E0B3C" w14:textId="77777777" w:rsidR="000472DA" w:rsidRDefault="000472DA" w:rsidP="000472DA">
            <w:pPr>
              <w:pStyle w:val="Bezmezer"/>
              <w:tabs>
                <w:tab w:val="left" w:pos="6336"/>
              </w:tabs>
              <w:jc w:val="right"/>
              <w:rPr>
                <w:rStyle w:val="Hypertextovodkaz"/>
                <w:rFonts w:ascii="Arial" w:eastAsia="Times New Roman" w:hAnsi="Arial" w:cs="Arial"/>
                <w:color w:val="0F0D29" w:themeColor="text1"/>
                <w:kern w:val="36"/>
                <w:sz w:val="20"/>
                <w:szCs w:val="20"/>
                <w:u w:val="none"/>
                <w:lang w:eastAsia="cs-CZ"/>
              </w:rPr>
            </w:pPr>
            <w:r>
              <w:rPr>
                <w:rStyle w:val="Hypertextovodkaz"/>
                <w:rFonts w:ascii="Arial" w:eastAsia="Times New Roman" w:hAnsi="Arial" w:cs="Arial"/>
                <w:color w:val="0F0D29" w:themeColor="text1"/>
                <w:kern w:val="36"/>
                <w:sz w:val="20"/>
                <w:szCs w:val="20"/>
                <w:u w:val="none"/>
                <w:lang w:eastAsia="cs-CZ"/>
              </w:rPr>
              <w:t>Mezirezortní připomínkové řízení</w:t>
            </w:r>
          </w:p>
          <w:p w14:paraId="6CBD69D2" w14:textId="77777777" w:rsidR="000472DA" w:rsidRDefault="000472DA" w:rsidP="000472DA">
            <w:pPr>
              <w:pStyle w:val="Bezmezer"/>
              <w:tabs>
                <w:tab w:val="left" w:pos="6336"/>
              </w:tabs>
              <w:jc w:val="right"/>
              <w:rPr>
                <w:rStyle w:val="Hypertextovodkaz"/>
                <w:rFonts w:ascii="Arial" w:eastAsia="Times New Roman" w:hAnsi="Arial" w:cs="Arial"/>
                <w:color w:val="0F0D29" w:themeColor="text1"/>
                <w:kern w:val="36"/>
                <w:sz w:val="20"/>
                <w:szCs w:val="20"/>
                <w:u w:val="none"/>
                <w:lang w:eastAsia="cs-CZ"/>
              </w:rPr>
            </w:pPr>
          </w:p>
          <w:p w14:paraId="7B2DF760" w14:textId="1781E1BA" w:rsidR="000472DA" w:rsidRPr="000472DA" w:rsidRDefault="000472DA" w:rsidP="000472DA">
            <w:pPr>
              <w:pStyle w:val="Bezmezer"/>
              <w:tabs>
                <w:tab w:val="left" w:pos="6336"/>
              </w:tabs>
              <w:jc w:val="right"/>
              <w:rPr>
                <w:rStyle w:val="Hypertextovodkaz"/>
                <w:rFonts w:ascii="Arial" w:eastAsia="Times New Roman" w:hAnsi="Arial" w:cs="Arial"/>
                <w:color w:val="0F0D29" w:themeColor="text1"/>
                <w:kern w:val="36"/>
                <w:sz w:val="20"/>
                <w:szCs w:val="20"/>
                <w:u w:val="none"/>
                <w:lang w:eastAsia="cs-CZ"/>
              </w:rPr>
            </w:pPr>
            <w:r w:rsidRPr="000472DA">
              <w:rPr>
                <w:rStyle w:val="Hypertextovodkaz"/>
                <w:rFonts w:ascii="Arial" w:eastAsia="Times New Roman" w:hAnsi="Arial" w:cs="Arial"/>
                <w:color w:val="0F0D29" w:themeColor="text1"/>
                <w:kern w:val="36"/>
                <w:sz w:val="20"/>
                <w:szCs w:val="20"/>
                <w:u w:val="none"/>
                <w:lang w:eastAsia="cs-CZ"/>
              </w:rPr>
              <w:t xml:space="preserve"> </w:t>
            </w:r>
          </w:p>
          <w:p w14:paraId="56753ACE" w14:textId="37BC8E52" w:rsidR="000472DA" w:rsidRDefault="000472DA" w:rsidP="000472DA">
            <w:pPr>
              <w:pStyle w:val="Bezmezer"/>
              <w:tabs>
                <w:tab w:val="left" w:pos="6336"/>
              </w:tabs>
              <w:spacing w:line="360" w:lineRule="auto"/>
              <w:jc w:val="both"/>
              <w:rPr>
                <w:rStyle w:val="Hypertextovodkaz"/>
                <w:rFonts w:ascii="Arial" w:eastAsia="Times New Roman" w:hAnsi="Arial" w:cs="Arial"/>
                <w:color w:val="0F0D29" w:themeColor="text1"/>
                <w:kern w:val="36"/>
                <w:sz w:val="20"/>
                <w:szCs w:val="20"/>
                <w:u w:val="none"/>
                <w:lang w:eastAsia="cs-CZ"/>
              </w:rPr>
            </w:pPr>
            <w:r w:rsidRPr="000472DA">
              <w:rPr>
                <w:rStyle w:val="Hypertextovodkaz"/>
                <w:rFonts w:ascii="Arial" w:eastAsia="Times New Roman" w:hAnsi="Arial" w:cs="Arial"/>
                <w:color w:val="0F0D29" w:themeColor="text1"/>
                <w:kern w:val="36"/>
                <w:sz w:val="20"/>
                <w:szCs w:val="20"/>
                <w:u w:val="none"/>
                <w:lang w:eastAsia="cs-CZ"/>
              </w:rPr>
              <w:t xml:space="preserve">V reakci na mezinárodní závazky a doporučení a zejména s ohledem na Směrnici Evropského parlamentu a Rady (EU) 2019/1937 ze dne 23. října 2019 o ochraně osob, které oznamují porušení práva Unie </w:t>
            </w:r>
            <w:r>
              <w:rPr>
                <w:rStyle w:val="Hypertextovodkaz"/>
                <w:rFonts w:ascii="Arial" w:eastAsia="Times New Roman" w:hAnsi="Arial" w:cs="Arial"/>
                <w:color w:val="0F0D29" w:themeColor="text1"/>
                <w:kern w:val="36"/>
                <w:sz w:val="20"/>
                <w:szCs w:val="20"/>
                <w:u w:val="none"/>
                <w:lang w:eastAsia="cs-CZ"/>
              </w:rPr>
              <w:t>je</w:t>
            </w:r>
            <w:r w:rsidRPr="000472DA">
              <w:rPr>
                <w:rStyle w:val="Hypertextovodkaz"/>
                <w:rFonts w:ascii="Arial" w:eastAsia="Times New Roman" w:hAnsi="Arial" w:cs="Arial"/>
                <w:color w:val="0F0D29" w:themeColor="text1"/>
                <w:kern w:val="36"/>
                <w:sz w:val="20"/>
                <w:szCs w:val="20"/>
                <w:u w:val="none"/>
                <w:lang w:eastAsia="cs-CZ"/>
              </w:rPr>
              <w:t xml:space="preserve"> </w:t>
            </w:r>
            <w:r>
              <w:rPr>
                <w:rStyle w:val="Hypertextovodkaz"/>
                <w:rFonts w:ascii="Arial" w:eastAsia="Times New Roman" w:hAnsi="Arial" w:cs="Arial"/>
                <w:color w:val="0F0D29" w:themeColor="text1"/>
                <w:kern w:val="36"/>
                <w:sz w:val="20"/>
                <w:szCs w:val="20"/>
                <w:u w:val="none"/>
                <w:lang w:eastAsia="cs-CZ"/>
              </w:rPr>
              <w:t xml:space="preserve">opětovně </w:t>
            </w:r>
            <w:r w:rsidRPr="000472DA">
              <w:rPr>
                <w:rStyle w:val="Hypertextovodkaz"/>
                <w:rFonts w:ascii="Arial" w:eastAsia="Times New Roman" w:hAnsi="Arial" w:cs="Arial"/>
                <w:color w:val="0F0D29" w:themeColor="text1"/>
                <w:kern w:val="36"/>
                <w:sz w:val="20"/>
                <w:szCs w:val="20"/>
                <w:u w:val="none"/>
                <w:lang w:eastAsia="cs-CZ"/>
              </w:rPr>
              <w:t>předkládá</w:t>
            </w:r>
            <w:r>
              <w:rPr>
                <w:rStyle w:val="Hypertextovodkaz"/>
                <w:rFonts w:ascii="Arial" w:eastAsia="Times New Roman" w:hAnsi="Arial" w:cs="Arial"/>
                <w:color w:val="0F0D29" w:themeColor="text1"/>
                <w:kern w:val="36"/>
                <w:sz w:val="20"/>
                <w:szCs w:val="20"/>
                <w:u w:val="none"/>
                <w:lang w:eastAsia="cs-CZ"/>
              </w:rPr>
              <w:t>n</w:t>
            </w:r>
            <w:r w:rsidRPr="000472DA">
              <w:rPr>
                <w:rStyle w:val="Hypertextovodkaz"/>
                <w:rFonts w:ascii="Arial" w:eastAsia="Times New Roman" w:hAnsi="Arial" w:cs="Arial"/>
                <w:color w:val="0F0D29" w:themeColor="text1"/>
                <w:kern w:val="36"/>
                <w:sz w:val="20"/>
                <w:szCs w:val="20"/>
                <w:u w:val="none"/>
                <w:lang w:eastAsia="cs-CZ"/>
              </w:rPr>
              <w:t xml:space="preserve"> návrh zákona, který má za cíl chybějící prvky ochrany oznamovatelů doplnit do českého právního řádu a transponovat tak Směrnici. Cílem navrhované právní úpravy ochrany oznamovatelů je umožnit pracovníkům v soukromém i veřejném sektoru bezpečně podat oznámení v rámci povinně zřizovaných interních mechanismů, případně externích mechanismů, a následně jim zajistit ochranu před možnými odvetnými opatřeními ze strany zaměstnavatelů a dalších subjektů.</w:t>
            </w:r>
          </w:p>
          <w:p w14:paraId="57ACBCEC" w14:textId="6362909C" w:rsidR="000472DA" w:rsidRDefault="000472DA" w:rsidP="000472DA">
            <w:pPr>
              <w:pStyle w:val="Bezmezer"/>
              <w:tabs>
                <w:tab w:val="left" w:pos="6336"/>
              </w:tabs>
              <w:spacing w:line="360" w:lineRule="auto"/>
              <w:jc w:val="both"/>
              <w:rPr>
                <w:rStyle w:val="Hypertextovodkaz"/>
                <w:rFonts w:ascii="Arial" w:eastAsia="Times New Roman" w:hAnsi="Arial" w:cs="Arial"/>
                <w:color w:val="0F0D29" w:themeColor="text1"/>
                <w:kern w:val="36"/>
                <w:sz w:val="20"/>
                <w:szCs w:val="20"/>
                <w:u w:val="none"/>
                <w:lang w:eastAsia="cs-CZ"/>
              </w:rPr>
            </w:pPr>
            <w:r>
              <w:rPr>
                <w:rStyle w:val="Hypertextovodkaz"/>
                <w:rFonts w:ascii="Arial" w:eastAsia="Times New Roman" w:hAnsi="Arial" w:cs="Arial"/>
                <w:color w:val="0F0D29" w:themeColor="text1"/>
                <w:kern w:val="36"/>
                <w:sz w:val="20"/>
                <w:szCs w:val="20"/>
                <w:u w:val="none"/>
                <w:lang w:eastAsia="cs-CZ"/>
              </w:rPr>
              <w:lastRenderedPageBreak/>
              <w:t>Zákon je předkládán opětovně, neboť v minulém volebním období nebyl projednán.</w:t>
            </w:r>
          </w:p>
          <w:p w14:paraId="57529380" w14:textId="15F185BF" w:rsidR="000472DA" w:rsidRDefault="000472DA" w:rsidP="000472DA">
            <w:pPr>
              <w:pStyle w:val="Bezmezer"/>
              <w:tabs>
                <w:tab w:val="left" w:pos="6336"/>
              </w:tabs>
              <w:spacing w:line="360" w:lineRule="auto"/>
              <w:jc w:val="both"/>
              <w:rPr>
                <w:rStyle w:val="Hypertextovodkaz"/>
                <w:rFonts w:ascii="Arial" w:eastAsia="Times New Roman" w:hAnsi="Arial" w:cs="Arial"/>
                <w:color w:val="0F0D29" w:themeColor="text1"/>
                <w:kern w:val="36"/>
                <w:sz w:val="20"/>
                <w:szCs w:val="20"/>
                <w:u w:val="none"/>
                <w:lang w:eastAsia="cs-CZ"/>
              </w:rPr>
            </w:pPr>
          </w:p>
          <w:p w14:paraId="51A42321" w14:textId="6218682D" w:rsidR="00A0491A" w:rsidRPr="005078C0" w:rsidRDefault="00A0491A" w:rsidP="00A0491A">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 xml:space="preserve">OIA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20E49C88" w14:textId="77777777" w:rsidR="00A0491A" w:rsidRPr="005078C0" w:rsidRDefault="00A0491A" w:rsidP="00A0491A">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7D55C453" w14:textId="21D35881" w:rsidR="00A0491A" w:rsidRPr="005078C0" w:rsidRDefault="00A0491A" w:rsidP="00A0491A">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Odpovědný útvar</w:t>
            </w:r>
            <w:r>
              <w:rPr>
                <w:rStyle w:val="Hypertextovodkaz"/>
                <w:rFonts w:ascii="Arial" w:eastAsia="Times New Roman" w:hAnsi="Arial" w:cs="Arial"/>
                <w:b/>
                <w:bCs/>
                <w:i/>
                <w:color w:val="0F0D29" w:themeColor="text1"/>
                <w:kern w:val="36"/>
                <w:sz w:val="20"/>
                <w:szCs w:val="20"/>
                <w:u w:val="none"/>
                <w:lang w:eastAsia="cs-CZ"/>
              </w:rPr>
              <w:t>:</w:t>
            </w:r>
            <w:r>
              <w:rPr>
                <w:rStyle w:val="Hypertextovodkaz"/>
                <w:rFonts w:ascii="Arial" w:eastAsia="Times New Roman" w:hAnsi="Arial" w:cs="Arial"/>
                <w:i/>
                <w:color w:val="0F0D29" w:themeColor="text1"/>
                <w:kern w:val="36"/>
                <w:sz w:val="20"/>
                <w:szCs w:val="20"/>
                <w:u w:val="none"/>
                <w:lang w:eastAsia="cs-CZ"/>
              </w:rPr>
              <w:t xml:space="preserve"> OIA – Ing. Hedvika Adamová</w:t>
            </w:r>
            <w:r w:rsidRPr="005078C0">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ab/>
            </w:r>
            <w:proofErr w:type="gramStart"/>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30.</w:t>
            </w:r>
            <w:proofErr w:type="gramEnd"/>
            <w:r>
              <w:rPr>
                <w:rStyle w:val="Hypertextovodkaz"/>
                <w:rFonts w:ascii="Arial" w:eastAsia="Times New Roman" w:hAnsi="Arial" w:cs="Arial"/>
                <w:b/>
                <w:bCs/>
                <w:i/>
                <w:color w:val="0F0D29" w:themeColor="text1"/>
                <w:kern w:val="36"/>
                <w:sz w:val="20"/>
                <w:szCs w:val="20"/>
                <w:u w:val="none"/>
                <w:lang w:eastAsia="cs-CZ"/>
              </w:rPr>
              <w:t xml:space="preserve"> 6. 2022</w:t>
            </w:r>
          </w:p>
          <w:p w14:paraId="6DA4A79B" w14:textId="77777777" w:rsidR="000472DA" w:rsidRPr="000472DA" w:rsidRDefault="000472DA" w:rsidP="000472DA">
            <w:pPr>
              <w:pStyle w:val="Bezmezer"/>
              <w:tabs>
                <w:tab w:val="left" w:pos="6336"/>
              </w:tabs>
              <w:spacing w:line="360" w:lineRule="auto"/>
              <w:jc w:val="both"/>
              <w:rPr>
                <w:rStyle w:val="Hypertextovodkaz"/>
                <w:rFonts w:ascii="Arial" w:eastAsia="Times New Roman" w:hAnsi="Arial" w:cs="Arial"/>
                <w:color w:val="0F0D29" w:themeColor="text1"/>
                <w:kern w:val="36"/>
                <w:sz w:val="20"/>
                <w:szCs w:val="20"/>
                <w:u w:val="none"/>
                <w:lang w:eastAsia="cs-CZ"/>
              </w:rPr>
            </w:pPr>
          </w:p>
          <w:p w14:paraId="7670CF7D" w14:textId="77777777" w:rsidR="00A0491A" w:rsidRDefault="000472DA" w:rsidP="00A0491A">
            <w:pPr>
              <w:pStyle w:val="Bezmezer"/>
              <w:tabs>
                <w:tab w:val="left" w:pos="6336"/>
              </w:tabs>
              <w:jc w:val="center"/>
              <w:rPr>
                <w:rStyle w:val="Hypertextovodkaz"/>
                <w:rFonts w:ascii="Arial" w:eastAsia="Times New Roman" w:hAnsi="Arial" w:cs="Arial"/>
                <w:b/>
                <w:bCs/>
                <w:color w:val="0F0D29" w:themeColor="text1"/>
                <w:kern w:val="36"/>
                <w:sz w:val="24"/>
                <w:szCs w:val="20"/>
                <w:u w:val="none"/>
                <w:lang w:eastAsia="cs-CZ"/>
              </w:rPr>
            </w:pPr>
            <w:r w:rsidRPr="00A0491A">
              <w:rPr>
                <w:rStyle w:val="Hypertextovodkaz"/>
                <w:rFonts w:ascii="Arial" w:eastAsia="Times New Roman" w:hAnsi="Arial" w:cs="Arial"/>
                <w:b/>
                <w:bCs/>
                <w:color w:val="0F0D29" w:themeColor="text1"/>
                <w:kern w:val="36"/>
                <w:sz w:val="24"/>
                <w:szCs w:val="20"/>
                <w:u w:val="none"/>
                <w:lang w:eastAsia="cs-CZ"/>
              </w:rPr>
              <w:t>Návrh</w:t>
            </w:r>
            <w:r w:rsidRPr="000472DA">
              <w:rPr>
                <w:rStyle w:val="Hypertextovodkaz"/>
                <w:rFonts w:ascii="Arial" w:eastAsia="Times New Roman" w:hAnsi="Arial" w:cs="Arial"/>
                <w:color w:val="0F0D29" w:themeColor="text1"/>
                <w:kern w:val="36"/>
                <w:sz w:val="24"/>
                <w:szCs w:val="20"/>
                <w:u w:val="none"/>
                <w:lang w:eastAsia="cs-CZ"/>
              </w:rPr>
              <w:t xml:space="preserve"> </w:t>
            </w:r>
            <w:r w:rsidRPr="00A0491A">
              <w:rPr>
                <w:rStyle w:val="Hypertextovodkaz"/>
                <w:rFonts w:ascii="Arial" w:eastAsia="Times New Roman" w:hAnsi="Arial" w:cs="Arial"/>
                <w:b/>
                <w:bCs/>
                <w:color w:val="0F0D29" w:themeColor="text1"/>
                <w:kern w:val="36"/>
                <w:sz w:val="24"/>
                <w:szCs w:val="20"/>
                <w:u w:val="none"/>
                <w:lang w:eastAsia="cs-CZ"/>
              </w:rPr>
              <w:t>zákona, kterým se mění některé zákony v souvislosti s přijetím zákona o ochraně oznamovatelů</w:t>
            </w:r>
          </w:p>
          <w:p w14:paraId="4068A59D" w14:textId="5EF216BB" w:rsidR="00D06200" w:rsidRDefault="00EF6723" w:rsidP="00A0491A">
            <w:pPr>
              <w:pStyle w:val="Bezmezer"/>
              <w:tabs>
                <w:tab w:val="left" w:pos="6336"/>
              </w:tabs>
              <w:jc w:val="center"/>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4"/>
                <w:u w:val="none"/>
                <w:lang w:eastAsia="cs-CZ"/>
              </w:rPr>
              <w:pict w14:anchorId="03DD6180">
                <v:rect id="_x0000_i1046" style="width:0;height:1.5pt" o:hralign="center" o:hrstd="t" o:hr="t" fillcolor="#a0a0a0" stroked="f"/>
              </w:pict>
            </w:r>
          </w:p>
          <w:p w14:paraId="3758759D" w14:textId="77777777" w:rsidR="00A0491A" w:rsidRDefault="00A0491A" w:rsidP="00A0491A">
            <w:pPr>
              <w:pStyle w:val="Bezmezer"/>
              <w:tabs>
                <w:tab w:val="left" w:pos="6336"/>
              </w:tabs>
              <w:jc w:val="right"/>
              <w:rPr>
                <w:rStyle w:val="Hypertextovodkaz"/>
                <w:rFonts w:ascii="Arial" w:eastAsia="Times New Roman" w:hAnsi="Arial" w:cs="Arial"/>
                <w:color w:val="0F0D29" w:themeColor="text1"/>
                <w:kern w:val="36"/>
                <w:sz w:val="20"/>
                <w:szCs w:val="16"/>
                <w:u w:val="none"/>
                <w:lang w:eastAsia="cs-CZ"/>
              </w:rPr>
            </w:pPr>
            <w:r>
              <w:rPr>
                <w:rStyle w:val="Hypertextovodkaz"/>
                <w:rFonts w:ascii="Arial" w:eastAsia="Times New Roman" w:hAnsi="Arial" w:cs="Arial"/>
                <w:color w:val="0F0D29" w:themeColor="text1"/>
                <w:kern w:val="36"/>
                <w:sz w:val="20"/>
                <w:szCs w:val="16"/>
                <w:u w:val="none"/>
                <w:lang w:eastAsia="cs-CZ"/>
              </w:rPr>
              <w:t>EKLEP</w:t>
            </w:r>
            <w:r>
              <w:t xml:space="preserve"> </w:t>
            </w:r>
            <w:r w:rsidRPr="00A0491A">
              <w:rPr>
                <w:rStyle w:val="Hypertextovodkaz"/>
                <w:rFonts w:ascii="Arial" w:eastAsia="Times New Roman" w:hAnsi="Arial" w:cs="Arial"/>
                <w:color w:val="0F0D29" w:themeColor="text1"/>
                <w:kern w:val="36"/>
                <w:sz w:val="20"/>
                <w:szCs w:val="16"/>
                <w:u w:val="none"/>
                <w:lang w:eastAsia="cs-CZ"/>
              </w:rPr>
              <w:t>KORNCDXG54QV</w:t>
            </w:r>
          </w:p>
          <w:p w14:paraId="0101CEBE" w14:textId="77777777" w:rsidR="00A0491A" w:rsidRDefault="00A0491A" w:rsidP="00A0491A">
            <w:pPr>
              <w:pStyle w:val="Bezmezer"/>
              <w:tabs>
                <w:tab w:val="left" w:pos="6336"/>
              </w:tabs>
              <w:jc w:val="right"/>
              <w:rPr>
                <w:rStyle w:val="Hypertextovodkaz"/>
                <w:rFonts w:ascii="Arial" w:eastAsia="Times New Roman" w:hAnsi="Arial" w:cs="Arial"/>
                <w:color w:val="0F0D29" w:themeColor="text1"/>
                <w:kern w:val="36"/>
                <w:sz w:val="20"/>
                <w:szCs w:val="16"/>
                <w:u w:val="none"/>
                <w:lang w:eastAsia="cs-CZ"/>
              </w:rPr>
            </w:pPr>
            <w:r>
              <w:rPr>
                <w:rStyle w:val="Hypertextovodkaz"/>
                <w:rFonts w:ascii="Arial" w:eastAsia="Times New Roman" w:hAnsi="Arial" w:cs="Arial"/>
                <w:color w:val="0F0D29" w:themeColor="text1"/>
                <w:kern w:val="36"/>
                <w:sz w:val="20"/>
                <w:szCs w:val="16"/>
                <w:u w:val="none"/>
                <w:lang w:eastAsia="cs-CZ"/>
              </w:rPr>
              <w:t>Mezirezortní připomínkové řízení</w:t>
            </w:r>
          </w:p>
          <w:p w14:paraId="685FABB0" w14:textId="77777777" w:rsidR="00A0491A" w:rsidRDefault="00A0491A" w:rsidP="00A0491A">
            <w:pPr>
              <w:pStyle w:val="Bezmezer"/>
              <w:tabs>
                <w:tab w:val="left" w:pos="6336"/>
              </w:tabs>
              <w:jc w:val="right"/>
              <w:rPr>
                <w:rStyle w:val="Hypertextovodkaz"/>
                <w:rFonts w:ascii="Arial" w:eastAsia="Times New Roman" w:hAnsi="Arial" w:cs="Arial"/>
                <w:color w:val="0F0D29" w:themeColor="text1"/>
                <w:kern w:val="36"/>
                <w:sz w:val="20"/>
                <w:szCs w:val="16"/>
                <w:u w:val="none"/>
                <w:lang w:eastAsia="cs-CZ"/>
              </w:rPr>
            </w:pPr>
          </w:p>
          <w:p w14:paraId="44E3B8B7" w14:textId="593025DF" w:rsidR="00A0491A" w:rsidRDefault="00A0491A" w:rsidP="00A0491A">
            <w:pPr>
              <w:pStyle w:val="Bezmezer"/>
              <w:tabs>
                <w:tab w:val="left" w:pos="6336"/>
              </w:tabs>
              <w:spacing w:line="360" w:lineRule="auto"/>
              <w:jc w:val="both"/>
              <w:rPr>
                <w:rStyle w:val="Hypertextovodkaz"/>
                <w:rFonts w:ascii="Arial" w:eastAsia="Times New Roman" w:hAnsi="Arial" w:cs="Arial"/>
                <w:color w:val="0F0D29" w:themeColor="text1"/>
                <w:kern w:val="36"/>
                <w:sz w:val="20"/>
                <w:szCs w:val="16"/>
                <w:u w:val="none"/>
                <w:lang w:eastAsia="cs-CZ"/>
              </w:rPr>
            </w:pPr>
            <w:r>
              <w:rPr>
                <w:rStyle w:val="Hypertextovodkaz"/>
                <w:rFonts w:ascii="Arial" w:eastAsia="Times New Roman" w:hAnsi="Arial" w:cs="Arial"/>
                <w:color w:val="0F0D29" w:themeColor="text1"/>
                <w:kern w:val="36"/>
                <w:sz w:val="20"/>
                <w:szCs w:val="16"/>
                <w:u w:val="none"/>
                <w:lang w:eastAsia="cs-CZ"/>
              </w:rPr>
              <w:t>Společně s návrhem zákona o ochraně oznamovatelů je předkládán rovněž návrh zákona, kterým se mění níže uvedené zákony</w:t>
            </w:r>
            <w:r>
              <w:t xml:space="preserve"> </w:t>
            </w:r>
            <w:r w:rsidRPr="00A0491A">
              <w:rPr>
                <w:rStyle w:val="Hypertextovodkaz"/>
                <w:rFonts w:ascii="Arial" w:eastAsia="Times New Roman" w:hAnsi="Arial" w:cs="Arial"/>
                <w:color w:val="0F0D29" w:themeColor="text1"/>
                <w:kern w:val="36"/>
                <w:sz w:val="20"/>
                <w:szCs w:val="16"/>
                <w:u w:val="none"/>
                <w:lang w:eastAsia="cs-CZ"/>
              </w:rPr>
              <w:t>v souvislosti s přijetím zákona o ochraně oznamovatelů</w:t>
            </w:r>
            <w:r>
              <w:rPr>
                <w:rStyle w:val="Hypertextovodkaz"/>
                <w:rFonts w:ascii="Arial" w:eastAsia="Times New Roman" w:hAnsi="Arial" w:cs="Arial"/>
                <w:color w:val="0F0D29" w:themeColor="text1"/>
                <w:kern w:val="36"/>
                <w:sz w:val="20"/>
                <w:szCs w:val="16"/>
                <w:u w:val="none"/>
                <w:lang w:eastAsia="cs-CZ"/>
              </w:rPr>
              <w:t>:</w:t>
            </w:r>
          </w:p>
          <w:p w14:paraId="24EA4370" w14:textId="4A29EEF6" w:rsidR="00A0491A" w:rsidRDefault="00A0491A" w:rsidP="00A0491A">
            <w:pPr>
              <w:pStyle w:val="Bezmezer"/>
              <w:tabs>
                <w:tab w:val="left" w:pos="6336"/>
              </w:tabs>
              <w:spacing w:line="360" w:lineRule="auto"/>
              <w:jc w:val="both"/>
              <w:rPr>
                <w:rStyle w:val="Hypertextovodkaz"/>
                <w:rFonts w:ascii="Arial" w:eastAsia="Times New Roman" w:hAnsi="Arial" w:cs="Arial"/>
                <w:color w:val="0F0D29" w:themeColor="text1"/>
                <w:kern w:val="36"/>
                <w:sz w:val="20"/>
                <w:szCs w:val="16"/>
                <w:u w:val="none"/>
                <w:lang w:eastAsia="cs-CZ"/>
              </w:rPr>
            </w:pPr>
          </w:p>
          <w:p w14:paraId="7572C02B" w14:textId="4037924A" w:rsidR="00A0491A" w:rsidRPr="00A0491A" w:rsidRDefault="00A0491A" w:rsidP="00A0491A">
            <w:pPr>
              <w:pStyle w:val="Bezmezer"/>
              <w:tabs>
                <w:tab w:val="left" w:pos="6336"/>
              </w:tabs>
              <w:spacing w:line="360" w:lineRule="auto"/>
              <w:jc w:val="both"/>
              <w:rPr>
                <w:rStyle w:val="Hypertextovodkaz"/>
                <w:rFonts w:ascii="Arial" w:eastAsia="Times New Roman" w:hAnsi="Arial" w:cs="Arial"/>
                <w:color w:val="0F0D29" w:themeColor="text1"/>
                <w:kern w:val="36"/>
                <w:sz w:val="20"/>
                <w:szCs w:val="16"/>
                <w:u w:val="none"/>
                <w:lang w:eastAsia="cs-CZ"/>
              </w:rPr>
            </w:pPr>
            <w:r w:rsidRPr="00A0491A">
              <w:rPr>
                <w:rStyle w:val="Hypertextovodkaz"/>
                <w:rFonts w:ascii="Arial" w:eastAsia="Times New Roman" w:hAnsi="Arial" w:cs="Arial"/>
                <w:color w:val="0F0D29" w:themeColor="text1"/>
                <w:kern w:val="36"/>
                <w:sz w:val="20"/>
                <w:szCs w:val="16"/>
                <w:u w:val="none"/>
                <w:lang w:eastAsia="cs-CZ"/>
              </w:rPr>
              <w:t>-č. 141/1961 Sb., o trestním řízení soudním (trestní řád), (dále jen „trestní řád“),</w:t>
            </w:r>
          </w:p>
          <w:p w14:paraId="4E432263" w14:textId="2EF3F0D5" w:rsidR="00A0491A" w:rsidRPr="00A0491A" w:rsidRDefault="00A0491A" w:rsidP="00A0491A">
            <w:pPr>
              <w:pStyle w:val="Bezmezer"/>
              <w:tabs>
                <w:tab w:val="left" w:pos="6336"/>
              </w:tabs>
              <w:spacing w:line="360" w:lineRule="auto"/>
              <w:jc w:val="both"/>
              <w:rPr>
                <w:rStyle w:val="Hypertextovodkaz"/>
                <w:rFonts w:ascii="Arial" w:eastAsia="Times New Roman" w:hAnsi="Arial" w:cs="Arial"/>
                <w:color w:val="0F0D29" w:themeColor="text1"/>
                <w:kern w:val="36"/>
                <w:sz w:val="20"/>
                <w:szCs w:val="16"/>
                <w:u w:val="none"/>
                <w:lang w:eastAsia="cs-CZ"/>
              </w:rPr>
            </w:pPr>
            <w:r w:rsidRPr="00A0491A">
              <w:rPr>
                <w:rStyle w:val="Hypertextovodkaz"/>
                <w:rFonts w:ascii="Arial" w:eastAsia="Times New Roman" w:hAnsi="Arial" w:cs="Arial"/>
                <w:color w:val="0F0D29" w:themeColor="text1"/>
                <w:kern w:val="36"/>
                <w:sz w:val="20"/>
                <w:szCs w:val="16"/>
                <w:u w:val="none"/>
                <w:lang w:eastAsia="cs-CZ"/>
              </w:rPr>
              <w:t>-č. 99/1963 Sb., občanský soudní řád (dále jen „občanský soudní řád“),</w:t>
            </w:r>
          </w:p>
          <w:p w14:paraId="008B180B" w14:textId="5F6AEDF3" w:rsidR="00A0491A" w:rsidRPr="00A0491A" w:rsidRDefault="00A0491A" w:rsidP="00A0491A">
            <w:pPr>
              <w:pStyle w:val="Bezmezer"/>
              <w:tabs>
                <w:tab w:val="left" w:pos="6336"/>
              </w:tabs>
              <w:spacing w:line="360" w:lineRule="auto"/>
              <w:jc w:val="both"/>
              <w:rPr>
                <w:rStyle w:val="Hypertextovodkaz"/>
                <w:rFonts w:ascii="Arial" w:eastAsia="Times New Roman" w:hAnsi="Arial" w:cs="Arial"/>
                <w:color w:val="0F0D29" w:themeColor="text1"/>
                <w:kern w:val="36"/>
                <w:sz w:val="20"/>
                <w:szCs w:val="16"/>
                <w:u w:val="none"/>
                <w:lang w:eastAsia="cs-CZ"/>
              </w:rPr>
            </w:pPr>
            <w:r w:rsidRPr="00A0491A">
              <w:rPr>
                <w:rStyle w:val="Hypertextovodkaz"/>
                <w:rFonts w:ascii="Arial" w:eastAsia="Times New Roman" w:hAnsi="Arial" w:cs="Arial"/>
                <w:color w:val="0F0D29" w:themeColor="text1"/>
                <w:kern w:val="36"/>
                <w:sz w:val="20"/>
                <w:szCs w:val="16"/>
                <w:u w:val="none"/>
                <w:lang w:eastAsia="cs-CZ"/>
              </w:rPr>
              <w:t>-č. 221/1999 Sb., o vojácích z povolání (dále jen „zákon o vojácích z povolání“),</w:t>
            </w:r>
          </w:p>
          <w:p w14:paraId="73261CEF" w14:textId="24376390" w:rsidR="00A0491A" w:rsidRPr="00A0491A" w:rsidRDefault="00A0491A" w:rsidP="00A0491A">
            <w:pPr>
              <w:pStyle w:val="Bezmezer"/>
              <w:tabs>
                <w:tab w:val="left" w:pos="6336"/>
              </w:tabs>
              <w:spacing w:line="360" w:lineRule="auto"/>
              <w:jc w:val="both"/>
              <w:rPr>
                <w:rStyle w:val="Hypertextovodkaz"/>
                <w:rFonts w:ascii="Arial" w:eastAsia="Times New Roman" w:hAnsi="Arial" w:cs="Arial"/>
                <w:color w:val="0F0D29" w:themeColor="text1"/>
                <w:kern w:val="36"/>
                <w:sz w:val="20"/>
                <w:szCs w:val="16"/>
                <w:u w:val="none"/>
                <w:lang w:eastAsia="cs-CZ"/>
              </w:rPr>
            </w:pPr>
            <w:r w:rsidRPr="00A0491A">
              <w:rPr>
                <w:rStyle w:val="Hypertextovodkaz"/>
                <w:rFonts w:ascii="Arial" w:eastAsia="Times New Roman" w:hAnsi="Arial" w:cs="Arial"/>
                <w:color w:val="0F0D29" w:themeColor="text1"/>
                <w:kern w:val="36"/>
                <w:sz w:val="20"/>
                <w:szCs w:val="16"/>
                <w:u w:val="none"/>
                <w:lang w:eastAsia="cs-CZ"/>
              </w:rPr>
              <w:t>-č. 137/2001 Sb., o zvláštní ochraně svědka,</w:t>
            </w:r>
          </w:p>
          <w:p w14:paraId="1830ECD9" w14:textId="7BF34E72" w:rsidR="00A0491A" w:rsidRPr="00A0491A" w:rsidRDefault="00A0491A" w:rsidP="00A0491A">
            <w:pPr>
              <w:pStyle w:val="Bezmezer"/>
              <w:tabs>
                <w:tab w:val="left" w:pos="6336"/>
              </w:tabs>
              <w:spacing w:line="360" w:lineRule="auto"/>
              <w:jc w:val="both"/>
              <w:rPr>
                <w:rStyle w:val="Hypertextovodkaz"/>
                <w:rFonts w:ascii="Arial" w:eastAsia="Times New Roman" w:hAnsi="Arial" w:cs="Arial"/>
                <w:color w:val="0F0D29" w:themeColor="text1"/>
                <w:kern w:val="36"/>
                <w:sz w:val="20"/>
                <w:szCs w:val="16"/>
                <w:u w:val="none"/>
                <w:lang w:eastAsia="cs-CZ"/>
              </w:rPr>
            </w:pPr>
            <w:r w:rsidRPr="00A0491A">
              <w:rPr>
                <w:rStyle w:val="Hypertextovodkaz"/>
                <w:rFonts w:ascii="Arial" w:eastAsia="Times New Roman" w:hAnsi="Arial" w:cs="Arial"/>
                <w:color w:val="0F0D29" w:themeColor="text1"/>
                <w:kern w:val="36"/>
                <w:sz w:val="20"/>
                <w:szCs w:val="16"/>
                <w:u w:val="none"/>
                <w:lang w:eastAsia="cs-CZ"/>
              </w:rPr>
              <w:t xml:space="preserve">-č. 150/2002 Sb., soudní řád správní (dále jen „soudní řád správní“), </w:t>
            </w:r>
          </w:p>
          <w:p w14:paraId="27FAEEC4" w14:textId="40156207" w:rsidR="00A0491A" w:rsidRPr="00A0491A" w:rsidRDefault="00A0491A" w:rsidP="00A0491A">
            <w:pPr>
              <w:pStyle w:val="Bezmezer"/>
              <w:tabs>
                <w:tab w:val="left" w:pos="6336"/>
              </w:tabs>
              <w:spacing w:line="360" w:lineRule="auto"/>
              <w:jc w:val="both"/>
              <w:rPr>
                <w:rStyle w:val="Hypertextovodkaz"/>
                <w:rFonts w:ascii="Arial" w:eastAsia="Times New Roman" w:hAnsi="Arial" w:cs="Arial"/>
                <w:color w:val="0F0D29" w:themeColor="text1"/>
                <w:kern w:val="36"/>
                <w:sz w:val="20"/>
                <w:szCs w:val="16"/>
                <w:u w:val="none"/>
                <w:lang w:eastAsia="cs-CZ"/>
              </w:rPr>
            </w:pPr>
            <w:r w:rsidRPr="00A0491A">
              <w:rPr>
                <w:rStyle w:val="Hypertextovodkaz"/>
                <w:rFonts w:ascii="Arial" w:eastAsia="Times New Roman" w:hAnsi="Arial" w:cs="Arial"/>
                <w:color w:val="0F0D29" w:themeColor="text1"/>
                <w:kern w:val="36"/>
                <w:sz w:val="20"/>
                <w:szCs w:val="16"/>
                <w:u w:val="none"/>
                <w:lang w:eastAsia="cs-CZ"/>
              </w:rPr>
              <w:t>-č. 361/2003 Sb., o služebním poměru příslušníků bezpečnostních sborů (dále jen „zákon o služebním poměru příslušníků“),</w:t>
            </w:r>
          </w:p>
          <w:p w14:paraId="60A695F1" w14:textId="0F5E6EB4" w:rsidR="00A0491A" w:rsidRPr="00A0491A" w:rsidRDefault="00A0491A" w:rsidP="00A0491A">
            <w:pPr>
              <w:pStyle w:val="Bezmezer"/>
              <w:tabs>
                <w:tab w:val="left" w:pos="6336"/>
              </w:tabs>
              <w:spacing w:line="360" w:lineRule="auto"/>
              <w:jc w:val="both"/>
              <w:rPr>
                <w:rStyle w:val="Hypertextovodkaz"/>
                <w:rFonts w:ascii="Arial" w:eastAsia="Times New Roman" w:hAnsi="Arial" w:cs="Arial"/>
                <w:color w:val="0F0D29" w:themeColor="text1"/>
                <w:kern w:val="36"/>
                <w:sz w:val="20"/>
                <w:szCs w:val="16"/>
                <w:u w:val="none"/>
                <w:lang w:eastAsia="cs-CZ"/>
              </w:rPr>
            </w:pPr>
            <w:r w:rsidRPr="00A0491A">
              <w:rPr>
                <w:rStyle w:val="Hypertextovodkaz"/>
                <w:rFonts w:ascii="Arial" w:eastAsia="Times New Roman" w:hAnsi="Arial" w:cs="Arial"/>
                <w:color w:val="0F0D29" w:themeColor="text1"/>
                <w:kern w:val="36"/>
                <w:sz w:val="20"/>
                <w:szCs w:val="16"/>
                <w:u w:val="none"/>
                <w:lang w:eastAsia="cs-CZ"/>
              </w:rPr>
              <w:t>-č. 262/2006 Sb., zákoník práce (dále jen „zákoník práce“),</w:t>
            </w:r>
          </w:p>
          <w:p w14:paraId="71D315FD" w14:textId="34C99FCC" w:rsidR="00A0491A" w:rsidRPr="00A0491A" w:rsidRDefault="00A0491A" w:rsidP="00A0491A">
            <w:pPr>
              <w:pStyle w:val="Bezmezer"/>
              <w:tabs>
                <w:tab w:val="left" w:pos="6336"/>
              </w:tabs>
              <w:spacing w:line="360" w:lineRule="auto"/>
              <w:jc w:val="both"/>
              <w:rPr>
                <w:rStyle w:val="Hypertextovodkaz"/>
                <w:rFonts w:ascii="Arial" w:eastAsia="Times New Roman" w:hAnsi="Arial" w:cs="Arial"/>
                <w:color w:val="0F0D29" w:themeColor="text1"/>
                <w:kern w:val="36"/>
                <w:sz w:val="20"/>
                <w:szCs w:val="16"/>
                <w:u w:val="none"/>
                <w:lang w:eastAsia="cs-CZ"/>
              </w:rPr>
            </w:pPr>
            <w:r w:rsidRPr="00A0491A">
              <w:rPr>
                <w:rStyle w:val="Hypertextovodkaz"/>
                <w:rFonts w:ascii="Arial" w:eastAsia="Times New Roman" w:hAnsi="Arial" w:cs="Arial"/>
                <w:color w:val="0F0D29" w:themeColor="text1"/>
                <w:kern w:val="36"/>
                <w:sz w:val="20"/>
                <w:szCs w:val="16"/>
                <w:u w:val="none"/>
                <w:lang w:eastAsia="cs-CZ"/>
              </w:rPr>
              <w:t>-č. 253/2008 Sb., o některých opatřeních proti legalizaci výnosů z trestné činnosti a financování terorismu (dále jen „AML zákon“),</w:t>
            </w:r>
          </w:p>
          <w:p w14:paraId="49FF8A23" w14:textId="360415A0" w:rsidR="00A0491A" w:rsidRPr="00A0491A" w:rsidRDefault="00A0491A" w:rsidP="00A0491A">
            <w:pPr>
              <w:pStyle w:val="Bezmezer"/>
              <w:tabs>
                <w:tab w:val="left" w:pos="6336"/>
              </w:tabs>
              <w:spacing w:line="360" w:lineRule="auto"/>
              <w:jc w:val="both"/>
              <w:rPr>
                <w:rStyle w:val="Hypertextovodkaz"/>
                <w:rFonts w:ascii="Arial" w:eastAsia="Times New Roman" w:hAnsi="Arial" w:cs="Arial"/>
                <w:color w:val="0F0D29" w:themeColor="text1"/>
                <w:kern w:val="36"/>
                <w:sz w:val="20"/>
                <w:szCs w:val="16"/>
                <w:u w:val="none"/>
                <w:lang w:eastAsia="cs-CZ"/>
              </w:rPr>
            </w:pPr>
            <w:r w:rsidRPr="00A0491A">
              <w:rPr>
                <w:rStyle w:val="Hypertextovodkaz"/>
                <w:rFonts w:ascii="Arial" w:eastAsia="Times New Roman" w:hAnsi="Arial" w:cs="Arial"/>
                <w:color w:val="0F0D29" w:themeColor="text1"/>
                <w:kern w:val="36"/>
                <w:sz w:val="20"/>
                <w:szCs w:val="16"/>
                <w:u w:val="none"/>
                <w:lang w:eastAsia="cs-CZ"/>
              </w:rPr>
              <w:t>-č. 273/2008 Sb., o Policii České republiky (dále jen „zákon o Policii ČR“),</w:t>
            </w:r>
          </w:p>
          <w:p w14:paraId="6B634B09" w14:textId="55BE5DA9" w:rsidR="00A0491A" w:rsidRPr="00A0491A" w:rsidRDefault="00A0491A" w:rsidP="00A0491A">
            <w:pPr>
              <w:pStyle w:val="Bezmezer"/>
              <w:tabs>
                <w:tab w:val="left" w:pos="6336"/>
              </w:tabs>
              <w:spacing w:line="360" w:lineRule="auto"/>
              <w:jc w:val="both"/>
              <w:rPr>
                <w:rStyle w:val="Hypertextovodkaz"/>
                <w:rFonts w:ascii="Arial" w:eastAsia="Times New Roman" w:hAnsi="Arial" w:cs="Arial"/>
                <w:color w:val="0F0D29" w:themeColor="text1"/>
                <w:kern w:val="36"/>
                <w:sz w:val="20"/>
                <w:szCs w:val="16"/>
                <w:u w:val="none"/>
                <w:lang w:eastAsia="cs-CZ"/>
              </w:rPr>
            </w:pPr>
            <w:r w:rsidRPr="00A0491A">
              <w:rPr>
                <w:rStyle w:val="Hypertextovodkaz"/>
                <w:rFonts w:ascii="Arial" w:eastAsia="Times New Roman" w:hAnsi="Arial" w:cs="Arial"/>
                <w:color w:val="0F0D29" w:themeColor="text1"/>
                <w:kern w:val="36"/>
                <w:sz w:val="20"/>
                <w:szCs w:val="16"/>
                <w:u w:val="none"/>
                <w:lang w:eastAsia="cs-CZ"/>
              </w:rPr>
              <w:t xml:space="preserve">-č. 40/2009 Sb., trestní zákoník, </w:t>
            </w:r>
          </w:p>
          <w:p w14:paraId="5B428ECE" w14:textId="031C01A0" w:rsidR="00A0491A" w:rsidRPr="00A0491A" w:rsidRDefault="00A0491A" w:rsidP="00A0491A">
            <w:pPr>
              <w:pStyle w:val="Bezmezer"/>
              <w:tabs>
                <w:tab w:val="left" w:pos="6336"/>
              </w:tabs>
              <w:spacing w:line="360" w:lineRule="auto"/>
              <w:jc w:val="both"/>
              <w:rPr>
                <w:rStyle w:val="Hypertextovodkaz"/>
                <w:rFonts w:ascii="Arial" w:eastAsia="Times New Roman" w:hAnsi="Arial" w:cs="Arial"/>
                <w:color w:val="0F0D29" w:themeColor="text1"/>
                <w:kern w:val="36"/>
                <w:sz w:val="20"/>
                <w:szCs w:val="16"/>
                <w:u w:val="none"/>
                <w:lang w:eastAsia="cs-CZ"/>
              </w:rPr>
            </w:pPr>
            <w:r w:rsidRPr="00A0491A">
              <w:rPr>
                <w:rStyle w:val="Hypertextovodkaz"/>
                <w:rFonts w:ascii="Arial" w:eastAsia="Times New Roman" w:hAnsi="Arial" w:cs="Arial"/>
                <w:color w:val="0F0D29" w:themeColor="text1"/>
                <w:kern w:val="36"/>
                <w:sz w:val="20"/>
                <w:szCs w:val="16"/>
                <w:u w:val="none"/>
                <w:lang w:eastAsia="cs-CZ"/>
              </w:rPr>
              <w:t>-č. 198/2009 Sb., o rovném zacházení a o právních prostředcích ochrany před diskriminací a o změně některých zákonů (antidiskriminační zákon), (dále jen „antidiskriminační zákon“)</w:t>
            </w:r>
          </w:p>
          <w:p w14:paraId="236D5C77" w14:textId="647719CF" w:rsidR="00A0491A" w:rsidRPr="00A0491A" w:rsidRDefault="00A0491A" w:rsidP="00A0491A">
            <w:pPr>
              <w:pStyle w:val="Bezmezer"/>
              <w:tabs>
                <w:tab w:val="left" w:pos="6336"/>
              </w:tabs>
              <w:spacing w:line="360" w:lineRule="auto"/>
              <w:jc w:val="both"/>
              <w:rPr>
                <w:rStyle w:val="Hypertextovodkaz"/>
                <w:rFonts w:ascii="Arial" w:eastAsia="Times New Roman" w:hAnsi="Arial" w:cs="Arial"/>
                <w:color w:val="0F0D29" w:themeColor="text1"/>
                <w:kern w:val="36"/>
                <w:sz w:val="20"/>
                <w:szCs w:val="16"/>
                <w:u w:val="none"/>
                <w:lang w:eastAsia="cs-CZ"/>
              </w:rPr>
            </w:pPr>
            <w:r w:rsidRPr="00A0491A">
              <w:rPr>
                <w:rStyle w:val="Hypertextovodkaz"/>
                <w:rFonts w:ascii="Arial" w:eastAsia="Times New Roman" w:hAnsi="Arial" w:cs="Arial"/>
                <w:color w:val="0F0D29" w:themeColor="text1"/>
                <w:kern w:val="36"/>
                <w:sz w:val="20"/>
                <w:szCs w:val="16"/>
                <w:u w:val="none"/>
                <w:lang w:eastAsia="cs-CZ"/>
              </w:rPr>
              <w:t>-č. 418/2011 Sb., o trestní odpovědnosti právnických osob a řízení proti nim,</w:t>
            </w:r>
          </w:p>
          <w:p w14:paraId="3580FCB9" w14:textId="48260D5E" w:rsidR="00A0491A" w:rsidRPr="00A0491A" w:rsidRDefault="00A0491A" w:rsidP="00A0491A">
            <w:pPr>
              <w:pStyle w:val="Bezmezer"/>
              <w:tabs>
                <w:tab w:val="left" w:pos="6336"/>
              </w:tabs>
              <w:spacing w:line="360" w:lineRule="auto"/>
              <w:jc w:val="both"/>
              <w:rPr>
                <w:rStyle w:val="Hypertextovodkaz"/>
                <w:rFonts w:ascii="Arial" w:eastAsia="Times New Roman" w:hAnsi="Arial" w:cs="Arial"/>
                <w:color w:val="0F0D29" w:themeColor="text1"/>
                <w:kern w:val="36"/>
                <w:sz w:val="20"/>
                <w:szCs w:val="16"/>
                <w:u w:val="none"/>
                <w:lang w:eastAsia="cs-CZ"/>
              </w:rPr>
            </w:pPr>
            <w:r w:rsidRPr="00A0491A">
              <w:rPr>
                <w:rStyle w:val="Hypertextovodkaz"/>
                <w:rFonts w:ascii="Arial" w:eastAsia="Times New Roman" w:hAnsi="Arial" w:cs="Arial"/>
                <w:color w:val="0F0D29" w:themeColor="text1"/>
                <w:kern w:val="36"/>
                <w:sz w:val="20"/>
                <w:szCs w:val="16"/>
                <w:u w:val="none"/>
                <w:lang w:eastAsia="cs-CZ"/>
              </w:rPr>
              <w:t>-č. 234/2014 Sb., o státní službě (dále jen „zákon o státní službě“), a</w:t>
            </w:r>
          </w:p>
          <w:p w14:paraId="45C133F3" w14:textId="76DBA098" w:rsidR="00A0491A" w:rsidRDefault="00A0491A" w:rsidP="00A0491A">
            <w:pPr>
              <w:pStyle w:val="Bezmezer"/>
              <w:tabs>
                <w:tab w:val="left" w:pos="6336"/>
              </w:tabs>
              <w:spacing w:line="360" w:lineRule="auto"/>
              <w:jc w:val="both"/>
              <w:rPr>
                <w:rStyle w:val="Hypertextovodkaz"/>
                <w:rFonts w:ascii="Arial" w:eastAsia="Times New Roman" w:hAnsi="Arial" w:cs="Arial"/>
                <w:color w:val="0F0D29" w:themeColor="text1"/>
                <w:kern w:val="36"/>
                <w:sz w:val="20"/>
                <w:szCs w:val="16"/>
                <w:u w:val="none"/>
                <w:lang w:eastAsia="cs-CZ"/>
              </w:rPr>
            </w:pPr>
            <w:r w:rsidRPr="00A0491A">
              <w:rPr>
                <w:rStyle w:val="Hypertextovodkaz"/>
                <w:rFonts w:ascii="Arial" w:eastAsia="Times New Roman" w:hAnsi="Arial" w:cs="Arial"/>
                <w:color w:val="0F0D29" w:themeColor="text1"/>
                <w:kern w:val="36"/>
                <w:sz w:val="20"/>
                <w:szCs w:val="16"/>
                <w:u w:val="none"/>
                <w:lang w:eastAsia="cs-CZ"/>
              </w:rPr>
              <w:t>-č. 250/2016 Sb., o odpovědnosti za přestupky a řízení o nich.</w:t>
            </w:r>
          </w:p>
          <w:p w14:paraId="72740DEE" w14:textId="16AEB441" w:rsidR="00A0491A" w:rsidRDefault="00A0491A" w:rsidP="00A0491A">
            <w:pPr>
              <w:pStyle w:val="Bezmezer"/>
              <w:tabs>
                <w:tab w:val="left" w:pos="6336"/>
              </w:tabs>
              <w:jc w:val="both"/>
              <w:rPr>
                <w:rStyle w:val="Hypertextovodkaz"/>
                <w:rFonts w:ascii="Arial" w:eastAsia="Times New Roman" w:hAnsi="Arial" w:cs="Arial"/>
                <w:color w:val="0F0D29" w:themeColor="text1"/>
                <w:kern w:val="36"/>
                <w:sz w:val="20"/>
                <w:szCs w:val="16"/>
                <w:u w:val="none"/>
                <w:lang w:eastAsia="cs-CZ"/>
              </w:rPr>
            </w:pPr>
          </w:p>
          <w:p w14:paraId="5CA8098D" w14:textId="36C81CFC" w:rsidR="00A0491A" w:rsidRPr="005078C0" w:rsidRDefault="00A0491A" w:rsidP="00A0491A">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 xml:space="preserve">OPS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35835CC3" w14:textId="77777777" w:rsidR="00A0491A" w:rsidRPr="005078C0" w:rsidRDefault="00A0491A" w:rsidP="00A0491A">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0B8A65F5" w14:textId="7D321FE1" w:rsidR="00A0491A" w:rsidRPr="005078C0" w:rsidRDefault="00A0491A" w:rsidP="00A0491A">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Odpovědný útvar</w:t>
            </w:r>
            <w:r>
              <w:rPr>
                <w:rStyle w:val="Hypertextovodkaz"/>
                <w:rFonts w:ascii="Arial" w:eastAsia="Times New Roman" w:hAnsi="Arial" w:cs="Arial"/>
                <w:b/>
                <w:bCs/>
                <w:i/>
                <w:color w:val="0F0D29" w:themeColor="text1"/>
                <w:kern w:val="36"/>
                <w:sz w:val="20"/>
                <w:szCs w:val="20"/>
                <w:u w:val="none"/>
                <w:lang w:eastAsia="cs-CZ"/>
              </w:rPr>
              <w:t>:</w:t>
            </w:r>
            <w:r>
              <w:rPr>
                <w:rStyle w:val="Hypertextovodkaz"/>
                <w:rFonts w:ascii="Arial" w:eastAsia="Times New Roman" w:hAnsi="Arial" w:cs="Arial"/>
                <w:i/>
                <w:color w:val="0F0D29" w:themeColor="text1"/>
                <w:kern w:val="36"/>
                <w:sz w:val="20"/>
                <w:szCs w:val="20"/>
                <w:u w:val="none"/>
                <w:lang w:eastAsia="cs-CZ"/>
              </w:rPr>
              <w:t xml:space="preserve"> OPS – Mgr. Pavel Císař</w:t>
            </w:r>
            <w:r w:rsidRPr="005078C0">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ab/>
            </w:r>
            <w:proofErr w:type="gramStart"/>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30.</w:t>
            </w:r>
            <w:proofErr w:type="gramEnd"/>
            <w:r>
              <w:rPr>
                <w:rStyle w:val="Hypertextovodkaz"/>
                <w:rFonts w:ascii="Arial" w:eastAsia="Times New Roman" w:hAnsi="Arial" w:cs="Arial"/>
                <w:b/>
                <w:bCs/>
                <w:i/>
                <w:color w:val="0F0D29" w:themeColor="text1"/>
                <w:kern w:val="36"/>
                <w:sz w:val="20"/>
                <w:szCs w:val="20"/>
                <w:u w:val="none"/>
                <w:lang w:eastAsia="cs-CZ"/>
              </w:rPr>
              <w:t xml:space="preserve"> 6. 2022</w:t>
            </w:r>
          </w:p>
          <w:p w14:paraId="4745D277" w14:textId="77777777" w:rsidR="00A0491A" w:rsidRDefault="00A0491A" w:rsidP="00A0491A">
            <w:pPr>
              <w:pStyle w:val="Bezmezer"/>
              <w:tabs>
                <w:tab w:val="left" w:pos="6336"/>
              </w:tabs>
              <w:jc w:val="both"/>
              <w:rPr>
                <w:rStyle w:val="Hypertextovodkaz"/>
                <w:rFonts w:ascii="Arial" w:eastAsia="Times New Roman" w:hAnsi="Arial" w:cs="Arial"/>
                <w:color w:val="0F0D29" w:themeColor="text1"/>
                <w:kern w:val="36"/>
                <w:sz w:val="20"/>
                <w:szCs w:val="16"/>
                <w:u w:val="none"/>
                <w:lang w:eastAsia="cs-CZ"/>
              </w:rPr>
            </w:pPr>
          </w:p>
          <w:p w14:paraId="126205C7" w14:textId="77777777" w:rsidR="00A0491A" w:rsidRDefault="00A0491A" w:rsidP="00A0491A">
            <w:pPr>
              <w:pStyle w:val="Bezmezer"/>
              <w:tabs>
                <w:tab w:val="left" w:pos="6336"/>
              </w:tabs>
              <w:jc w:val="both"/>
              <w:rPr>
                <w:rStyle w:val="Hypertextovodkaz"/>
                <w:rFonts w:ascii="Arial" w:eastAsia="Times New Roman" w:hAnsi="Arial" w:cs="Arial"/>
                <w:color w:val="0F0D29" w:themeColor="text1"/>
                <w:kern w:val="36"/>
                <w:sz w:val="20"/>
                <w:szCs w:val="16"/>
                <w:u w:val="none"/>
                <w:lang w:eastAsia="cs-CZ"/>
              </w:rPr>
            </w:pPr>
          </w:p>
          <w:p w14:paraId="6D8881D2" w14:textId="6F3229A2" w:rsidR="00A0491A" w:rsidRPr="00A0491A" w:rsidRDefault="00A0491A" w:rsidP="00A0491A">
            <w:pPr>
              <w:pStyle w:val="Bezmezer"/>
              <w:tabs>
                <w:tab w:val="left" w:pos="6336"/>
              </w:tabs>
              <w:jc w:val="both"/>
              <w:rPr>
                <w:rStyle w:val="Hypertextovodkaz"/>
                <w:rFonts w:ascii="Arial" w:eastAsia="Times New Roman" w:hAnsi="Arial" w:cs="Arial"/>
                <w:color w:val="0F0D29" w:themeColor="text1"/>
                <w:kern w:val="36"/>
                <w:sz w:val="20"/>
                <w:szCs w:val="16"/>
                <w:u w:val="none"/>
                <w:lang w:eastAsia="cs-CZ"/>
              </w:rPr>
            </w:pPr>
            <w:r>
              <w:rPr>
                <w:rStyle w:val="Hypertextovodkaz"/>
                <w:rFonts w:ascii="Arial" w:eastAsia="Times New Roman" w:hAnsi="Arial" w:cs="Arial"/>
                <w:color w:val="0F0D29" w:themeColor="text1"/>
                <w:kern w:val="36"/>
                <w:sz w:val="20"/>
                <w:szCs w:val="16"/>
                <w:u w:val="none"/>
                <w:lang w:eastAsia="cs-CZ"/>
              </w:rPr>
              <w:t xml:space="preserve">  </w:t>
            </w:r>
          </w:p>
          <w:p w14:paraId="19E09BC4" w14:textId="77777777" w:rsidR="00A0491A" w:rsidRDefault="00A0491A" w:rsidP="00A0491A">
            <w:pPr>
              <w:pStyle w:val="Bezmezer"/>
              <w:tabs>
                <w:tab w:val="left" w:pos="6336"/>
              </w:tabs>
              <w:jc w:val="center"/>
              <w:rPr>
                <w:rStyle w:val="Hypertextovodkaz"/>
                <w:rFonts w:ascii="Arial" w:eastAsia="Times New Roman" w:hAnsi="Arial" w:cs="Arial"/>
                <w:color w:val="0F0D29" w:themeColor="text1"/>
                <w:kern w:val="36"/>
                <w:sz w:val="24"/>
                <w:szCs w:val="20"/>
                <w:u w:val="none"/>
                <w:lang w:eastAsia="cs-CZ"/>
              </w:rPr>
            </w:pPr>
          </w:p>
          <w:p w14:paraId="6849FA16" w14:textId="77777777" w:rsidR="0014703E" w:rsidRPr="005078C0" w:rsidRDefault="0014703E" w:rsidP="005078C0">
            <w:pPr>
              <w:pStyle w:val="Bezmezer"/>
              <w:numPr>
                <w:ilvl w:val="0"/>
                <w:numId w:val="5"/>
              </w:numP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Stanoviska a judikatura</w:t>
            </w:r>
          </w:p>
          <w:bookmarkEnd w:id="0"/>
          <w:p w14:paraId="790BFC2D" w14:textId="77777777" w:rsidR="0014703E" w:rsidRPr="005078C0" w:rsidRDefault="0014703E" w:rsidP="008E3CAD">
            <w:pPr>
              <w:pStyle w:val="Bezmezer"/>
              <w:spacing w:line="276" w:lineRule="auto"/>
              <w:jc w:val="both"/>
              <w:rPr>
                <w:rStyle w:val="Hypertextovodkaz"/>
                <w:rFonts w:ascii="Arial" w:eastAsia="Times New Roman" w:hAnsi="Arial" w:cs="Arial"/>
                <w:bCs/>
                <w:color w:val="0F0D29" w:themeColor="text1"/>
                <w:kern w:val="36"/>
                <w:sz w:val="20"/>
                <w:szCs w:val="20"/>
                <w:u w:val="none"/>
                <w:lang w:eastAsia="cs-CZ"/>
              </w:rPr>
            </w:pPr>
          </w:p>
          <w:p w14:paraId="5BD6308C" w14:textId="1E6D3EDB" w:rsidR="0014703E" w:rsidRPr="005078C0" w:rsidRDefault="00BB4079" w:rsidP="008E3CAD">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sidRPr="00BB4079">
              <w:rPr>
                <w:rStyle w:val="Hypertextovodkaz"/>
                <w:rFonts w:ascii="Arial" w:eastAsia="Times New Roman" w:hAnsi="Arial" w:cs="Arial"/>
                <w:b/>
                <w:bCs/>
                <w:color w:val="0F0D29" w:themeColor="text1"/>
                <w:kern w:val="36"/>
                <w:sz w:val="24"/>
                <w:szCs w:val="20"/>
                <w:u w:val="none"/>
                <w:lang w:eastAsia="cs-CZ"/>
              </w:rPr>
              <w:lastRenderedPageBreak/>
              <w:t>Nepeněžní plnění ve formě benefitu od zaměstnavatele</w:t>
            </w:r>
            <w:r>
              <w:rPr>
                <w:rStyle w:val="Hypertextovodkaz"/>
                <w:rFonts w:ascii="Arial" w:eastAsia="Times New Roman" w:hAnsi="Arial" w:cs="Arial"/>
                <w:b/>
                <w:bCs/>
                <w:color w:val="0F0D29" w:themeColor="text1"/>
                <w:kern w:val="36"/>
                <w:sz w:val="24"/>
                <w:szCs w:val="24"/>
                <w:u w:val="none"/>
                <w:lang w:eastAsia="cs-CZ"/>
              </w:rPr>
              <w:t xml:space="preserve"> </w:t>
            </w:r>
            <w:r w:rsidR="00EF6723">
              <w:rPr>
                <w:rStyle w:val="Hypertextovodkaz"/>
                <w:rFonts w:ascii="Arial" w:eastAsia="Times New Roman" w:hAnsi="Arial" w:cs="Arial"/>
                <w:b/>
                <w:bCs/>
                <w:color w:val="0F0D29" w:themeColor="text1"/>
                <w:kern w:val="36"/>
                <w:sz w:val="24"/>
                <w:szCs w:val="24"/>
                <w:u w:val="none"/>
                <w:lang w:eastAsia="cs-CZ"/>
              </w:rPr>
              <w:pict w14:anchorId="51CE8951">
                <v:rect id="_x0000_i1047" style="width:0;height:1.5pt" o:hralign="center" o:hrstd="t" o:hr="t" fillcolor="#a0a0a0" stroked="f"/>
              </w:pict>
            </w:r>
          </w:p>
          <w:p w14:paraId="1BD954CC" w14:textId="77777777" w:rsidR="00BB4079" w:rsidRDefault="00BB4079" w:rsidP="008E3CAD">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 xml:space="preserve">Nejvyšší správní soud, sp. zn. </w:t>
            </w:r>
            <w:r w:rsidRPr="00BB4079">
              <w:rPr>
                <w:rStyle w:val="Hypertextovodkaz"/>
                <w:rFonts w:ascii="Arial" w:eastAsia="Times New Roman" w:hAnsi="Arial" w:cs="Arial"/>
                <w:bCs/>
                <w:color w:val="0F0D29" w:themeColor="text1"/>
                <w:kern w:val="36"/>
                <w:sz w:val="20"/>
                <w:szCs w:val="20"/>
                <w:u w:val="none"/>
                <w:lang w:eastAsia="cs-CZ"/>
              </w:rPr>
              <w:t xml:space="preserve">29 </w:t>
            </w:r>
            <w:proofErr w:type="spellStart"/>
            <w:r w:rsidRPr="00BB4079">
              <w:rPr>
                <w:rStyle w:val="Hypertextovodkaz"/>
                <w:rFonts w:ascii="Arial" w:eastAsia="Times New Roman" w:hAnsi="Arial" w:cs="Arial"/>
                <w:bCs/>
                <w:color w:val="0F0D29" w:themeColor="text1"/>
                <w:kern w:val="36"/>
                <w:sz w:val="20"/>
                <w:szCs w:val="20"/>
                <w:u w:val="none"/>
                <w:lang w:eastAsia="cs-CZ"/>
              </w:rPr>
              <w:t>Af</w:t>
            </w:r>
            <w:proofErr w:type="spellEnd"/>
            <w:r w:rsidRPr="00BB4079">
              <w:rPr>
                <w:rStyle w:val="Hypertextovodkaz"/>
                <w:rFonts w:ascii="Arial" w:eastAsia="Times New Roman" w:hAnsi="Arial" w:cs="Arial"/>
                <w:bCs/>
                <w:color w:val="0F0D29" w:themeColor="text1"/>
                <w:kern w:val="36"/>
                <w:sz w:val="20"/>
                <w:szCs w:val="20"/>
                <w:u w:val="none"/>
                <w:lang w:eastAsia="cs-CZ"/>
              </w:rPr>
              <w:t xml:space="preserve"> 89/2018-68</w:t>
            </w:r>
          </w:p>
          <w:p w14:paraId="431161C5" w14:textId="17D32FB1" w:rsidR="0014703E" w:rsidRPr="005078C0" w:rsidRDefault="00BB4079" w:rsidP="008E3CAD">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 xml:space="preserve">  </w:t>
            </w:r>
          </w:p>
          <w:p w14:paraId="0CE0A686" w14:textId="77777777" w:rsidR="0014703E" w:rsidRPr="005078C0" w:rsidRDefault="0014703E" w:rsidP="008E3CAD">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4AEE4065" w14:textId="46D6C3BB" w:rsidR="00BB4079" w:rsidRDefault="00BB4079" w:rsidP="008E3CAD">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BB4079">
              <w:rPr>
                <w:rStyle w:val="Hypertextovodkaz"/>
                <w:rFonts w:ascii="Arial" w:eastAsia="Times New Roman" w:hAnsi="Arial" w:cs="Arial"/>
                <w:bCs/>
                <w:color w:val="0F0D29" w:themeColor="text1"/>
                <w:kern w:val="36"/>
                <w:sz w:val="20"/>
                <w:szCs w:val="20"/>
                <w:u w:val="none"/>
                <w:lang w:eastAsia="cs-CZ"/>
              </w:rPr>
              <w:t>Zákon o dani z příjmů stanoví, že osvobozeným příjmem zaměstnance je nepeněžní plnění ve formě využití zdravotnických, vzdělávacích nebo rekreačních zařízení, příspěvku na kulturní či sportovní akce, které poskytuje zaměstnavatel zaměstnanci za splnění dalších podmínek dle zákona o dani z</w:t>
            </w:r>
            <w:r>
              <w:rPr>
                <w:rStyle w:val="Hypertextovodkaz"/>
                <w:rFonts w:ascii="Arial" w:eastAsia="Times New Roman" w:hAnsi="Arial" w:cs="Arial"/>
                <w:bCs/>
                <w:color w:val="0F0D29" w:themeColor="text1"/>
                <w:kern w:val="36"/>
                <w:sz w:val="20"/>
                <w:szCs w:val="20"/>
                <w:u w:val="none"/>
                <w:lang w:eastAsia="cs-CZ"/>
              </w:rPr>
              <w:t> </w:t>
            </w:r>
            <w:r w:rsidRPr="00BB4079">
              <w:rPr>
                <w:rStyle w:val="Hypertextovodkaz"/>
                <w:rFonts w:ascii="Arial" w:eastAsia="Times New Roman" w:hAnsi="Arial" w:cs="Arial"/>
                <w:bCs/>
                <w:color w:val="0F0D29" w:themeColor="text1"/>
                <w:kern w:val="36"/>
                <w:sz w:val="20"/>
                <w:szCs w:val="20"/>
                <w:u w:val="none"/>
                <w:lang w:eastAsia="cs-CZ"/>
              </w:rPr>
              <w:t>příjmů</w:t>
            </w:r>
            <w:r>
              <w:rPr>
                <w:rStyle w:val="Hypertextovodkaz"/>
                <w:rFonts w:ascii="Arial" w:eastAsia="Times New Roman" w:hAnsi="Arial" w:cs="Arial"/>
                <w:bCs/>
                <w:color w:val="0F0D29" w:themeColor="text1"/>
                <w:kern w:val="36"/>
                <w:sz w:val="20"/>
                <w:szCs w:val="20"/>
                <w:u w:val="none"/>
                <w:lang w:eastAsia="cs-CZ"/>
              </w:rPr>
              <w:t>.</w:t>
            </w:r>
          </w:p>
          <w:p w14:paraId="381FBE6B" w14:textId="34D8CE69" w:rsidR="00BB4079" w:rsidRDefault="00BB4079" w:rsidP="008E3CAD">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7BF56C6" w14:textId="37595069" w:rsidR="00BB4079" w:rsidRPr="00BB4079" w:rsidRDefault="00BB4079" w:rsidP="00BB4079">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BB4079">
              <w:rPr>
                <w:rStyle w:val="Hypertextovodkaz"/>
                <w:rFonts w:ascii="Arial" w:eastAsia="Times New Roman" w:hAnsi="Arial" w:cs="Arial"/>
                <w:bCs/>
                <w:color w:val="0F0D29" w:themeColor="text1"/>
                <w:kern w:val="36"/>
                <w:sz w:val="20"/>
                <w:szCs w:val="20"/>
                <w:u w:val="none"/>
                <w:lang w:eastAsia="cs-CZ"/>
              </w:rPr>
              <w:t>Nejvyšší správní soud potvrdil, že pro splnění podmínek osvobozeného příjmů zaměstnance může nepeněžní plnění od zaměstnavatele ve prospěch zaměstnance mít i tu podobu, kdy si zaměstnanec dané zboží nebo službu uhradí sám a zaměstnavatel mu poskytne účelově vázané finanční prostředky, ať již zálohově, nebo oproti již prokazatelně vynaloženým výdajům.</w:t>
            </w:r>
          </w:p>
          <w:p w14:paraId="0270E797" w14:textId="77777777" w:rsidR="00BB4079" w:rsidRPr="00BB4079" w:rsidRDefault="00BB4079" w:rsidP="00BB4079">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C736D2E" w14:textId="5E55EF52" w:rsidR="00BB4079" w:rsidRDefault="00BB4079" w:rsidP="00BB4079">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BB4079">
              <w:rPr>
                <w:rStyle w:val="Hypertextovodkaz"/>
                <w:rFonts w:ascii="Arial" w:eastAsia="Times New Roman" w:hAnsi="Arial" w:cs="Arial"/>
                <w:bCs/>
                <w:color w:val="0F0D29" w:themeColor="text1"/>
                <w:kern w:val="36"/>
                <w:sz w:val="20"/>
                <w:szCs w:val="20"/>
                <w:u w:val="none"/>
                <w:lang w:eastAsia="cs-CZ"/>
              </w:rPr>
              <w:t>Pro osvobození od daně z příjmů fyzických osob je důležité, aby prostředky byly použité na daný účel tak, jako by je vynakládal zaměstnavatel, a nikoliv to, zda dané zboží či službu hradí zaměstnavatel napřímo dodavateli.</w:t>
            </w:r>
          </w:p>
          <w:p w14:paraId="21CAF7C1" w14:textId="77777777" w:rsidR="00BB4079" w:rsidRPr="005078C0" w:rsidRDefault="00BB4079" w:rsidP="00BB4079">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02736A6C" w14:textId="0926B927" w:rsidR="0014703E" w:rsidRPr="005078C0" w:rsidRDefault="0014703E" w:rsidP="008E3CAD">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Na vědomí POŘ</w:t>
            </w:r>
            <w:r w:rsidR="00BA34E1">
              <w:rPr>
                <w:rStyle w:val="Hypertextovodkaz"/>
                <w:rFonts w:ascii="Arial" w:eastAsia="Times New Roman" w:hAnsi="Arial" w:cs="Arial"/>
                <w:bCs/>
                <w:i/>
                <w:color w:val="0F0D29" w:themeColor="text1"/>
                <w:kern w:val="36"/>
                <w:sz w:val="20"/>
                <w:szCs w:val="20"/>
                <w:u w:val="none"/>
                <w:lang w:eastAsia="cs-CZ"/>
              </w:rPr>
              <w:t xml:space="preserve"> a OŘLZ.</w:t>
            </w:r>
          </w:p>
          <w:p w14:paraId="20C669A8" w14:textId="77777777" w:rsidR="0014703E" w:rsidRPr="005078C0" w:rsidRDefault="0014703E" w:rsidP="008E3CAD">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40BD863C" w14:textId="6BE75A69" w:rsidR="009915F2" w:rsidRPr="005078C0" w:rsidRDefault="009915F2" w:rsidP="009915F2">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0"/>
                <w:u w:val="none"/>
                <w:lang w:eastAsia="cs-CZ"/>
              </w:rPr>
              <w:t>Právní domněnky ve smluvní dokumentaci</w:t>
            </w:r>
            <w:r>
              <w:rPr>
                <w:rStyle w:val="Hypertextovodkaz"/>
                <w:rFonts w:ascii="Arial" w:eastAsia="Times New Roman" w:hAnsi="Arial" w:cs="Arial"/>
                <w:b/>
                <w:bCs/>
                <w:color w:val="0F0D29" w:themeColor="text1"/>
                <w:kern w:val="36"/>
                <w:sz w:val="24"/>
                <w:szCs w:val="24"/>
                <w:u w:val="none"/>
                <w:lang w:eastAsia="cs-CZ"/>
              </w:rPr>
              <w:t xml:space="preserve"> </w:t>
            </w:r>
            <w:r w:rsidR="00EF6723">
              <w:rPr>
                <w:rStyle w:val="Hypertextovodkaz"/>
                <w:rFonts w:ascii="Arial" w:eastAsia="Times New Roman" w:hAnsi="Arial" w:cs="Arial"/>
                <w:b/>
                <w:bCs/>
                <w:color w:val="0F0D29" w:themeColor="text1"/>
                <w:kern w:val="36"/>
                <w:sz w:val="24"/>
                <w:szCs w:val="24"/>
                <w:u w:val="none"/>
                <w:lang w:eastAsia="cs-CZ"/>
              </w:rPr>
              <w:pict w14:anchorId="6047E232">
                <v:rect id="_x0000_i1048" style="width:0;height:1.5pt" o:hralign="center" o:hrstd="t" o:hr="t" fillcolor="#a0a0a0" stroked="f"/>
              </w:pict>
            </w:r>
          </w:p>
          <w:p w14:paraId="69C07B23" w14:textId="05E5B46D" w:rsidR="009915F2" w:rsidRPr="005078C0" w:rsidRDefault="009915F2" w:rsidP="009915F2">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sidRPr="009915F2">
              <w:rPr>
                <w:rStyle w:val="Hypertextovodkaz"/>
                <w:rFonts w:ascii="Arial" w:eastAsia="Times New Roman" w:hAnsi="Arial" w:cs="Arial"/>
                <w:bCs/>
                <w:color w:val="0F0D29" w:themeColor="text1"/>
                <w:kern w:val="36"/>
                <w:sz w:val="20"/>
                <w:szCs w:val="20"/>
                <w:u w:val="none"/>
                <w:lang w:eastAsia="cs-CZ"/>
              </w:rPr>
              <w:t>Nejvyšší soud</w:t>
            </w:r>
            <w:r>
              <w:rPr>
                <w:rStyle w:val="Hypertextovodkaz"/>
                <w:rFonts w:ascii="Arial" w:eastAsia="Times New Roman" w:hAnsi="Arial" w:cs="Arial"/>
                <w:bCs/>
                <w:color w:val="0F0D29" w:themeColor="text1"/>
                <w:kern w:val="36"/>
                <w:sz w:val="20"/>
                <w:szCs w:val="20"/>
                <w:u w:val="none"/>
                <w:lang w:eastAsia="cs-CZ"/>
              </w:rPr>
              <w:t>,</w:t>
            </w:r>
            <w:r w:rsidRPr="009915F2">
              <w:rPr>
                <w:rStyle w:val="Hypertextovodkaz"/>
                <w:rFonts w:ascii="Arial" w:eastAsia="Times New Roman" w:hAnsi="Arial" w:cs="Arial"/>
                <w:bCs/>
                <w:color w:val="0F0D29" w:themeColor="text1"/>
                <w:kern w:val="36"/>
                <w:sz w:val="20"/>
                <w:szCs w:val="20"/>
                <w:u w:val="none"/>
                <w:lang w:eastAsia="cs-CZ"/>
              </w:rPr>
              <w:t xml:space="preserve"> sp. zn. 23 Cdo 1001/2021</w:t>
            </w:r>
            <w:r>
              <w:rPr>
                <w:rStyle w:val="Hypertextovodkaz"/>
                <w:rFonts w:ascii="Arial" w:eastAsia="Times New Roman" w:hAnsi="Arial" w:cs="Arial"/>
                <w:bCs/>
                <w:color w:val="0F0D29" w:themeColor="text1"/>
                <w:kern w:val="36"/>
                <w:sz w:val="20"/>
                <w:szCs w:val="20"/>
                <w:u w:val="none"/>
                <w:lang w:eastAsia="cs-CZ"/>
              </w:rPr>
              <w:t xml:space="preserve">  </w:t>
            </w:r>
          </w:p>
          <w:p w14:paraId="1840D45F" w14:textId="77777777" w:rsidR="009915F2" w:rsidRPr="005078C0" w:rsidRDefault="009915F2" w:rsidP="009915F2">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13DC20D0" w14:textId="77777777" w:rsidR="009915F2" w:rsidRPr="009915F2" w:rsidRDefault="009915F2"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9915F2">
              <w:rPr>
                <w:rStyle w:val="Hypertextovodkaz"/>
                <w:rFonts w:ascii="Arial" w:eastAsia="Times New Roman" w:hAnsi="Arial" w:cs="Arial"/>
                <w:bCs/>
                <w:color w:val="0F0D29" w:themeColor="text1"/>
                <w:kern w:val="36"/>
                <w:sz w:val="20"/>
                <w:szCs w:val="20"/>
                <w:u w:val="none"/>
                <w:lang w:eastAsia="cs-CZ"/>
              </w:rPr>
              <w:t xml:space="preserve">Ujednání stran v soukromoprávní smlouvě, jež pro vyjádření určitého jimi předvídaného právního následku užily určitá typová sousloví (např. „považuje se“, „má se za“, „platí, že“), která v právních normách zpravidla naznačují, že jde o tzv. právní domněnky či právní fikce, nejsou pouze z tohoto důvodu neplatná. Je třeba i u takových ujednání v každém jednotlivém případě zkoumat, k jakému právnímu následku vůle stran směřovala, a zda takové ujednání není vzhledem ke konkrétním okolnostem věci zákonem zakázáno nebo se příčí dobrým mravům. </w:t>
            </w:r>
          </w:p>
          <w:p w14:paraId="7EE37525" w14:textId="77777777" w:rsidR="009915F2" w:rsidRPr="009915F2" w:rsidRDefault="009915F2"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712055F" w14:textId="77777777" w:rsidR="009915F2" w:rsidRPr="009915F2" w:rsidRDefault="009915F2"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9915F2">
              <w:rPr>
                <w:rStyle w:val="Hypertextovodkaz"/>
                <w:rFonts w:ascii="Arial" w:eastAsia="Times New Roman" w:hAnsi="Arial" w:cs="Arial"/>
                <w:bCs/>
                <w:color w:val="0F0D29" w:themeColor="text1"/>
                <w:kern w:val="36"/>
                <w:sz w:val="20"/>
                <w:szCs w:val="20"/>
                <w:u w:val="none"/>
                <w:lang w:eastAsia="cs-CZ"/>
              </w:rPr>
              <w:t>Při posouzení, zdali takové ujednání je v rozporu se zákonným zákazem nebo se příčí dobrým mravům, je třeba v každém jednotlivém případě zkoumat, co je obsahem daného ujednání. Současně je třeba hodnotit i právní postavení stran, v jakém ujednání uzavřely, zdali jde o rovnovážný vztah stran, např. podnikatelů, případně zdali jde o vztah podnikatele na straně jedné a slabší strany na straně druhé, ať už spotřebitele nebo podnikatele slabší strany.</w:t>
            </w:r>
          </w:p>
          <w:p w14:paraId="09651450" w14:textId="77777777" w:rsidR="009915F2" w:rsidRPr="009915F2" w:rsidRDefault="009915F2"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0B3AC77" w14:textId="05C8EBDA" w:rsidR="009915F2" w:rsidRDefault="009915F2"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9915F2">
              <w:rPr>
                <w:rStyle w:val="Hypertextovodkaz"/>
                <w:rFonts w:ascii="Arial" w:eastAsia="Times New Roman" w:hAnsi="Arial" w:cs="Arial"/>
                <w:bCs/>
                <w:color w:val="0F0D29" w:themeColor="text1"/>
                <w:kern w:val="36"/>
                <w:sz w:val="20"/>
                <w:szCs w:val="20"/>
                <w:u w:val="none"/>
                <w:lang w:eastAsia="cs-CZ"/>
              </w:rPr>
              <w:t>Dohoda dvou podnikatelů při jejich podnikatelské činnosti o tom, že „dílo se považuje za předané, nedostaví-li se objednatel bezdůvodně a opakovaně (nejméně 2x) k přejímce díla“, směřující ke smluvní úpravě podmínek předání díla jako jednoho z předpokladů vzniku práva zhotovitele na zaplacení ceny díla není právní úpravou občanského zákoníku sama o sobě zakázána, ani se bez dalšího nepříčí dobrým mravům.</w:t>
            </w:r>
          </w:p>
          <w:p w14:paraId="37EC3F9A" w14:textId="77777777" w:rsidR="009915F2" w:rsidRPr="005078C0" w:rsidRDefault="009915F2"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D50BFD9" w14:textId="002534FF" w:rsidR="009915F2" w:rsidRPr="005078C0" w:rsidRDefault="009915F2" w:rsidP="009915F2">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Na vědomí POŘ</w:t>
            </w:r>
            <w:r>
              <w:rPr>
                <w:rStyle w:val="Hypertextovodkaz"/>
                <w:rFonts w:ascii="Arial" w:eastAsia="Times New Roman" w:hAnsi="Arial" w:cs="Arial"/>
                <w:bCs/>
                <w:i/>
                <w:color w:val="0F0D29" w:themeColor="text1"/>
                <w:kern w:val="36"/>
                <w:sz w:val="20"/>
                <w:szCs w:val="20"/>
                <w:u w:val="none"/>
                <w:lang w:eastAsia="cs-CZ"/>
              </w:rPr>
              <w:t>.</w:t>
            </w:r>
          </w:p>
          <w:p w14:paraId="1DDCDDEC" w14:textId="7EE4B739" w:rsidR="009915F2" w:rsidRDefault="009915F2"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2755F2A8" w14:textId="77777777" w:rsidR="004646E1" w:rsidRPr="005078C0" w:rsidRDefault="004646E1"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57198C83" w14:textId="73FD7C5D" w:rsidR="004646E1" w:rsidRPr="005078C0" w:rsidRDefault="004646E1" w:rsidP="004646E1">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0"/>
                <w:u w:val="none"/>
                <w:lang w:eastAsia="cs-CZ"/>
              </w:rPr>
              <w:t>Zadržení věci věřitelem</w:t>
            </w:r>
            <w:r>
              <w:rPr>
                <w:rStyle w:val="Hypertextovodkaz"/>
                <w:rFonts w:ascii="Arial" w:eastAsia="Times New Roman" w:hAnsi="Arial" w:cs="Arial"/>
                <w:b/>
                <w:bCs/>
                <w:color w:val="0F0D29" w:themeColor="text1"/>
                <w:kern w:val="36"/>
                <w:sz w:val="24"/>
                <w:szCs w:val="24"/>
                <w:u w:val="none"/>
                <w:lang w:eastAsia="cs-CZ"/>
              </w:rPr>
              <w:t xml:space="preserve"> </w:t>
            </w:r>
            <w:r w:rsidR="00EF6723">
              <w:rPr>
                <w:rStyle w:val="Hypertextovodkaz"/>
                <w:rFonts w:ascii="Arial" w:eastAsia="Times New Roman" w:hAnsi="Arial" w:cs="Arial"/>
                <w:b/>
                <w:bCs/>
                <w:color w:val="0F0D29" w:themeColor="text1"/>
                <w:kern w:val="36"/>
                <w:sz w:val="24"/>
                <w:szCs w:val="24"/>
                <w:u w:val="none"/>
                <w:lang w:eastAsia="cs-CZ"/>
              </w:rPr>
              <w:pict w14:anchorId="27969687">
                <v:rect id="_x0000_i1049" style="width:0;height:1.5pt" o:hralign="center" o:hrstd="t" o:hr="t" fillcolor="#a0a0a0" stroked="f"/>
              </w:pict>
            </w:r>
          </w:p>
          <w:p w14:paraId="0A3064C5" w14:textId="5D1A37D8" w:rsidR="004646E1" w:rsidRPr="005078C0" w:rsidRDefault="004646E1" w:rsidP="004646E1">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sidRPr="009915F2">
              <w:rPr>
                <w:rStyle w:val="Hypertextovodkaz"/>
                <w:rFonts w:ascii="Arial" w:eastAsia="Times New Roman" w:hAnsi="Arial" w:cs="Arial"/>
                <w:bCs/>
                <w:color w:val="0F0D29" w:themeColor="text1"/>
                <w:kern w:val="36"/>
                <w:sz w:val="20"/>
                <w:szCs w:val="20"/>
                <w:u w:val="none"/>
                <w:lang w:eastAsia="cs-CZ"/>
              </w:rPr>
              <w:t>Nejvyšší soud</w:t>
            </w:r>
            <w:r>
              <w:rPr>
                <w:rStyle w:val="Hypertextovodkaz"/>
                <w:rFonts w:ascii="Arial" w:eastAsia="Times New Roman" w:hAnsi="Arial" w:cs="Arial"/>
                <w:bCs/>
                <w:color w:val="0F0D29" w:themeColor="text1"/>
                <w:kern w:val="36"/>
                <w:sz w:val="20"/>
                <w:szCs w:val="20"/>
                <w:u w:val="none"/>
                <w:lang w:eastAsia="cs-CZ"/>
              </w:rPr>
              <w:t>,</w:t>
            </w:r>
            <w:r w:rsidRPr="009915F2">
              <w:rPr>
                <w:rStyle w:val="Hypertextovodkaz"/>
                <w:rFonts w:ascii="Arial" w:eastAsia="Times New Roman" w:hAnsi="Arial" w:cs="Arial"/>
                <w:bCs/>
                <w:color w:val="0F0D29" w:themeColor="text1"/>
                <w:kern w:val="36"/>
                <w:sz w:val="20"/>
                <w:szCs w:val="20"/>
                <w:u w:val="none"/>
                <w:lang w:eastAsia="cs-CZ"/>
              </w:rPr>
              <w:t xml:space="preserve"> sp. zn. 23 Cdo 1001/2021</w:t>
            </w:r>
            <w:r>
              <w:rPr>
                <w:rStyle w:val="Hypertextovodkaz"/>
                <w:rFonts w:ascii="Arial" w:eastAsia="Times New Roman" w:hAnsi="Arial" w:cs="Arial"/>
                <w:bCs/>
                <w:color w:val="0F0D29" w:themeColor="text1"/>
                <w:kern w:val="36"/>
                <w:sz w:val="20"/>
                <w:szCs w:val="20"/>
                <w:u w:val="none"/>
                <w:lang w:eastAsia="cs-CZ"/>
              </w:rPr>
              <w:t xml:space="preserve">  </w:t>
            </w:r>
          </w:p>
          <w:p w14:paraId="7D96919C" w14:textId="77777777" w:rsidR="004646E1" w:rsidRPr="005078C0" w:rsidRDefault="004646E1" w:rsidP="004646E1">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1F2F8A1C" w14:textId="77777777" w:rsidR="004646E1" w:rsidRPr="004646E1" w:rsidRDefault="004646E1" w:rsidP="004646E1">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4646E1">
              <w:rPr>
                <w:rStyle w:val="Hypertextovodkaz"/>
                <w:rFonts w:ascii="Arial" w:eastAsia="Times New Roman" w:hAnsi="Arial" w:cs="Arial"/>
                <w:bCs/>
                <w:color w:val="0F0D29" w:themeColor="text1"/>
                <w:kern w:val="36"/>
                <w:sz w:val="20"/>
                <w:szCs w:val="20"/>
                <w:u w:val="none"/>
                <w:lang w:eastAsia="cs-CZ"/>
              </w:rPr>
              <w:t xml:space="preserve">Věřitel může zadržet cizí movitou věc – jak vyplývá z ustanovení § 1396 odst. 1 o. z. (a contrario) – jen tehdy, má-li ji u sebe „právem“, tedy (řečeno jinak) má-li ji ve své detenci, kterou získal na základě smlouvy nebo jiného právního důvodu, tj. v oprávněné detenci. Předpokladem pro to, aby věřitel měl věc, kterou hodlá zadržet, u sebe právem, je existence právního vztahu mezi věřitelem a dlužníkem, na jehož základě se věc dostala do moci věřitele. </w:t>
            </w:r>
          </w:p>
          <w:p w14:paraId="7DD2197A" w14:textId="77777777" w:rsidR="004646E1" w:rsidRPr="004646E1" w:rsidRDefault="004646E1" w:rsidP="004646E1">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00285E34" w14:textId="77777777" w:rsidR="004646E1" w:rsidRPr="004646E1" w:rsidRDefault="004646E1" w:rsidP="004646E1">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4646E1">
              <w:rPr>
                <w:rStyle w:val="Hypertextovodkaz"/>
                <w:rFonts w:ascii="Arial" w:eastAsia="Times New Roman" w:hAnsi="Arial" w:cs="Arial"/>
                <w:bCs/>
                <w:color w:val="0F0D29" w:themeColor="text1"/>
                <w:kern w:val="36"/>
                <w:sz w:val="20"/>
                <w:szCs w:val="20"/>
                <w:u w:val="none"/>
                <w:lang w:eastAsia="cs-CZ"/>
              </w:rPr>
              <w:t xml:space="preserve">Ustanovení § 1396 odst. 1 o. z. sice za slovem „zejména“ obsahuje výčet dvou (extrémních) případů, v nichž je uplatnění zadržovacího práva vyloučeno proto, že má věřitel u sebe věc „neprávem“, a to zmocnil-li se věřitel cizí movité věci násilně nebo zmocnil-li se jí lstí. Jedná se však (jak vyplývá </w:t>
            </w:r>
            <w:proofErr w:type="gramStart"/>
            <w:r w:rsidRPr="004646E1">
              <w:rPr>
                <w:rStyle w:val="Hypertextovodkaz"/>
                <w:rFonts w:ascii="Arial" w:eastAsia="Times New Roman" w:hAnsi="Arial" w:cs="Arial"/>
                <w:bCs/>
                <w:color w:val="0F0D29" w:themeColor="text1"/>
                <w:kern w:val="36"/>
                <w:sz w:val="20"/>
                <w:szCs w:val="20"/>
                <w:u w:val="none"/>
                <w:lang w:eastAsia="cs-CZ"/>
              </w:rPr>
              <w:t>ze</w:t>
            </w:r>
            <w:proofErr w:type="gramEnd"/>
            <w:r w:rsidRPr="004646E1">
              <w:rPr>
                <w:rStyle w:val="Hypertextovodkaz"/>
                <w:rFonts w:ascii="Arial" w:eastAsia="Times New Roman" w:hAnsi="Arial" w:cs="Arial"/>
                <w:bCs/>
                <w:color w:val="0F0D29" w:themeColor="text1"/>
                <w:kern w:val="36"/>
                <w:sz w:val="20"/>
                <w:szCs w:val="20"/>
                <w:u w:val="none"/>
                <w:lang w:eastAsia="cs-CZ"/>
              </w:rPr>
              <w:t xml:space="preserve"> zákonodárcem zvoleného výrazu „zejména“) pouze o demonstrativní výčet, v němž jsou explicitně zmíněny (zdůrazněny) dva extrémní případy vylučující uplatnění zadržovacího práva věřitelem a z něhož nelze dovozovat, že by násilí, lest, nebo jiná obdobná (extrémní) situace byla nutnou podmínkou pro to, aby mohl být učiněn závěr, že věřitel má u sebe věc „neprávem“ ve smyslu ustanovení § 1396 odst. 1 o. z., a že ji proto nesmí zadržet.</w:t>
            </w:r>
          </w:p>
          <w:p w14:paraId="27B28E30" w14:textId="77777777" w:rsidR="004646E1" w:rsidRPr="004646E1" w:rsidRDefault="004646E1" w:rsidP="004646E1">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276C3F0F" w14:textId="5B289F6D" w:rsidR="004646E1" w:rsidRDefault="004646E1" w:rsidP="004646E1">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4646E1">
              <w:rPr>
                <w:rStyle w:val="Hypertextovodkaz"/>
                <w:rFonts w:ascii="Arial" w:eastAsia="Times New Roman" w:hAnsi="Arial" w:cs="Arial"/>
                <w:bCs/>
                <w:color w:val="0F0D29" w:themeColor="text1"/>
                <w:kern w:val="36"/>
                <w:sz w:val="20"/>
                <w:szCs w:val="20"/>
                <w:u w:val="none"/>
                <w:lang w:eastAsia="cs-CZ"/>
              </w:rPr>
              <w:t>Z toho plyne, že věřitel nesmí zadržet cizí movitou věc nejen tehdy, zmocnil-li se jí násilně nebo lstí (anebo jiným obdobně extrémním způsobem), ale ani tehdy, má-li ji u sebe jinak „neprávem“ (tj. protiprávně nebo bez právního důvodu).</w:t>
            </w:r>
          </w:p>
          <w:p w14:paraId="40790C96" w14:textId="77777777" w:rsidR="004646E1" w:rsidRPr="005078C0" w:rsidRDefault="004646E1" w:rsidP="004646E1">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EBBE548" w14:textId="77777777" w:rsidR="004646E1" w:rsidRPr="005078C0" w:rsidRDefault="004646E1" w:rsidP="004646E1">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Na vědomí POŘ</w:t>
            </w:r>
            <w:r>
              <w:rPr>
                <w:rStyle w:val="Hypertextovodkaz"/>
                <w:rFonts w:ascii="Arial" w:eastAsia="Times New Roman" w:hAnsi="Arial" w:cs="Arial"/>
                <w:bCs/>
                <w:i/>
                <w:color w:val="0F0D29" w:themeColor="text1"/>
                <w:kern w:val="36"/>
                <w:sz w:val="20"/>
                <w:szCs w:val="20"/>
                <w:u w:val="none"/>
                <w:lang w:eastAsia="cs-CZ"/>
              </w:rPr>
              <w:t>.</w:t>
            </w:r>
          </w:p>
          <w:p w14:paraId="0957FC43" w14:textId="513EDAC6" w:rsidR="004646E1" w:rsidRDefault="004646E1" w:rsidP="004646E1">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2E12A834" w14:textId="5497A340" w:rsidR="00E702E0" w:rsidRPr="005078C0" w:rsidRDefault="00E702E0" w:rsidP="00E702E0">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sidRPr="00E702E0">
              <w:rPr>
                <w:rStyle w:val="Hypertextovodkaz"/>
                <w:rFonts w:ascii="Arial" w:eastAsia="Times New Roman" w:hAnsi="Arial" w:cs="Arial"/>
                <w:b/>
                <w:bCs/>
                <w:color w:val="0F0D29" w:themeColor="text1"/>
                <w:kern w:val="36"/>
                <w:sz w:val="24"/>
                <w:szCs w:val="20"/>
                <w:u w:val="none"/>
                <w:lang w:eastAsia="cs-CZ"/>
              </w:rPr>
              <w:t>Škoda způsobená porušením kontraktační povinnosti vybraného dodavatele</w:t>
            </w:r>
            <w:r w:rsidR="00EF6723">
              <w:rPr>
                <w:rStyle w:val="Hypertextovodkaz"/>
                <w:rFonts w:ascii="Arial" w:eastAsia="Times New Roman" w:hAnsi="Arial" w:cs="Arial"/>
                <w:b/>
                <w:bCs/>
                <w:color w:val="0F0D29" w:themeColor="text1"/>
                <w:kern w:val="36"/>
                <w:sz w:val="24"/>
                <w:szCs w:val="24"/>
                <w:u w:val="none"/>
                <w:lang w:eastAsia="cs-CZ"/>
              </w:rPr>
              <w:pict w14:anchorId="20CB308F">
                <v:rect id="_x0000_i1050" style="width:0;height:1.5pt" o:hralign="center" o:hrstd="t" o:hr="t" fillcolor="#a0a0a0" stroked="f"/>
              </w:pict>
            </w:r>
          </w:p>
          <w:p w14:paraId="1CCBACF5" w14:textId="0FC20C3E" w:rsidR="00E702E0" w:rsidRPr="005078C0" w:rsidRDefault="00E702E0" w:rsidP="00E702E0">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sidRPr="009915F2">
              <w:rPr>
                <w:rStyle w:val="Hypertextovodkaz"/>
                <w:rFonts w:ascii="Arial" w:eastAsia="Times New Roman" w:hAnsi="Arial" w:cs="Arial"/>
                <w:bCs/>
                <w:color w:val="0F0D29" w:themeColor="text1"/>
                <w:kern w:val="36"/>
                <w:sz w:val="20"/>
                <w:szCs w:val="20"/>
                <w:u w:val="none"/>
                <w:lang w:eastAsia="cs-CZ"/>
              </w:rPr>
              <w:t>Nejvyšší soud</w:t>
            </w:r>
            <w:r>
              <w:rPr>
                <w:rStyle w:val="Hypertextovodkaz"/>
                <w:rFonts w:ascii="Arial" w:eastAsia="Times New Roman" w:hAnsi="Arial" w:cs="Arial"/>
                <w:bCs/>
                <w:color w:val="0F0D29" w:themeColor="text1"/>
                <w:kern w:val="36"/>
                <w:sz w:val="20"/>
                <w:szCs w:val="20"/>
                <w:u w:val="none"/>
                <w:lang w:eastAsia="cs-CZ"/>
              </w:rPr>
              <w:t>,</w:t>
            </w:r>
            <w:r w:rsidRPr="009915F2">
              <w:rPr>
                <w:rStyle w:val="Hypertextovodkaz"/>
                <w:rFonts w:ascii="Arial" w:eastAsia="Times New Roman" w:hAnsi="Arial" w:cs="Arial"/>
                <w:bCs/>
                <w:color w:val="0F0D29" w:themeColor="text1"/>
                <w:kern w:val="36"/>
                <w:sz w:val="20"/>
                <w:szCs w:val="20"/>
                <w:u w:val="none"/>
                <w:lang w:eastAsia="cs-CZ"/>
              </w:rPr>
              <w:t xml:space="preserve"> sp. zn. </w:t>
            </w:r>
            <w:r w:rsidRPr="00E702E0">
              <w:rPr>
                <w:rStyle w:val="Hypertextovodkaz"/>
                <w:rFonts w:ascii="Arial" w:eastAsia="Times New Roman" w:hAnsi="Arial" w:cs="Arial"/>
                <w:bCs/>
                <w:color w:val="0F0D29" w:themeColor="text1"/>
                <w:kern w:val="36"/>
                <w:sz w:val="20"/>
                <w:szCs w:val="20"/>
                <w:u w:val="none"/>
                <w:lang w:eastAsia="cs-CZ"/>
              </w:rPr>
              <w:t>25 Cdo 3063/2018</w:t>
            </w:r>
          </w:p>
          <w:p w14:paraId="4CB6F338" w14:textId="77777777" w:rsidR="00E702E0" w:rsidRPr="005078C0" w:rsidRDefault="00E702E0" w:rsidP="00E702E0">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5410FAD8" w14:textId="77777777" w:rsidR="00E702E0" w:rsidRPr="004646E1" w:rsidRDefault="00E702E0" w:rsidP="00E702E0">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2A7416F9" w14:textId="29B8E920" w:rsidR="00E702E0" w:rsidRDefault="00E702E0" w:rsidP="00E702E0">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Nejvyšší soud posuzoval možnost vzniku škody v situaci, kdy</w:t>
            </w:r>
            <w:r w:rsidRPr="00E702E0">
              <w:rPr>
                <w:rStyle w:val="Hypertextovodkaz"/>
                <w:rFonts w:ascii="Arial" w:eastAsia="Times New Roman" w:hAnsi="Arial" w:cs="Arial"/>
                <w:bCs/>
                <w:color w:val="0F0D29" w:themeColor="text1"/>
                <w:kern w:val="36"/>
                <w:sz w:val="20"/>
                <w:szCs w:val="20"/>
                <w:u w:val="none"/>
                <w:lang w:eastAsia="cs-CZ"/>
              </w:rPr>
              <w:t xml:space="preserve"> zadavateli veřejné zakázky v případě, že vybraný dodavatel neuzavře smlouvu na veřejnou zakázku, a zadavatel je tak nucen uzavřít smlouvu s dodavatelem umístěným ve druhém (či dalším) pořadí, v důsledku čehož musí akceptovat vyšší nabídkovou cenu oproti nabídkové ceně původně vybraného dodavatele.</w:t>
            </w:r>
          </w:p>
          <w:p w14:paraId="35D44CA3" w14:textId="2C8CE527" w:rsidR="00E702E0" w:rsidRDefault="00E702E0" w:rsidP="00E702E0">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343FDE23" w14:textId="1E1D1C52" w:rsidR="00E702E0" w:rsidRDefault="00E702E0" w:rsidP="00E702E0">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Dle názoru Nejvyššího soudu z</w:t>
            </w:r>
            <w:r w:rsidRPr="00E702E0">
              <w:rPr>
                <w:rStyle w:val="Hypertextovodkaz"/>
                <w:rFonts w:ascii="Arial" w:eastAsia="Times New Roman" w:hAnsi="Arial" w:cs="Arial"/>
                <w:bCs/>
                <w:color w:val="0F0D29" w:themeColor="text1"/>
                <w:kern w:val="36"/>
                <w:sz w:val="20"/>
                <w:szCs w:val="20"/>
                <w:u w:val="none"/>
                <w:lang w:eastAsia="cs-CZ"/>
              </w:rPr>
              <w:t>adavatel veřejné zakázky, který postupem odpovídajícím zákonu uzavřel smlouvu o dodávce služeb s uchazečem, který se umístil v soutěži na druhém místě, nemá právo na náhradu škody vůči vítězi soutěže ve výši rozdílu mezi dosaženou cenou a nižší cenou, kterou by vynaložil při předpokládaném uzavření smlouvy s vítězem, byť by vítěz porušil povinnost uzavřít smlouvu</w:t>
            </w:r>
            <w:r>
              <w:rPr>
                <w:rStyle w:val="Hypertextovodkaz"/>
                <w:rFonts w:ascii="Arial" w:eastAsia="Times New Roman" w:hAnsi="Arial" w:cs="Arial"/>
                <w:bCs/>
                <w:color w:val="0F0D29" w:themeColor="text1"/>
                <w:kern w:val="36"/>
                <w:sz w:val="20"/>
                <w:szCs w:val="20"/>
                <w:u w:val="none"/>
                <w:lang w:eastAsia="cs-CZ"/>
              </w:rPr>
              <w:t>.</w:t>
            </w:r>
          </w:p>
          <w:p w14:paraId="5DD42C1C" w14:textId="77777777" w:rsidR="00DD262D" w:rsidRDefault="00DD262D" w:rsidP="00E702E0">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10E2DBD" w14:textId="244249FC" w:rsidR="00F5617F" w:rsidRPr="00DD262D" w:rsidRDefault="00E702E0" w:rsidP="00DD262D">
            <w:pPr>
              <w:pStyle w:val="Bezmezer"/>
              <w:shd w:val="clear" w:color="auto" w:fill="D9D9D9" w:themeFill="background1" w:themeFillShade="D9"/>
              <w:spacing w:line="276" w:lineRule="auto"/>
              <w:jc w:val="both"/>
              <w:rPr>
                <w:rFonts w:ascii="Arial" w:eastAsia="Times New Roman" w:hAnsi="Arial" w:cs="Arial"/>
                <w:b/>
                <w:bCs/>
                <w:i/>
                <w:color w:val="0F0D29" w:themeColor="text1"/>
                <w:kern w:val="36"/>
                <w:sz w:val="20"/>
                <w:szCs w:val="20"/>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Na vědomí POŘ</w:t>
            </w:r>
            <w:r>
              <w:rPr>
                <w:rStyle w:val="Hypertextovodkaz"/>
                <w:rFonts w:ascii="Arial" w:eastAsia="Times New Roman" w:hAnsi="Arial" w:cs="Arial"/>
                <w:bCs/>
                <w:i/>
                <w:color w:val="0F0D29" w:themeColor="text1"/>
                <w:kern w:val="36"/>
                <w:sz w:val="20"/>
                <w:szCs w:val="20"/>
                <w:u w:val="none"/>
                <w:lang w:eastAsia="cs-CZ"/>
              </w:rPr>
              <w:t>.</w:t>
            </w:r>
          </w:p>
        </w:tc>
      </w:tr>
    </w:tbl>
    <w:p w14:paraId="5AA11FCB" w14:textId="724D8F07" w:rsidR="00D36AB7" w:rsidRDefault="00D36AB7" w:rsidP="00142E9F">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2474E90B" w14:textId="77777777" w:rsidR="00D36AB7" w:rsidRDefault="00D36AB7" w:rsidP="00142E9F">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1721B0D7" w14:textId="06FC9D6B" w:rsidR="00142E9F" w:rsidRPr="005078C0" w:rsidRDefault="00142E9F" w:rsidP="00142E9F">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0"/>
          <w:u w:val="none"/>
          <w:lang w:eastAsia="cs-CZ"/>
        </w:rPr>
        <w:lastRenderedPageBreak/>
        <w:t>Prostý elektronický podpis v soudní praxi</w:t>
      </w:r>
      <w:r w:rsidR="00EF6723">
        <w:rPr>
          <w:rStyle w:val="Hypertextovodkaz"/>
          <w:rFonts w:ascii="Arial" w:eastAsia="Times New Roman" w:hAnsi="Arial" w:cs="Arial"/>
          <w:b/>
          <w:bCs/>
          <w:color w:val="0F0D29" w:themeColor="text1"/>
          <w:kern w:val="36"/>
          <w:sz w:val="24"/>
          <w:szCs w:val="24"/>
          <w:u w:val="none"/>
          <w:lang w:eastAsia="cs-CZ"/>
        </w:rPr>
        <w:pict w14:anchorId="7E0B6B56">
          <v:rect id="_x0000_i1051" style="width:0;height:1.5pt" o:hralign="center" o:hrstd="t" o:hr="t" fillcolor="#a0a0a0" stroked="f"/>
        </w:pict>
      </w:r>
    </w:p>
    <w:p w14:paraId="7E4F2E13" w14:textId="77777777" w:rsidR="00142E9F" w:rsidRDefault="00142E9F" w:rsidP="00142E9F">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670BDA3E" w14:textId="77777777" w:rsidR="00B37492" w:rsidRPr="00C4729D" w:rsidRDefault="00B37492" w:rsidP="00B37492">
      <w:pPr>
        <w:pStyle w:val="Bezmezer"/>
        <w:spacing w:line="360" w:lineRule="auto"/>
        <w:jc w:val="both"/>
        <w:rPr>
          <w:rStyle w:val="Hypertextovodkaz"/>
          <w:rFonts w:ascii="Arial" w:eastAsia="Times New Roman" w:hAnsi="Arial" w:cs="Arial"/>
          <w:b/>
          <w:color w:val="0F0D29" w:themeColor="text1"/>
          <w:kern w:val="36"/>
          <w:sz w:val="20"/>
          <w:szCs w:val="20"/>
          <w:u w:val="none"/>
          <w:lang w:eastAsia="cs-CZ"/>
        </w:rPr>
      </w:pPr>
      <w:r w:rsidRPr="00C4729D">
        <w:rPr>
          <w:rStyle w:val="Hypertextovodkaz"/>
          <w:rFonts w:ascii="Arial" w:eastAsia="Times New Roman" w:hAnsi="Arial" w:cs="Arial"/>
          <w:b/>
          <w:color w:val="0F0D29" w:themeColor="text1"/>
          <w:kern w:val="36"/>
          <w:sz w:val="20"/>
          <w:szCs w:val="20"/>
          <w:u w:val="none"/>
          <w:lang w:eastAsia="cs-CZ"/>
        </w:rPr>
        <w:t>Rozsudek Okresního soudu v Blansku sp. zn. 3 C 173/2021, ze dne 2. 12. 2021:</w:t>
      </w:r>
    </w:p>
    <w:p w14:paraId="4CC069D8" w14:textId="77777777" w:rsidR="00B37492" w:rsidRPr="00B37492" w:rsidRDefault="00B37492" w:rsidP="00B3749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D900822" w14:textId="6C2E0F5B" w:rsidR="00B37492" w:rsidRPr="00B37492" w:rsidRDefault="00B37492" w:rsidP="00B3749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B37492">
        <w:rPr>
          <w:rStyle w:val="Hypertextovodkaz"/>
          <w:rFonts w:ascii="Arial" w:eastAsia="Times New Roman" w:hAnsi="Arial" w:cs="Arial"/>
          <w:bCs/>
          <w:color w:val="0F0D29" w:themeColor="text1"/>
          <w:kern w:val="36"/>
          <w:sz w:val="20"/>
          <w:szCs w:val="20"/>
          <w:u w:val="none"/>
          <w:lang w:eastAsia="cs-CZ"/>
        </w:rPr>
        <w:t>Obyčejným, prostým elektronickým podpisem může být nejen např. skenovaný vlastnoruční podpis, nebo speciální kód (PIN, heslo, ID apod.), kterým osoba disponuje, ale i řetězec jednotlivých znaků tvořících jméno a příjmení v textu zprávy zaslané z určité adresy elektronické pošty. Nicméně v rámci soudního řízení je nutné takové uzavření smlouvy prokázat.</w:t>
      </w:r>
    </w:p>
    <w:p w14:paraId="1994F791" w14:textId="77777777" w:rsidR="00B37492" w:rsidRPr="00B37492" w:rsidRDefault="00B37492" w:rsidP="00B3749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39BA4F0F" w14:textId="36AE60D9" w:rsidR="00142E9F" w:rsidRDefault="00B37492" w:rsidP="00B3749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B37492">
        <w:rPr>
          <w:rStyle w:val="Hypertextovodkaz"/>
          <w:rFonts w:ascii="Arial" w:eastAsia="Times New Roman" w:hAnsi="Arial" w:cs="Arial"/>
          <w:bCs/>
          <w:color w:val="0F0D29" w:themeColor="text1"/>
          <w:kern w:val="36"/>
          <w:sz w:val="20"/>
          <w:szCs w:val="20"/>
          <w:u w:val="none"/>
          <w:lang w:eastAsia="cs-CZ"/>
        </w:rPr>
        <w:t>Žalobkyně tvrdila, že žalovaný se zaregistroval zadáním osobních údajů včetně telefonního čísla a e-mailové adresy, čímž zahájil kroky ke zřízení uživatelského účtu; následně byl žalovanému v rámci webového rozhraní zaslán návrh úvěrové smlouvy, což žalovaný odsouhlasil verifikačním kódem s tím, že kód nahrazuje fyzický podpis smlouvy. K žádné z těchto tvrzených skutečností však žalobkyně nenavrhla důkazy, kterými by bylo možné prokázat, že k takovému průběhu událostí opravdu došlo. Mohl by např. být navržen důkaz počítačovým systémem, který obsahuje záznamy údajů o právních jednáních. Pokud by zároveň bylo prokázáno, že se záznamy provádějí se systematicky a posloupně a jsou chráněny proti změnám, mohla by se uplatnit vyvratitelná právní domněnka stanovená v § 562 odst. 2 o. z., že záznamy v takovém elektronickém systému jsou spolehlivé. Důkaz počítačovým systémem však navržen nebyl a z důkazů, které žalobkyně navrhla a předložila, nevyplývá, že by žalovaný (elektronickým) podpisem vyjádřil svůj souhlas se smlouvou. Proto není možné uzavřít, že by žalovaný byl smlouvou vázán.</w:t>
      </w:r>
    </w:p>
    <w:p w14:paraId="5AC63514" w14:textId="00EF2EB7" w:rsidR="00C4729D" w:rsidRDefault="00C4729D" w:rsidP="00B3749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535DFB3B" w14:textId="77777777" w:rsidR="00C4729D" w:rsidRPr="00C4729D" w:rsidRDefault="00C4729D" w:rsidP="00C4729D">
      <w:pPr>
        <w:pStyle w:val="Bezmezer"/>
        <w:spacing w:line="360" w:lineRule="auto"/>
        <w:jc w:val="both"/>
        <w:rPr>
          <w:rStyle w:val="Hypertextovodkaz"/>
          <w:rFonts w:ascii="Arial" w:eastAsia="Times New Roman" w:hAnsi="Arial" w:cs="Arial"/>
          <w:b/>
          <w:color w:val="0F0D29" w:themeColor="text1"/>
          <w:kern w:val="36"/>
          <w:sz w:val="20"/>
          <w:szCs w:val="20"/>
          <w:u w:val="none"/>
          <w:lang w:eastAsia="cs-CZ"/>
        </w:rPr>
      </w:pPr>
      <w:r w:rsidRPr="00C4729D">
        <w:rPr>
          <w:rStyle w:val="Hypertextovodkaz"/>
          <w:rFonts w:ascii="Arial" w:eastAsia="Times New Roman" w:hAnsi="Arial" w:cs="Arial"/>
          <w:b/>
          <w:color w:val="0F0D29" w:themeColor="text1"/>
          <w:kern w:val="36"/>
          <w:sz w:val="20"/>
          <w:szCs w:val="20"/>
          <w:u w:val="none"/>
          <w:lang w:eastAsia="cs-CZ"/>
        </w:rPr>
        <w:t>Rozsudek Okresního soudu v České Lípě sp. zn. 48 C 347/2021, ze dne 20. 10. 2021:</w:t>
      </w:r>
    </w:p>
    <w:p w14:paraId="577BF76D" w14:textId="77777777" w:rsidR="00C4729D" w:rsidRPr="00C4729D" w:rsidRDefault="00C4729D" w:rsidP="00C4729D">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2DFCBEA" w14:textId="489D502C" w:rsidR="00C4729D" w:rsidRDefault="00C4729D" w:rsidP="00C4729D">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C4729D">
        <w:rPr>
          <w:rStyle w:val="Hypertextovodkaz"/>
          <w:rFonts w:ascii="Arial" w:eastAsia="Times New Roman" w:hAnsi="Arial" w:cs="Arial"/>
          <w:bCs/>
          <w:color w:val="0F0D29" w:themeColor="text1"/>
          <w:kern w:val="36"/>
          <w:sz w:val="20"/>
          <w:szCs w:val="20"/>
          <w:u w:val="none"/>
          <w:lang w:eastAsia="cs-CZ"/>
        </w:rPr>
        <w:t xml:space="preserve">„…Jiným předpisem se myslí zákon č. 297/2016 Sb., o službách vytvářejících důvěru pro elektronické transakce a nepochybně i přímo použitelné nařízení </w:t>
      </w:r>
      <w:proofErr w:type="spellStart"/>
      <w:r w:rsidRPr="00C4729D">
        <w:rPr>
          <w:rStyle w:val="Hypertextovodkaz"/>
          <w:rFonts w:ascii="Arial" w:eastAsia="Times New Roman" w:hAnsi="Arial" w:cs="Arial"/>
          <w:bCs/>
          <w:color w:val="0F0D29" w:themeColor="text1"/>
          <w:kern w:val="36"/>
          <w:sz w:val="20"/>
          <w:szCs w:val="20"/>
          <w:u w:val="none"/>
          <w:lang w:eastAsia="cs-CZ"/>
        </w:rPr>
        <w:t>eIDAS</w:t>
      </w:r>
      <w:proofErr w:type="spellEnd"/>
      <w:r w:rsidRPr="00C4729D">
        <w:rPr>
          <w:rStyle w:val="Hypertextovodkaz"/>
          <w:rFonts w:ascii="Arial" w:eastAsia="Times New Roman" w:hAnsi="Arial" w:cs="Arial"/>
          <w:bCs/>
          <w:color w:val="0F0D29" w:themeColor="text1"/>
          <w:kern w:val="36"/>
          <w:sz w:val="20"/>
          <w:szCs w:val="20"/>
          <w:u w:val="none"/>
          <w:lang w:eastAsia="cs-CZ"/>
        </w:rPr>
        <w:t>. Uvedené předpisy sice umožňují užít k podpisu právního jednání tzv. prostý elektronický podpis (který však současně nijak nedefinují), tedy podpis za užití PIN kódu, soud však dospěl k závěru, že takový prostý elektronický podpis nemůže vyvolat žádané právní účinky, tj. platné uzavření smlouvy o zápůjčce. Tzv. prostému elektronickému podpisu totiž nelze přiznat účinky rovnocenné vlastnoručnímu podpisu u doposud</w:t>
      </w:r>
      <w:r w:rsidR="00A404F7">
        <w:rPr>
          <w:rStyle w:val="Hypertextovodkaz"/>
          <w:rFonts w:ascii="Arial" w:eastAsia="Times New Roman" w:hAnsi="Arial" w:cs="Arial"/>
          <w:bCs/>
          <w:color w:val="0F0D29" w:themeColor="text1"/>
          <w:kern w:val="36"/>
          <w:sz w:val="20"/>
          <w:szCs w:val="20"/>
          <w:u w:val="none"/>
          <w:lang w:eastAsia="cs-CZ"/>
        </w:rPr>
        <w:t xml:space="preserve"> </w:t>
      </w:r>
      <w:r w:rsidRPr="00C4729D">
        <w:rPr>
          <w:rStyle w:val="Hypertextovodkaz"/>
          <w:rFonts w:ascii="Arial" w:eastAsia="Times New Roman" w:hAnsi="Arial" w:cs="Arial"/>
          <w:bCs/>
          <w:color w:val="0F0D29" w:themeColor="text1"/>
          <w:kern w:val="36"/>
          <w:sz w:val="20"/>
          <w:szCs w:val="20"/>
          <w:u w:val="none"/>
          <w:lang w:eastAsia="cs-CZ"/>
        </w:rPr>
        <w:t xml:space="preserve">„standardní“ listinné písemné formy právního jednání. Samotné přímo použitelné nařízení </w:t>
      </w:r>
      <w:proofErr w:type="spellStart"/>
      <w:r w:rsidRPr="00C4729D">
        <w:rPr>
          <w:rStyle w:val="Hypertextovodkaz"/>
          <w:rFonts w:ascii="Arial" w:eastAsia="Times New Roman" w:hAnsi="Arial" w:cs="Arial"/>
          <w:bCs/>
          <w:color w:val="0F0D29" w:themeColor="text1"/>
          <w:kern w:val="36"/>
          <w:sz w:val="20"/>
          <w:szCs w:val="20"/>
          <w:u w:val="none"/>
          <w:lang w:eastAsia="cs-CZ"/>
        </w:rPr>
        <w:t>eIDAS</w:t>
      </w:r>
      <w:proofErr w:type="spellEnd"/>
      <w:r w:rsidRPr="00C4729D">
        <w:rPr>
          <w:rStyle w:val="Hypertextovodkaz"/>
          <w:rFonts w:ascii="Arial" w:eastAsia="Times New Roman" w:hAnsi="Arial" w:cs="Arial"/>
          <w:bCs/>
          <w:color w:val="0F0D29" w:themeColor="text1"/>
          <w:kern w:val="36"/>
          <w:sz w:val="20"/>
          <w:szCs w:val="20"/>
          <w:u w:val="none"/>
          <w:lang w:eastAsia="cs-CZ"/>
        </w:rPr>
        <w:t xml:space="preserve"> totiž ve svém čl. 25 odst. 2 právní účinky rovnocenné s vlastnoručním podpisem spojuje pouze s kvalifikovaným elektronickým podpisem, kterým logicky tzv. prostý elektronický podpis není. Pokud by tzv. prostý elektronický podpis měl mít stejné účinky jako podpis vlastnoruční, nepochybně by součástí nařízení nebyl právě čl. 25 odst. 2 nařízení </w:t>
      </w:r>
      <w:proofErr w:type="spellStart"/>
      <w:r w:rsidRPr="00C4729D">
        <w:rPr>
          <w:rStyle w:val="Hypertextovodkaz"/>
          <w:rFonts w:ascii="Arial" w:eastAsia="Times New Roman" w:hAnsi="Arial" w:cs="Arial"/>
          <w:bCs/>
          <w:color w:val="0F0D29" w:themeColor="text1"/>
          <w:kern w:val="36"/>
          <w:sz w:val="20"/>
          <w:szCs w:val="20"/>
          <w:u w:val="none"/>
          <w:lang w:eastAsia="cs-CZ"/>
        </w:rPr>
        <w:t>eIDAS</w:t>
      </w:r>
      <w:proofErr w:type="spellEnd"/>
      <w:r w:rsidRPr="00C4729D">
        <w:rPr>
          <w:rStyle w:val="Hypertextovodkaz"/>
          <w:rFonts w:ascii="Arial" w:eastAsia="Times New Roman" w:hAnsi="Arial" w:cs="Arial"/>
          <w:bCs/>
          <w:color w:val="0F0D29" w:themeColor="text1"/>
          <w:kern w:val="36"/>
          <w:sz w:val="20"/>
          <w:szCs w:val="20"/>
          <w:u w:val="none"/>
          <w:lang w:eastAsia="cs-CZ"/>
        </w:rPr>
        <w:t xml:space="preserve">, který dané účinky spojuje teprve s vyšší úrovní elektronického podpisu. Na tom nic nemění ani čl. 25 odst. 1 nařízení </w:t>
      </w:r>
      <w:proofErr w:type="spellStart"/>
      <w:r w:rsidRPr="00C4729D">
        <w:rPr>
          <w:rStyle w:val="Hypertextovodkaz"/>
          <w:rFonts w:ascii="Arial" w:eastAsia="Times New Roman" w:hAnsi="Arial" w:cs="Arial"/>
          <w:bCs/>
          <w:color w:val="0F0D29" w:themeColor="text1"/>
          <w:kern w:val="36"/>
          <w:sz w:val="20"/>
          <w:szCs w:val="20"/>
          <w:u w:val="none"/>
          <w:lang w:eastAsia="cs-CZ"/>
        </w:rPr>
        <w:t>eIDAS</w:t>
      </w:r>
      <w:proofErr w:type="spellEnd"/>
      <w:r w:rsidRPr="00C4729D">
        <w:rPr>
          <w:rStyle w:val="Hypertextovodkaz"/>
          <w:rFonts w:ascii="Arial" w:eastAsia="Times New Roman" w:hAnsi="Arial" w:cs="Arial"/>
          <w:bCs/>
          <w:color w:val="0F0D29" w:themeColor="text1"/>
          <w:kern w:val="36"/>
          <w:sz w:val="20"/>
          <w:szCs w:val="20"/>
          <w:u w:val="none"/>
          <w:lang w:eastAsia="cs-CZ"/>
        </w:rPr>
        <w:t>.</w:t>
      </w:r>
    </w:p>
    <w:p w14:paraId="6F9E1B9F" w14:textId="1F9686DE" w:rsidR="00C4729D" w:rsidRDefault="00C4729D" w:rsidP="00C4729D">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6CC0BFE6" w14:textId="4BAC8FB0" w:rsidR="00C4729D" w:rsidRPr="00C4729D" w:rsidRDefault="00C4729D" w:rsidP="00C4729D">
      <w:pPr>
        <w:pStyle w:val="Bezmezer"/>
        <w:spacing w:line="360" w:lineRule="auto"/>
        <w:jc w:val="both"/>
        <w:rPr>
          <w:rStyle w:val="Hypertextovodkaz"/>
          <w:rFonts w:ascii="Arial" w:eastAsia="Times New Roman" w:hAnsi="Arial" w:cs="Arial"/>
          <w:b/>
          <w:color w:val="0F0D29" w:themeColor="text1"/>
          <w:kern w:val="36"/>
          <w:sz w:val="20"/>
          <w:szCs w:val="20"/>
          <w:u w:val="none"/>
          <w:lang w:eastAsia="cs-CZ"/>
        </w:rPr>
      </w:pPr>
      <w:r w:rsidRPr="00C4729D">
        <w:rPr>
          <w:rStyle w:val="Hypertextovodkaz"/>
          <w:rFonts w:ascii="Arial" w:eastAsia="Times New Roman" w:hAnsi="Arial" w:cs="Arial"/>
          <w:b/>
          <w:color w:val="0F0D29" w:themeColor="text1"/>
          <w:kern w:val="36"/>
          <w:sz w:val="20"/>
          <w:szCs w:val="20"/>
          <w:u w:val="none"/>
          <w:lang w:eastAsia="cs-CZ"/>
        </w:rPr>
        <w:t>Rozsudek Okresního soudu ve Zlíně sp. zn. 26 C 62/2021, ze dne 10. 11. 2021:</w:t>
      </w:r>
    </w:p>
    <w:p w14:paraId="12278848" w14:textId="77777777" w:rsidR="00C4729D" w:rsidRDefault="00C4729D" w:rsidP="00C4729D">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361133AC" w14:textId="5DC964A9" w:rsidR="00C4729D" w:rsidRDefault="00C4729D" w:rsidP="00C4729D">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C4729D">
        <w:rPr>
          <w:rStyle w:val="Hypertextovodkaz"/>
          <w:rFonts w:ascii="Arial" w:eastAsia="Times New Roman" w:hAnsi="Arial" w:cs="Arial"/>
          <w:bCs/>
          <w:color w:val="0F0D29" w:themeColor="text1"/>
          <w:kern w:val="36"/>
          <w:sz w:val="20"/>
          <w:szCs w:val="20"/>
          <w:u w:val="none"/>
          <w:lang w:eastAsia="cs-CZ"/>
        </w:rPr>
        <w:t xml:space="preserve">Žalobkyně žádný důkaz o identifikaci žalované bez vší pochybností neposkytla, a to ani po poučení soudu. Na tomto závěru soudu nic nemění podmínky stanovené v § 7 zákona č. 297/2016 Sb., o službách vytvářejících důvěru pro elektronické transakce, ani čl. 25 odst. 1, čl. 3 bod 10 </w:t>
      </w:r>
      <w:proofErr w:type="spellStart"/>
      <w:r w:rsidRPr="00C4729D">
        <w:rPr>
          <w:rStyle w:val="Hypertextovodkaz"/>
          <w:rFonts w:ascii="Arial" w:eastAsia="Times New Roman" w:hAnsi="Arial" w:cs="Arial"/>
          <w:bCs/>
          <w:color w:val="0F0D29" w:themeColor="text1"/>
          <w:kern w:val="36"/>
          <w:sz w:val="20"/>
          <w:szCs w:val="20"/>
          <w:u w:val="none"/>
          <w:lang w:eastAsia="cs-CZ"/>
        </w:rPr>
        <w:t>eIDAS</w:t>
      </w:r>
      <w:proofErr w:type="spellEnd"/>
      <w:r w:rsidRPr="00C4729D">
        <w:rPr>
          <w:rStyle w:val="Hypertextovodkaz"/>
          <w:rFonts w:ascii="Arial" w:eastAsia="Times New Roman" w:hAnsi="Arial" w:cs="Arial"/>
          <w:bCs/>
          <w:color w:val="0F0D29" w:themeColor="text1"/>
          <w:kern w:val="36"/>
          <w:sz w:val="20"/>
          <w:szCs w:val="20"/>
          <w:u w:val="none"/>
          <w:lang w:eastAsia="cs-CZ"/>
        </w:rPr>
        <w:t xml:space="preserve">, protože SMS kód zaslaný z telefonního čísla, ohledně kterého nebylo najisto ověřeno, že je činěn konkrétní osobou zákazníka, nemůže být postaven na roveň </w:t>
      </w:r>
      <w:r w:rsidRPr="00C4729D">
        <w:rPr>
          <w:rStyle w:val="Hypertextovodkaz"/>
          <w:rFonts w:ascii="Arial" w:eastAsia="Times New Roman" w:hAnsi="Arial" w:cs="Arial"/>
          <w:bCs/>
          <w:color w:val="0F0D29" w:themeColor="text1"/>
          <w:kern w:val="36"/>
          <w:sz w:val="20"/>
          <w:szCs w:val="20"/>
          <w:u w:val="none"/>
          <w:lang w:eastAsia="cs-CZ"/>
        </w:rPr>
        <w:lastRenderedPageBreak/>
        <w:t xml:space="preserve">vlastnoručnímu podpisu učiněnému zákazníkem elektronicky nebo zaslanému ve formě </w:t>
      </w:r>
      <w:proofErr w:type="spellStart"/>
      <w:r w:rsidRPr="00C4729D">
        <w:rPr>
          <w:rStyle w:val="Hypertextovodkaz"/>
          <w:rFonts w:ascii="Arial" w:eastAsia="Times New Roman" w:hAnsi="Arial" w:cs="Arial"/>
          <w:bCs/>
          <w:color w:val="0F0D29" w:themeColor="text1"/>
          <w:kern w:val="36"/>
          <w:sz w:val="20"/>
          <w:szCs w:val="20"/>
          <w:u w:val="none"/>
          <w:lang w:eastAsia="cs-CZ"/>
        </w:rPr>
        <w:t>scanu</w:t>
      </w:r>
      <w:proofErr w:type="spellEnd"/>
      <w:r w:rsidRPr="00C4729D">
        <w:rPr>
          <w:rStyle w:val="Hypertextovodkaz"/>
          <w:rFonts w:ascii="Arial" w:eastAsia="Times New Roman" w:hAnsi="Arial" w:cs="Arial"/>
          <w:bCs/>
          <w:color w:val="0F0D29" w:themeColor="text1"/>
          <w:kern w:val="36"/>
          <w:sz w:val="20"/>
          <w:szCs w:val="20"/>
          <w:u w:val="none"/>
          <w:lang w:eastAsia="cs-CZ"/>
        </w:rPr>
        <w:t xml:space="preserve"> podepsané listiny (případně jako příloha e-mailu). Soud rovněž identifikaci žalované formou tzv. korunové transakce převodem 1 Kč z bankovního účtu zákazníka na účet žalobkyně a doložení dokladu potvrzujícího existenci bankovního účtu vedeného na jméno zákazníka, či tvrzenou částečnou úhradu dluhu ve výši 375 Kč z tohoto bankovního účtu, nepovažuje za natolik přesvědčivou, že by nahradila dostatečnou identifikaci zákazníka při uzavření smlouvy, protože z nich nevyplývá, že by tyto částky byly skutečně zaplaceny a kým.</w:t>
      </w:r>
    </w:p>
    <w:p w14:paraId="6426AE0F" w14:textId="77777777" w:rsidR="00C4729D" w:rsidRPr="005078C0" w:rsidRDefault="00C4729D" w:rsidP="00C4729D">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3B77BDD4" w14:textId="77777777" w:rsidR="00142E9F" w:rsidRPr="005078C0" w:rsidRDefault="00142E9F" w:rsidP="00142E9F">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Na vědomí POŘ</w:t>
      </w:r>
      <w:r>
        <w:rPr>
          <w:rStyle w:val="Hypertextovodkaz"/>
          <w:rFonts w:ascii="Arial" w:eastAsia="Times New Roman" w:hAnsi="Arial" w:cs="Arial"/>
          <w:bCs/>
          <w:i/>
          <w:color w:val="0F0D29" w:themeColor="text1"/>
          <w:kern w:val="36"/>
          <w:sz w:val="20"/>
          <w:szCs w:val="20"/>
          <w:u w:val="none"/>
          <w:lang w:eastAsia="cs-CZ"/>
        </w:rPr>
        <w:t>.</w:t>
      </w:r>
    </w:p>
    <w:p w14:paraId="09D2D231" w14:textId="77777777" w:rsidR="00EB0E41" w:rsidRDefault="00EB0E41" w:rsidP="00EB0E41">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429370EC" w14:textId="6530D17E" w:rsidR="00EB0E41" w:rsidRPr="005078C0" w:rsidRDefault="00EB0E41" w:rsidP="00EB0E41">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sidRPr="00EB0E41">
        <w:rPr>
          <w:rStyle w:val="Hypertextovodkaz"/>
          <w:rFonts w:ascii="Arial" w:eastAsia="Times New Roman" w:hAnsi="Arial" w:cs="Arial"/>
          <w:b/>
          <w:bCs/>
          <w:color w:val="0F0D29" w:themeColor="text1"/>
          <w:kern w:val="36"/>
          <w:sz w:val="24"/>
          <w:szCs w:val="20"/>
          <w:u w:val="none"/>
          <w:lang w:eastAsia="cs-CZ"/>
        </w:rPr>
        <w:t>Metrostav a uložení trestu zákazu plnění veřejných zakázek</w:t>
      </w:r>
      <w:r w:rsidR="00EF6723">
        <w:rPr>
          <w:rStyle w:val="Hypertextovodkaz"/>
          <w:rFonts w:ascii="Arial" w:eastAsia="Times New Roman" w:hAnsi="Arial" w:cs="Arial"/>
          <w:b/>
          <w:bCs/>
          <w:color w:val="0F0D29" w:themeColor="text1"/>
          <w:kern w:val="36"/>
          <w:sz w:val="24"/>
          <w:szCs w:val="24"/>
          <w:u w:val="none"/>
          <w:lang w:eastAsia="cs-CZ"/>
        </w:rPr>
        <w:pict w14:anchorId="2D697AA9">
          <v:rect id="_x0000_i1052" style="width:0;height:1.5pt" o:hralign="center" o:hrstd="t" o:hr="t" fillcolor="#a0a0a0" stroked="f"/>
        </w:pict>
      </w:r>
    </w:p>
    <w:p w14:paraId="2D5FEB2C" w14:textId="77777777" w:rsidR="00EB0E41" w:rsidRDefault="00EB0E41" w:rsidP="00EB0E41">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1C51A648" w14:textId="77777777" w:rsidR="00EB0E41" w:rsidRPr="00EB0E41" w:rsidRDefault="00EB0E41" w:rsidP="00EB0E41">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EB0E41">
        <w:rPr>
          <w:rStyle w:val="Hypertextovodkaz"/>
          <w:rFonts w:ascii="Arial" w:eastAsia="Times New Roman" w:hAnsi="Arial" w:cs="Arial"/>
          <w:bCs/>
          <w:color w:val="0F0D29" w:themeColor="text1"/>
          <w:kern w:val="36"/>
          <w:sz w:val="20"/>
          <w:szCs w:val="20"/>
          <w:u w:val="none"/>
          <w:lang w:eastAsia="cs-CZ"/>
        </w:rPr>
        <w:t>Kauza „Metrostav a uložení trestu zákazu plnění veřejných zakázek“ je aktuálně ve fázi řízení před odvolacím soudem. Nově zde vystupuje jako obžalovaná další společnost. Do řízení byla přibrána na základě návrhu státního zástupce. Ten dospěl k závěru, že na tuto společnost přešla trestní odpovědnost nabytím části závodu od Metrostavu. Na situaci právních nástupců přitom TOPO pamatuje tak, že trestní odpovědnost přechází na všechny právní nástupce. Otázkou je, kdo všechno je považován za právního nástupce? Státní zástupce je toho názoru, že trestní odpovědnost přechází i při tzv. singulární sukcesi, při prodeji pouze části závodu, jako tomu bylo v posuzovaném případě. Problematické je, že TOPO sice pamatuje na přechod trestní odpovědnosti, nicméně nenabízí žádnou procesní úpravu, jak má být právní nástupce do řízení přibrán a jak má být společně s ním další řízení vedeno.</w:t>
      </w:r>
    </w:p>
    <w:p w14:paraId="0364C74A" w14:textId="77777777" w:rsidR="00EB0E41" w:rsidRPr="00EB0E41" w:rsidRDefault="00EB0E41" w:rsidP="00EB0E41">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62D0403F" w14:textId="01E7D666" w:rsidR="00EB0E41" w:rsidRDefault="00EB0E41" w:rsidP="00EB0E41">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EB0E41">
        <w:rPr>
          <w:rStyle w:val="Hypertextovodkaz"/>
          <w:rFonts w:ascii="Arial" w:eastAsia="Times New Roman" w:hAnsi="Arial" w:cs="Arial"/>
          <w:bCs/>
          <w:color w:val="0F0D29" w:themeColor="text1"/>
          <w:kern w:val="36"/>
          <w:sz w:val="20"/>
          <w:szCs w:val="20"/>
          <w:u w:val="none"/>
          <w:lang w:eastAsia="cs-CZ"/>
        </w:rPr>
        <w:t>Ačkoli proti tomuto právnímu nástupci nebylo nikdy zahájeno trestní stíhání a nebyl ani obžalován, soud mu zaslal předvolání k veřejnému zasedání nařízenému k projednání odvolání ostatních účastníků. Před tímto soudem tak poprvé stanul jako další strana trestního řízení v pozici obžalovaného. Této společnosti proto hrozí, že bude společně s Metrostavem i odsouzena. Metrostavu přitom byl v řízení před soudem prvního stupně nepravomocně uložen trest zákazu plnění veřejných zakázek po dobu 3 let. Státní zástupce pak v rámci svého odvolání požaduje zpřísnění tohoto trestu až na 10 let. Trest zákazu plnění veřejných zakázek by přitom s ohledem na právní nástupnictví mohl být uložen právě i právnímu nástupci. O veřejné zakázky by se tak po uložení trestu nemohla ucházet ani jedna z těchto společností.</w:t>
      </w:r>
    </w:p>
    <w:p w14:paraId="3618C64C" w14:textId="77777777" w:rsidR="00BA07FC" w:rsidRPr="00EB0E41" w:rsidRDefault="00BA07FC" w:rsidP="00EB0E41">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6A3D9F2E" w14:textId="77777777" w:rsidR="00EB0E41" w:rsidRPr="005078C0" w:rsidRDefault="00EB0E41" w:rsidP="00EB0E41">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Na vědomí POŘ</w:t>
      </w:r>
      <w:r>
        <w:rPr>
          <w:rStyle w:val="Hypertextovodkaz"/>
          <w:rFonts w:ascii="Arial" w:eastAsia="Times New Roman" w:hAnsi="Arial" w:cs="Arial"/>
          <w:bCs/>
          <w:i/>
          <w:color w:val="0F0D29" w:themeColor="text1"/>
          <w:kern w:val="36"/>
          <w:sz w:val="20"/>
          <w:szCs w:val="20"/>
          <w:u w:val="none"/>
          <w:lang w:eastAsia="cs-CZ"/>
        </w:rPr>
        <w:t>.</w:t>
      </w:r>
    </w:p>
    <w:p w14:paraId="46E87178" w14:textId="77777777" w:rsidR="00BB4079" w:rsidRDefault="00BB4079" w:rsidP="00D56C4F">
      <w:pPr>
        <w:jc w:val="center"/>
        <w:rPr>
          <w:rStyle w:val="Hypertextovodkaz"/>
          <w:rFonts w:ascii="Arial" w:eastAsia="Times New Roman" w:hAnsi="Arial" w:cs="Arial"/>
          <w:bCs/>
          <w:color w:val="0F0D29" w:themeColor="text1"/>
          <w:kern w:val="36"/>
          <w:sz w:val="24"/>
          <w:szCs w:val="20"/>
          <w:u w:val="none"/>
          <w:lang w:eastAsia="cs-CZ"/>
        </w:rPr>
      </w:pPr>
    </w:p>
    <w:sectPr w:rsidR="00BB4079" w:rsidSect="00AB02A7">
      <w:headerReference w:type="default" r:id="rId10"/>
      <w:footerReference w:type="default" r:id="rId11"/>
      <w:pgSz w:w="11906" w:h="16838" w:code="9"/>
      <w:pgMar w:top="720" w:right="936" w:bottom="720" w:left="936" w:header="0" w:footer="289"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70E4B" w14:textId="77777777" w:rsidR="00A04739" w:rsidRDefault="00A04739">
      <w:r>
        <w:separator/>
      </w:r>
    </w:p>
    <w:p w14:paraId="0ACC3448" w14:textId="77777777" w:rsidR="00A04739" w:rsidRDefault="00A04739"/>
  </w:endnote>
  <w:endnote w:type="continuationSeparator" w:id="0">
    <w:p w14:paraId="793EE6A6" w14:textId="77777777" w:rsidR="00A04739" w:rsidRDefault="00A04739">
      <w:r>
        <w:continuationSeparator/>
      </w:r>
    </w:p>
    <w:p w14:paraId="7D23607E" w14:textId="77777777" w:rsidR="00A04739" w:rsidRDefault="00A047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val="0"/>
        <w:bCs/>
        <w:noProof/>
        <w:color w:val="0F0D29" w:themeColor="text1"/>
        <w:sz w:val="20"/>
        <w:szCs w:val="20"/>
      </w:rPr>
      <w:id w:val="-890194395"/>
      <w:docPartObj>
        <w:docPartGallery w:val="Page Numbers (Bottom of Page)"/>
        <w:docPartUnique/>
      </w:docPartObj>
    </w:sdtPr>
    <w:sdtEndPr/>
    <w:sdtContent>
      <w:p w14:paraId="316DA8A2" w14:textId="303411C5" w:rsidR="00DF027C" w:rsidRPr="00824CAE" w:rsidRDefault="00DF027C">
        <w:pPr>
          <w:pStyle w:val="Zpat"/>
          <w:jc w:val="center"/>
          <w:rPr>
            <w:rFonts w:ascii="Arial" w:hAnsi="Arial" w:cs="Arial"/>
            <w:b w:val="0"/>
            <w:bCs/>
            <w:noProof/>
            <w:color w:val="0F0D29" w:themeColor="text1"/>
            <w:sz w:val="20"/>
            <w:szCs w:val="20"/>
          </w:rPr>
        </w:pPr>
        <w:r w:rsidRPr="00824CAE">
          <w:rPr>
            <w:rFonts w:ascii="Arial" w:hAnsi="Arial" w:cs="Arial"/>
            <w:b w:val="0"/>
            <w:bCs/>
            <w:noProof/>
            <w:color w:val="0F0D29" w:themeColor="text1"/>
            <w:sz w:val="20"/>
            <w:szCs w:val="20"/>
            <w:lang w:bidi="cs-CZ"/>
          </w:rPr>
          <w:fldChar w:fldCharType="begin"/>
        </w:r>
        <w:r w:rsidRPr="00824CAE">
          <w:rPr>
            <w:rFonts w:ascii="Arial" w:hAnsi="Arial" w:cs="Arial"/>
            <w:b w:val="0"/>
            <w:bCs/>
            <w:noProof/>
            <w:color w:val="0F0D29" w:themeColor="text1"/>
            <w:sz w:val="20"/>
            <w:szCs w:val="20"/>
            <w:lang w:bidi="cs-CZ"/>
          </w:rPr>
          <w:instrText xml:space="preserve"> PAGE   \* MERGEFORMAT </w:instrText>
        </w:r>
        <w:r w:rsidRPr="00824CAE">
          <w:rPr>
            <w:rFonts w:ascii="Arial" w:hAnsi="Arial" w:cs="Arial"/>
            <w:b w:val="0"/>
            <w:bCs/>
            <w:noProof/>
            <w:color w:val="0F0D29" w:themeColor="text1"/>
            <w:sz w:val="20"/>
            <w:szCs w:val="20"/>
            <w:lang w:bidi="cs-CZ"/>
          </w:rPr>
          <w:fldChar w:fldCharType="separate"/>
        </w:r>
        <w:r w:rsidR="00BF2049">
          <w:rPr>
            <w:rFonts w:ascii="Arial" w:hAnsi="Arial" w:cs="Arial"/>
            <w:b w:val="0"/>
            <w:bCs/>
            <w:noProof/>
            <w:color w:val="0F0D29" w:themeColor="text1"/>
            <w:sz w:val="20"/>
            <w:szCs w:val="20"/>
            <w:lang w:bidi="cs-CZ"/>
          </w:rPr>
          <w:t>10</w:t>
        </w:r>
        <w:r w:rsidRPr="00824CAE">
          <w:rPr>
            <w:rFonts w:ascii="Arial" w:hAnsi="Arial" w:cs="Arial"/>
            <w:b w:val="0"/>
            <w:bCs/>
            <w:noProof/>
            <w:color w:val="0F0D29" w:themeColor="text1"/>
            <w:sz w:val="20"/>
            <w:szCs w:val="20"/>
            <w:lang w:bidi="cs-CZ"/>
          </w:rPr>
          <w:fldChar w:fldCharType="end"/>
        </w:r>
      </w:p>
    </w:sdtContent>
  </w:sdt>
  <w:p w14:paraId="56EB180E" w14:textId="77777777" w:rsidR="00DF027C" w:rsidRDefault="00DF027C">
    <w:pPr>
      <w:pStyle w:val="Zpa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0D3A4" w14:textId="77777777" w:rsidR="00A04739" w:rsidRDefault="00A04739">
      <w:r>
        <w:separator/>
      </w:r>
    </w:p>
    <w:p w14:paraId="2D43F433" w14:textId="77777777" w:rsidR="00A04739" w:rsidRDefault="00A04739"/>
  </w:footnote>
  <w:footnote w:type="continuationSeparator" w:id="0">
    <w:p w14:paraId="3BEAB6E7" w14:textId="77777777" w:rsidR="00A04739" w:rsidRDefault="00A04739">
      <w:r>
        <w:continuationSeparator/>
      </w:r>
    </w:p>
    <w:p w14:paraId="36778280" w14:textId="77777777" w:rsidR="00A04739" w:rsidRDefault="00A047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5" w:type="dxa"/>
      <w:tblBorders>
        <w:top w:val="single" w:sz="36" w:space="0" w:color="082A75" w:themeColor="text2"/>
        <w:left w:val="single" w:sz="36" w:space="0" w:color="082A75" w:themeColor="text2"/>
        <w:bottom w:val="single" w:sz="36" w:space="0" w:color="082A75" w:themeColor="text2"/>
        <w:right w:val="single" w:sz="36" w:space="0" w:color="082A75" w:themeColor="text2"/>
        <w:insideH w:val="single" w:sz="36" w:space="0" w:color="082A75" w:themeColor="text2"/>
        <w:insideV w:val="single" w:sz="36" w:space="0" w:color="082A75" w:themeColor="text2"/>
      </w:tblBorders>
      <w:tblLook w:val="0000" w:firstRow="0" w:lastRow="0" w:firstColumn="0" w:lastColumn="0" w:noHBand="0" w:noVBand="0"/>
    </w:tblPr>
    <w:tblGrid>
      <w:gridCol w:w="10035"/>
    </w:tblGrid>
    <w:tr w:rsidR="00D077E9" w14:paraId="3B791156" w14:textId="77777777" w:rsidTr="00360494">
      <w:trPr>
        <w:trHeight w:val="978"/>
      </w:trPr>
      <w:tc>
        <w:tcPr>
          <w:tcW w:w="10035" w:type="dxa"/>
          <w:tcBorders>
            <w:top w:val="nil"/>
            <w:left w:val="nil"/>
            <w:bottom w:val="single" w:sz="36" w:space="0" w:color="34ABA2" w:themeColor="accent3"/>
            <w:right w:val="nil"/>
          </w:tcBorders>
        </w:tcPr>
        <w:p w14:paraId="19891861" w14:textId="77777777" w:rsidR="00D077E9" w:rsidRDefault="00D077E9">
          <w:pPr>
            <w:pStyle w:val="Zhlav"/>
            <w:rPr>
              <w:noProof/>
            </w:rPr>
          </w:pPr>
        </w:p>
      </w:tc>
    </w:tr>
  </w:tbl>
  <w:p w14:paraId="2E9AF0C0" w14:textId="77777777" w:rsidR="00D077E9" w:rsidRDefault="00D077E9" w:rsidP="00D077E9">
    <w:pPr>
      <w:pStyle w:val="Zhlav"/>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w14:anchorId="46487825" id="_x0000_i1026" style="width:0;height:1.5pt" o:hralign="center" o:bullet="t" o:hrstd="t" o:hr="t" fillcolor="#a0a0a0" stroked="f"/>
    </w:pict>
  </w:numPicBullet>
  <w:abstractNum w:abstractNumId="0" w15:restartNumberingAfterBreak="0">
    <w:nsid w:val="06342C76"/>
    <w:multiLevelType w:val="multilevel"/>
    <w:tmpl w:val="4A0E85BC"/>
    <w:lvl w:ilvl="0">
      <w:start w:val="2"/>
      <w:numFmt w:val="upperRoman"/>
      <w:lvlText w:val="%1."/>
      <w:lvlJc w:val="right"/>
      <w:pPr>
        <w:ind w:left="710" w:hanging="360"/>
      </w:pPr>
      <w:rPr>
        <w:rFonts w:ascii="Tahoma" w:hAnsi="Tahoma" w:cs="Tahoma" w:hint="default"/>
        <w:b/>
        <w:sz w:val="28"/>
      </w:rPr>
    </w:lvl>
    <w:lvl w:ilvl="1">
      <w:start w:val="1"/>
      <w:numFmt w:val="decimal"/>
      <w:isLgl/>
      <w:lvlText w:val="%1.%2."/>
      <w:lvlJc w:val="left"/>
      <w:pPr>
        <w:ind w:left="125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970" w:hanging="108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690" w:hanging="1440"/>
      </w:pPr>
      <w:rPr>
        <w:rFonts w:hint="default"/>
      </w:rPr>
    </w:lvl>
    <w:lvl w:ilvl="6">
      <w:start w:val="1"/>
      <w:numFmt w:val="decimal"/>
      <w:isLgl/>
      <w:lvlText w:val="%1.%2.%3.%4.%5.%6.%7."/>
      <w:lvlJc w:val="left"/>
      <w:pPr>
        <w:ind w:left="2870" w:hanging="1440"/>
      </w:pPr>
      <w:rPr>
        <w:rFonts w:hint="default"/>
      </w:rPr>
    </w:lvl>
    <w:lvl w:ilvl="7">
      <w:start w:val="1"/>
      <w:numFmt w:val="decimal"/>
      <w:isLgl/>
      <w:lvlText w:val="%1.%2.%3.%4.%5.%6.%7.%8."/>
      <w:lvlJc w:val="left"/>
      <w:pPr>
        <w:ind w:left="3410" w:hanging="1800"/>
      </w:pPr>
      <w:rPr>
        <w:rFonts w:hint="default"/>
      </w:rPr>
    </w:lvl>
    <w:lvl w:ilvl="8">
      <w:start w:val="1"/>
      <w:numFmt w:val="decimal"/>
      <w:isLgl/>
      <w:lvlText w:val="%1.%2.%3.%4.%5.%6.%7.%8.%9."/>
      <w:lvlJc w:val="left"/>
      <w:pPr>
        <w:ind w:left="3950" w:hanging="2160"/>
      </w:pPr>
      <w:rPr>
        <w:rFonts w:hint="default"/>
      </w:rPr>
    </w:lvl>
  </w:abstractNum>
  <w:abstractNum w:abstractNumId="1" w15:restartNumberingAfterBreak="0">
    <w:nsid w:val="0A4F1BE3"/>
    <w:multiLevelType w:val="hybridMultilevel"/>
    <w:tmpl w:val="3DEC194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4F222C"/>
    <w:multiLevelType w:val="hybridMultilevel"/>
    <w:tmpl w:val="5A5C0B0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C64F27"/>
    <w:multiLevelType w:val="multilevel"/>
    <w:tmpl w:val="A50663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391797"/>
    <w:multiLevelType w:val="hybridMultilevel"/>
    <w:tmpl w:val="4CDE4CF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395BEA"/>
    <w:multiLevelType w:val="hybridMultilevel"/>
    <w:tmpl w:val="5DA63DAA"/>
    <w:lvl w:ilvl="0" w:tplc="F4D05D5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D84770"/>
    <w:multiLevelType w:val="hybridMultilevel"/>
    <w:tmpl w:val="886E880C"/>
    <w:lvl w:ilvl="0" w:tplc="A36257CA">
      <w:start w:val="1"/>
      <w:numFmt w:val="lowerLetter"/>
      <w:lvlText w:val="%1)"/>
      <w:lvlJc w:val="left"/>
      <w:pPr>
        <w:ind w:left="720" w:hanging="360"/>
      </w:pPr>
      <w:rPr>
        <w:rFonts w:eastAsiaTheme="majorEastAsia" w:cstheme="majorBidi" w:hint="default"/>
        <w:b/>
        <w:bCs w:val="0"/>
        <w:sz w:val="2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B273D1"/>
    <w:multiLevelType w:val="hybridMultilevel"/>
    <w:tmpl w:val="C5806E9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3CDB52EB"/>
    <w:multiLevelType w:val="hybridMultilevel"/>
    <w:tmpl w:val="EBC21442"/>
    <w:lvl w:ilvl="0" w:tplc="A5B6D16A">
      <w:start w:val="1"/>
      <w:numFmt w:val="upperRoman"/>
      <w:lvlText w:val="%1."/>
      <w:lvlJc w:val="left"/>
      <w:pPr>
        <w:ind w:left="720" w:hanging="720"/>
      </w:pPr>
      <w:rPr>
        <w:rFonts w:hint="default"/>
        <w:color w:val="0F0D29"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0484290"/>
    <w:multiLevelType w:val="hybridMultilevel"/>
    <w:tmpl w:val="EC089B9E"/>
    <w:lvl w:ilvl="0" w:tplc="88A48AA0">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231A78"/>
    <w:multiLevelType w:val="hybridMultilevel"/>
    <w:tmpl w:val="799484BC"/>
    <w:lvl w:ilvl="0" w:tplc="04050005">
      <w:start w:val="1"/>
      <w:numFmt w:val="bullet"/>
      <w:lvlText w:val=""/>
      <w:lvlJc w:val="left"/>
      <w:pPr>
        <w:ind w:left="786" w:hanging="360"/>
      </w:pPr>
      <w:rPr>
        <w:rFonts w:ascii="Wingdings" w:hAnsi="Wingding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4B316A76"/>
    <w:multiLevelType w:val="hybridMultilevel"/>
    <w:tmpl w:val="0DBE81E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56F258D"/>
    <w:multiLevelType w:val="hybridMultilevel"/>
    <w:tmpl w:val="8E90D428"/>
    <w:lvl w:ilvl="0" w:tplc="29167672">
      <w:start w:val="114"/>
      <w:numFmt w:val="bullet"/>
      <w:lvlText w:val="-"/>
      <w:lvlJc w:val="left"/>
      <w:pPr>
        <w:ind w:left="1440" w:hanging="360"/>
      </w:pPr>
      <w:rPr>
        <w:rFonts w:ascii="Calibri" w:eastAsiaTheme="minorHAnsi"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6CFC51A0"/>
    <w:multiLevelType w:val="hybridMultilevel"/>
    <w:tmpl w:val="060EB328"/>
    <w:lvl w:ilvl="0" w:tplc="3EA25A3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F6F3829"/>
    <w:multiLevelType w:val="multilevel"/>
    <w:tmpl w:val="82B0F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23D7053"/>
    <w:multiLevelType w:val="multilevel"/>
    <w:tmpl w:val="DBAA8D44"/>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16" w15:restartNumberingAfterBreak="0">
    <w:nsid w:val="73E13E95"/>
    <w:multiLevelType w:val="hybridMultilevel"/>
    <w:tmpl w:val="3DEC19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686490E"/>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18" w15:restartNumberingAfterBreak="0">
    <w:nsid w:val="786F0472"/>
    <w:multiLevelType w:val="hybridMultilevel"/>
    <w:tmpl w:val="096A904E"/>
    <w:lvl w:ilvl="0" w:tplc="7542CB54">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0"/>
  </w:num>
  <w:num w:numId="4">
    <w:abstractNumId w:val="17"/>
  </w:num>
  <w:num w:numId="5">
    <w:abstractNumId w:val="15"/>
  </w:num>
  <w:num w:numId="6">
    <w:abstractNumId w:val="6"/>
  </w:num>
  <w:num w:numId="7">
    <w:abstractNumId w:val="8"/>
  </w:num>
  <w:num w:numId="8">
    <w:abstractNumId w:val="18"/>
  </w:num>
  <w:num w:numId="9">
    <w:abstractNumId w:val="13"/>
  </w:num>
  <w:num w:numId="10">
    <w:abstractNumId w:val="7"/>
  </w:num>
  <w:num w:numId="11">
    <w:abstractNumId w:val="3"/>
  </w:num>
  <w:num w:numId="12">
    <w:abstractNumId w:val="11"/>
  </w:num>
  <w:num w:numId="13">
    <w:abstractNumId w:val="4"/>
  </w:num>
  <w:num w:numId="14">
    <w:abstractNumId w:val="5"/>
  </w:num>
  <w:num w:numId="15">
    <w:abstractNumId w:val="2"/>
  </w:num>
  <w:num w:numId="16">
    <w:abstractNumId w:val="1"/>
  </w:num>
  <w:num w:numId="17">
    <w:abstractNumId w:val="16"/>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052"/>
    <w:rsid w:val="00021BDB"/>
    <w:rsid w:val="0002482E"/>
    <w:rsid w:val="00045505"/>
    <w:rsid w:val="000472DA"/>
    <w:rsid w:val="00050324"/>
    <w:rsid w:val="00080627"/>
    <w:rsid w:val="00090ADC"/>
    <w:rsid w:val="000954E9"/>
    <w:rsid w:val="000A0150"/>
    <w:rsid w:val="000B43A3"/>
    <w:rsid w:val="000E2BBE"/>
    <w:rsid w:val="000E63C9"/>
    <w:rsid w:val="00130E9D"/>
    <w:rsid w:val="00142E9F"/>
    <w:rsid w:val="00144F93"/>
    <w:rsid w:val="0014703E"/>
    <w:rsid w:val="00150A6D"/>
    <w:rsid w:val="001559DF"/>
    <w:rsid w:val="00160DC8"/>
    <w:rsid w:val="00170060"/>
    <w:rsid w:val="001822B6"/>
    <w:rsid w:val="00185B35"/>
    <w:rsid w:val="00196F8A"/>
    <w:rsid w:val="001A0DC1"/>
    <w:rsid w:val="001B54B1"/>
    <w:rsid w:val="001F081B"/>
    <w:rsid w:val="001F2BC8"/>
    <w:rsid w:val="001F5F6B"/>
    <w:rsid w:val="00220164"/>
    <w:rsid w:val="0022100C"/>
    <w:rsid w:val="002234C9"/>
    <w:rsid w:val="00240052"/>
    <w:rsid w:val="002419B4"/>
    <w:rsid w:val="00243EBC"/>
    <w:rsid w:val="00246A35"/>
    <w:rsid w:val="00283722"/>
    <w:rsid w:val="00284348"/>
    <w:rsid w:val="00285D32"/>
    <w:rsid w:val="002E61AB"/>
    <w:rsid w:val="002F51F5"/>
    <w:rsid w:val="00312137"/>
    <w:rsid w:val="00330359"/>
    <w:rsid w:val="0033762F"/>
    <w:rsid w:val="0034183A"/>
    <w:rsid w:val="00360494"/>
    <w:rsid w:val="00366C7E"/>
    <w:rsid w:val="00384EA3"/>
    <w:rsid w:val="003A39A1"/>
    <w:rsid w:val="003C2191"/>
    <w:rsid w:val="003C4763"/>
    <w:rsid w:val="003D3863"/>
    <w:rsid w:val="003D5145"/>
    <w:rsid w:val="004110DE"/>
    <w:rsid w:val="004325C8"/>
    <w:rsid w:val="00433509"/>
    <w:rsid w:val="0044085A"/>
    <w:rsid w:val="004646E1"/>
    <w:rsid w:val="00475E5C"/>
    <w:rsid w:val="0049783A"/>
    <w:rsid w:val="004B21A5"/>
    <w:rsid w:val="004B2C1D"/>
    <w:rsid w:val="004F0B76"/>
    <w:rsid w:val="005037F0"/>
    <w:rsid w:val="005054D5"/>
    <w:rsid w:val="005078C0"/>
    <w:rsid w:val="00516A86"/>
    <w:rsid w:val="00521069"/>
    <w:rsid w:val="0052653B"/>
    <w:rsid w:val="005275F6"/>
    <w:rsid w:val="00532EB6"/>
    <w:rsid w:val="005412CE"/>
    <w:rsid w:val="00560334"/>
    <w:rsid w:val="00572102"/>
    <w:rsid w:val="0058396E"/>
    <w:rsid w:val="005B0434"/>
    <w:rsid w:val="005D3817"/>
    <w:rsid w:val="005E4904"/>
    <w:rsid w:val="005F1BB0"/>
    <w:rsid w:val="00656C4D"/>
    <w:rsid w:val="00657864"/>
    <w:rsid w:val="00660E12"/>
    <w:rsid w:val="00694EBE"/>
    <w:rsid w:val="006A077B"/>
    <w:rsid w:val="006A21D5"/>
    <w:rsid w:val="006E530F"/>
    <w:rsid w:val="006E5716"/>
    <w:rsid w:val="006F3D1A"/>
    <w:rsid w:val="006F41EA"/>
    <w:rsid w:val="007055E5"/>
    <w:rsid w:val="00706AC0"/>
    <w:rsid w:val="007237A1"/>
    <w:rsid w:val="007274B3"/>
    <w:rsid w:val="007302B3"/>
    <w:rsid w:val="00730733"/>
    <w:rsid w:val="00730E3A"/>
    <w:rsid w:val="00736AAF"/>
    <w:rsid w:val="00742128"/>
    <w:rsid w:val="00756BA5"/>
    <w:rsid w:val="00765B2A"/>
    <w:rsid w:val="00782B2D"/>
    <w:rsid w:val="00783A34"/>
    <w:rsid w:val="007A5D12"/>
    <w:rsid w:val="007C6B52"/>
    <w:rsid w:val="007C7E90"/>
    <w:rsid w:val="007D16C5"/>
    <w:rsid w:val="007E06C5"/>
    <w:rsid w:val="008070BF"/>
    <w:rsid w:val="00810E13"/>
    <w:rsid w:val="00815900"/>
    <w:rsid w:val="00824CAE"/>
    <w:rsid w:val="00834F4E"/>
    <w:rsid w:val="00862FE4"/>
    <w:rsid w:val="0086389A"/>
    <w:rsid w:val="0087605E"/>
    <w:rsid w:val="00886540"/>
    <w:rsid w:val="008B1FEE"/>
    <w:rsid w:val="008E3CAD"/>
    <w:rsid w:val="00901622"/>
    <w:rsid w:val="00903C32"/>
    <w:rsid w:val="00911671"/>
    <w:rsid w:val="00916B16"/>
    <w:rsid w:val="009173B9"/>
    <w:rsid w:val="0092437E"/>
    <w:rsid w:val="0093335D"/>
    <w:rsid w:val="0093613E"/>
    <w:rsid w:val="00943026"/>
    <w:rsid w:val="0096395A"/>
    <w:rsid w:val="00966B81"/>
    <w:rsid w:val="0098645D"/>
    <w:rsid w:val="009915F2"/>
    <w:rsid w:val="00995144"/>
    <w:rsid w:val="009A17AB"/>
    <w:rsid w:val="009C7720"/>
    <w:rsid w:val="009D44EB"/>
    <w:rsid w:val="009E5DD7"/>
    <w:rsid w:val="009F2434"/>
    <w:rsid w:val="00A04739"/>
    <w:rsid w:val="00A0491A"/>
    <w:rsid w:val="00A22382"/>
    <w:rsid w:val="00A23AFA"/>
    <w:rsid w:val="00A31B3E"/>
    <w:rsid w:val="00A404F7"/>
    <w:rsid w:val="00A532F3"/>
    <w:rsid w:val="00A617BF"/>
    <w:rsid w:val="00A76167"/>
    <w:rsid w:val="00A83FFF"/>
    <w:rsid w:val="00A8489E"/>
    <w:rsid w:val="00A97F50"/>
    <w:rsid w:val="00AB02A7"/>
    <w:rsid w:val="00AB3435"/>
    <w:rsid w:val="00AC0F35"/>
    <w:rsid w:val="00AC29F3"/>
    <w:rsid w:val="00AE31E2"/>
    <w:rsid w:val="00AF4FA4"/>
    <w:rsid w:val="00B00747"/>
    <w:rsid w:val="00B10A54"/>
    <w:rsid w:val="00B231E5"/>
    <w:rsid w:val="00B261E4"/>
    <w:rsid w:val="00B37492"/>
    <w:rsid w:val="00B466F0"/>
    <w:rsid w:val="00B47818"/>
    <w:rsid w:val="00B70AB7"/>
    <w:rsid w:val="00BA07FC"/>
    <w:rsid w:val="00BA34E1"/>
    <w:rsid w:val="00BB4079"/>
    <w:rsid w:val="00BE00DE"/>
    <w:rsid w:val="00BF2049"/>
    <w:rsid w:val="00BF3627"/>
    <w:rsid w:val="00BF66CB"/>
    <w:rsid w:val="00C02A22"/>
    <w:rsid w:val="00C02B87"/>
    <w:rsid w:val="00C2146C"/>
    <w:rsid w:val="00C26E3C"/>
    <w:rsid w:val="00C4086D"/>
    <w:rsid w:val="00C4729D"/>
    <w:rsid w:val="00C6736C"/>
    <w:rsid w:val="00C90A3E"/>
    <w:rsid w:val="00CA1896"/>
    <w:rsid w:val="00CB5B28"/>
    <w:rsid w:val="00CC5DA6"/>
    <w:rsid w:val="00CD40D6"/>
    <w:rsid w:val="00CF5371"/>
    <w:rsid w:val="00D0323A"/>
    <w:rsid w:val="00D0559F"/>
    <w:rsid w:val="00D06200"/>
    <w:rsid w:val="00D06538"/>
    <w:rsid w:val="00D077E9"/>
    <w:rsid w:val="00D300B4"/>
    <w:rsid w:val="00D36AB7"/>
    <w:rsid w:val="00D42CB7"/>
    <w:rsid w:val="00D5413D"/>
    <w:rsid w:val="00D5608D"/>
    <w:rsid w:val="00D56C4F"/>
    <w:rsid w:val="00D570A9"/>
    <w:rsid w:val="00D67219"/>
    <w:rsid w:val="00D70D02"/>
    <w:rsid w:val="00D770C7"/>
    <w:rsid w:val="00D86945"/>
    <w:rsid w:val="00D90290"/>
    <w:rsid w:val="00D92996"/>
    <w:rsid w:val="00D95647"/>
    <w:rsid w:val="00D97B4A"/>
    <w:rsid w:val="00DB5CE9"/>
    <w:rsid w:val="00DC4089"/>
    <w:rsid w:val="00DD152F"/>
    <w:rsid w:val="00DD262D"/>
    <w:rsid w:val="00DE0025"/>
    <w:rsid w:val="00DE213F"/>
    <w:rsid w:val="00DF027C"/>
    <w:rsid w:val="00E00A32"/>
    <w:rsid w:val="00E03770"/>
    <w:rsid w:val="00E12896"/>
    <w:rsid w:val="00E14283"/>
    <w:rsid w:val="00E22ACD"/>
    <w:rsid w:val="00E2705F"/>
    <w:rsid w:val="00E36A71"/>
    <w:rsid w:val="00E620B0"/>
    <w:rsid w:val="00E678E1"/>
    <w:rsid w:val="00E67A9D"/>
    <w:rsid w:val="00E702E0"/>
    <w:rsid w:val="00E81B40"/>
    <w:rsid w:val="00EB0E41"/>
    <w:rsid w:val="00EE2C49"/>
    <w:rsid w:val="00EF2EA3"/>
    <w:rsid w:val="00EF555B"/>
    <w:rsid w:val="00EF6723"/>
    <w:rsid w:val="00F027BB"/>
    <w:rsid w:val="00F11DCF"/>
    <w:rsid w:val="00F1485A"/>
    <w:rsid w:val="00F162EA"/>
    <w:rsid w:val="00F33158"/>
    <w:rsid w:val="00F3526A"/>
    <w:rsid w:val="00F4796C"/>
    <w:rsid w:val="00F52D27"/>
    <w:rsid w:val="00F5617F"/>
    <w:rsid w:val="00F72153"/>
    <w:rsid w:val="00F75C32"/>
    <w:rsid w:val="00F83527"/>
    <w:rsid w:val="00F878CF"/>
    <w:rsid w:val="00FD583F"/>
    <w:rsid w:val="00FD7488"/>
    <w:rsid w:val="00FF16B4"/>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7CF12"/>
  <w15:docId w15:val="{1E0A1806-99B7-4F74-AF2E-20711035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6945"/>
    <w:pPr>
      <w:spacing w:after="0"/>
    </w:pPr>
    <w:rPr>
      <w:rFonts w:eastAsiaTheme="minorEastAsia"/>
      <w:b/>
      <w:color w:val="082A75" w:themeColor="text2"/>
      <w:sz w:val="28"/>
      <w:szCs w:val="22"/>
    </w:rPr>
  </w:style>
  <w:style w:type="paragraph" w:styleId="Nadpis1">
    <w:name w:val="heading 1"/>
    <w:basedOn w:val="Normln"/>
    <w:link w:val="Nadpis1Ch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Nadpis2">
    <w:name w:val="heading 2"/>
    <w:basedOn w:val="Normln"/>
    <w:next w:val="Normln"/>
    <w:link w:val="Nadpis2Char"/>
    <w:uiPriority w:val="4"/>
    <w:qFormat/>
    <w:rsid w:val="00DF027C"/>
    <w:pPr>
      <w:keepNext/>
      <w:spacing w:after="240" w:line="240" w:lineRule="auto"/>
      <w:outlineLvl w:val="1"/>
    </w:pPr>
    <w:rPr>
      <w:rFonts w:eastAsiaTheme="majorEastAsia" w:cstheme="majorBidi"/>
      <w:b w:val="0"/>
      <w:sz w:val="3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Nzev">
    <w:name w:val="Title"/>
    <w:basedOn w:val="Normln"/>
    <w:link w:val="Nzev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NzevChar">
    <w:name w:val="Název Char"/>
    <w:basedOn w:val="Standardnpsmoodstavce"/>
    <w:link w:val="Nzev"/>
    <w:uiPriority w:val="1"/>
    <w:rsid w:val="00D86945"/>
    <w:rPr>
      <w:rFonts w:asciiTheme="majorHAnsi" w:eastAsiaTheme="majorEastAsia" w:hAnsiTheme="majorHAnsi" w:cstheme="majorBidi"/>
      <w:b/>
      <w:bCs/>
      <w:color w:val="082A75" w:themeColor="text2"/>
      <w:sz w:val="72"/>
      <w:szCs w:val="52"/>
    </w:rPr>
  </w:style>
  <w:style w:type="paragraph" w:styleId="Podnadpis">
    <w:name w:val="Subtitle"/>
    <w:basedOn w:val="Normln"/>
    <w:link w:val="PodnadpisChar"/>
    <w:uiPriority w:val="2"/>
    <w:qFormat/>
    <w:rsid w:val="00D86945"/>
    <w:pPr>
      <w:framePr w:hSpace="180" w:wrap="around" w:vAnchor="text" w:hAnchor="margin" w:y="1167"/>
    </w:pPr>
    <w:rPr>
      <w:b w:val="0"/>
      <w:caps/>
      <w:spacing w:val="20"/>
      <w:sz w:val="32"/>
    </w:rPr>
  </w:style>
  <w:style w:type="character" w:customStyle="1" w:styleId="PodnadpisChar">
    <w:name w:val="Podnadpis Char"/>
    <w:basedOn w:val="Standardnpsmoodstavce"/>
    <w:link w:val="Podnadpis"/>
    <w:uiPriority w:val="2"/>
    <w:rsid w:val="00D86945"/>
    <w:rPr>
      <w:rFonts w:eastAsiaTheme="minorEastAsia"/>
      <w:caps/>
      <w:color w:val="082A75" w:themeColor="text2"/>
      <w:spacing w:val="20"/>
      <w:sz w:val="32"/>
      <w:szCs w:val="22"/>
    </w:rPr>
  </w:style>
  <w:style w:type="character" w:customStyle="1" w:styleId="Nadpis1Char">
    <w:name w:val="Nadpis 1 Char"/>
    <w:basedOn w:val="Standardnpsmoodstavce"/>
    <w:link w:val="Nadpis1"/>
    <w:uiPriority w:val="4"/>
    <w:rsid w:val="00D077E9"/>
    <w:rPr>
      <w:rFonts w:asciiTheme="majorHAnsi" w:eastAsiaTheme="majorEastAsia" w:hAnsiTheme="majorHAnsi" w:cstheme="majorBidi"/>
      <w:b/>
      <w:color w:val="061F57" w:themeColor="text2" w:themeShade="BF"/>
      <w:kern w:val="28"/>
      <w:sz w:val="52"/>
      <w:szCs w:val="32"/>
    </w:rPr>
  </w:style>
  <w:style w:type="paragraph" w:styleId="Zhlav">
    <w:name w:val="header"/>
    <w:basedOn w:val="Normln"/>
    <w:link w:val="ZhlavChar"/>
    <w:uiPriority w:val="8"/>
    <w:unhideWhenUsed/>
    <w:rsid w:val="005037F0"/>
  </w:style>
  <w:style w:type="character" w:customStyle="1" w:styleId="ZhlavChar">
    <w:name w:val="Záhlaví Char"/>
    <w:basedOn w:val="Standardnpsmoodstavce"/>
    <w:link w:val="Zhlav"/>
    <w:uiPriority w:val="8"/>
    <w:rsid w:val="0093335D"/>
  </w:style>
  <w:style w:type="paragraph" w:styleId="Zpat">
    <w:name w:val="footer"/>
    <w:basedOn w:val="Normln"/>
    <w:link w:val="ZpatChar"/>
    <w:uiPriority w:val="99"/>
    <w:unhideWhenUsed/>
    <w:rsid w:val="005037F0"/>
  </w:style>
  <w:style w:type="character" w:customStyle="1" w:styleId="ZpatChar">
    <w:name w:val="Zápatí Char"/>
    <w:basedOn w:val="Standardnpsmoodstavce"/>
    <w:link w:val="Zpat"/>
    <w:uiPriority w:val="99"/>
    <w:rsid w:val="005037F0"/>
    <w:rPr>
      <w:sz w:val="24"/>
      <w:szCs w:val="24"/>
    </w:rPr>
  </w:style>
  <w:style w:type="paragraph" w:customStyle="1" w:styleId="Jmno">
    <w:name w:val="Jméno"/>
    <w:basedOn w:val="Normln"/>
    <w:uiPriority w:val="3"/>
    <w:qFormat/>
    <w:rsid w:val="00B231E5"/>
    <w:pPr>
      <w:spacing w:line="240" w:lineRule="auto"/>
      <w:jc w:val="right"/>
    </w:pPr>
  </w:style>
  <w:style w:type="character" w:customStyle="1" w:styleId="Nadpis2Char">
    <w:name w:val="Nadpis 2 Char"/>
    <w:basedOn w:val="Standardnpsmoodstavce"/>
    <w:link w:val="Nadpis2"/>
    <w:uiPriority w:val="4"/>
    <w:rsid w:val="00DF027C"/>
    <w:rPr>
      <w:rFonts w:eastAsiaTheme="majorEastAsia" w:cstheme="majorBidi"/>
      <w:color w:val="082A75" w:themeColor="text2"/>
      <w:sz w:val="36"/>
      <w:szCs w:val="26"/>
    </w:rPr>
  </w:style>
  <w:style w:type="table" w:styleId="Mkatabulky">
    <w:name w:val="Table Grid"/>
    <w:basedOn w:val="Normlntabulka"/>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unhideWhenUsed/>
    <w:rsid w:val="00D86945"/>
    <w:rPr>
      <w:color w:val="808080"/>
    </w:rPr>
  </w:style>
  <w:style w:type="paragraph" w:customStyle="1" w:styleId="Obsah">
    <w:name w:val="Obsah"/>
    <w:basedOn w:val="Normln"/>
    <w:link w:val="Znakobsahu"/>
    <w:qFormat/>
    <w:rsid w:val="00DF027C"/>
    <w:rPr>
      <w:b w:val="0"/>
    </w:rPr>
  </w:style>
  <w:style w:type="paragraph" w:customStyle="1" w:styleId="Zvraznntext">
    <w:name w:val="Zvýrazněný text"/>
    <w:basedOn w:val="Normln"/>
    <w:link w:val="Znakzvraznnhotextu"/>
    <w:qFormat/>
    <w:rsid w:val="00DF027C"/>
  </w:style>
  <w:style w:type="character" w:customStyle="1" w:styleId="Znakobsahu">
    <w:name w:val="Znak obsahu"/>
    <w:basedOn w:val="Standardnpsmoodstavce"/>
    <w:link w:val="Obsah"/>
    <w:rsid w:val="00DF027C"/>
    <w:rPr>
      <w:rFonts w:eastAsiaTheme="minorEastAsia"/>
      <w:color w:val="082A75" w:themeColor="text2"/>
      <w:sz w:val="28"/>
      <w:szCs w:val="22"/>
    </w:rPr>
  </w:style>
  <w:style w:type="character" w:customStyle="1" w:styleId="Znakzvraznnhotextu">
    <w:name w:val="Znak zvýrazněného textu"/>
    <w:basedOn w:val="Standardnpsmoodstavce"/>
    <w:link w:val="Zvraznntext"/>
    <w:rsid w:val="00DF027C"/>
    <w:rPr>
      <w:rFonts w:eastAsiaTheme="minorEastAsia"/>
      <w:b/>
      <w:color w:val="082A75" w:themeColor="text2"/>
      <w:sz w:val="28"/>
      <w:szCs w:val="22"/>
    </w:rPr>
  </w:style>
  <w:style w:type="paragraph" w:styleId="Bezmezer">
    <w:name w:val="No Spacing"/>
    <w:uiPriority w:val="1"/>
    <w:qFormat/>
    <w:rsid w:val="0014703E"/>
    <w:pPr>
      <w:spacing w:after="0" w:line="240" w:lineRule="auto"/>
    </w:pPr>
    <w:rPr>
      <w:sz w:val="22"/>
      <w:szCs w:val="22"/>
    </w:rPr>
  </w:style>
  <w:style w:type="paragraph" w:styleId="Odstavecseseznamem">
    <w:name w:val="List Paragraph"/>
    <w:basedOn w:val="Normln"/>
    <w:link w:val="OdstavecseseznamemChar"/>
    <w:uiPriority w:val="34"/>
    <w:qFormat/>
    <w:rsid w:val="0014703E"/>
    <w:pPr>
      <w:spacing w:after="200"/>
      <w:ind w:left="720"/>
      <w:contextualSpacing/>
    </w:pPr>
    <w:rPr>
      <w:rFonts w:eastAsiaTheme="minorHAnsi"/>
      <w:b w:val="0"/>
      <w:color w:val="auto"/>
      <w:sz w:val="22"/>
    </w:rPr>
  </w:style>
  <w:style w:type="character" w:styleId="Hypertextovodkaz">
    <w:name w:val="Hyperlink"/>
    <w:basedOn w:val="Standardnpsmoodstavce"/>
    <w:uiPriority w:val="99"/>
    <w:unhideWhenUsed/>
    <w:rsid w:val="0014703E"/>
    <w:rPr>
      <w:color w:val="0000FF"/>
      <w:u w:val="single"/>
    </w:rPr>
  </w:style>
  <w:style w:type="character" w:customStyle="1" w:styleId="OdstavecseseznamemChar">
    <w:name w:val="Odstavec se seznamem Char"/>
    <w:link w:val="Odstavecseseznamem"/>
    <w:uiPriority w:val="34"/>
    <w:locked/>
    <w:rsid w:val="0014703E"/>
    <w:rPr>
      <w:sz w:val="22"/>
      <w:szCs w:val="22"/>
    </w:rPr>
  </w:style>
  <w:style w:type="paragraph" w:styleId="Textpoznpodarou">
    <w:name w:val="footnote text"/>
    <w:aliases w:val=" Char, Char Char Char,Char,Char Char Char"/>
    <w:basedOn w:val="Normln"/>
    <w:link w:val="TextpoznpodarouChar"/>
    <w:semiHidden/>
    <w:rsid w:val="00DC4089"/>
    <w:pPr>
      <w:spacing w:line="240" w:lineRule="auto"/>
    </w:pPr>
    <w:rPr>
      <w:rFonts w:ascii="Times New Roman" w:eastAsia="Times New Roman" w:hAnsi="Times New Roman" w:cs="Times New Roman"/>
      <w:b w:val="0"/>
      <w:color w:val="auto"/>
      <w:sz w:val="20"/>
      <w:szCs w:val="20"/>
      <w:lang w:eastAsia="cs-CZ"/>
    </w:rPr>
  </w:style>
  <w:style w:type="character" w:customStyle="1" w:styleId="TextpoznpodarouChar">
    <w:name w:val="Text pozn. pod čarou Char"/>
    <w:aliases w:val=" Char Char, Char Char Char Char,Char Char,Char Char Char Char"/>
    <w:basedOn w:val="Standardnpsmoodstavce"/>
    <w:link w:val="Textpoznpodarou"/>
    <w:semiHidden/>
    <w:rsid w:val="00DC4089"/>
    <w:rPr>
      <w:rFonts w:ascii="Times New Roman" w:eastAsia="Times New Roman" w:hAnsi="Times New Roman" w:cs="Times New Roman"/>
      <w:sz w:val="20"/>
      <w:szCs w:val="20"/>
      <w:lang w:eastAsia="cs-CZ"/>
    </w:rPr>
  </w:style>
  <w:style w:type="character" w:styleId="Znakapoznpodarou">
    <w:name w:val="footnote reference"/>
    <w:semiHidden/>
    <w:rsid w:val="00DC4089"/>
    <w:rPr>
      <w:vertAlign w:val="superscript"/>
    </w:rPr>
  </w:style>
  <w:style w:type="paragraph" w:customStyle="1" w:styleId="text-large">
    <w:name w:val="text-large"/>
    <w:basedOn w:val="Normln"/>
    <w:rsid w:val="006E530F"/>
    <w:pPr>
      <w:spacing w:before="100" w:beforeAutospacing="1" w:after="100" w:afterAutospacing="1" w:line="240" w:lineRule="auto"/>
    </w:pPr>
    <w:rPr>
      <w:rFonts w:ascii="Times New Roman" w:eastAsia="Times New Roman" w:hAnsi="Times New Roman" w:cs="Times New Roman"/>
      <w:b w:val="0"/>
      <w:color w:val="auto"/>
      <w:sz w:val="24"/>
      <w:szCs w:val="24"/>
      <w:lang w:eastAsia="cs-CZ"/>
    </w:rPr>
  </w:style>
  <w:style w:type="character" w:styleId="Siln">
    <w:name w:val="Strong"/>
    <w:basedOn w:val="Standardnpsmoodstavce"/>
    <w:uiPriority w:val="22"/>
    <w:qFormat/>
    <w:rsid w:val="006E53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799868">
      <w:bodyDiv w:val="1"/>
      <w:marLeft w:val="0"/>
      <w:marRight w:val="0"/>
      <w:marTop w:val="0"/>
      <w:marBottom w:val="0"/>
      <w:divBdr>
        <w:top w:val="none" w:sz="0" w:space="0" w:color="auto"/>
        <w:left w:val="none" w:sz="0" w:space="0" w:color="auto"/>
        <w:bottom w:val="none" w:sz="0" w:space="0" w:color="auto"/>
        <w:right w:val="none" w:sz="0" w:space="0" w:color="auto"/>
      </w:divBdr>
    </w:div>
    <w:div w:id="1323698712">
      <w:bodyDiv w:val="1"/>
      <w:marLeft w:val="0"/>
      <w:marRight w:val="0"/>
      <w:marTop w:val="0"/>
      <w:marBottom w:val="0"/>
      <w:divBdr>
        <w:top w:val="none" w:sz="0" w:space="0" w:color="auto"/>
        <w:left w:val="none" w:sz="0" w:space="0" w:color="auto"/>
        <w:bottom w:val="none" w:sz="0" w:space="0" w:color="auto"/>
        <w:right w:val="none" w:sz="0" w:space="0" w:color="auto"/>
      </w:divBdr>
    </w:div>
    <w:div w:id="157797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inancnianalytickyurad.cz/files/n-2022-581-celex-32022r0581-cs-txt.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ahelovam\AppData\Local\Microsoft\Office\16.0\DTS\cs-CZ%7b5CCECA2C-F4C1-4A96-AC3B-0875B8B2C897%7d\%7b77E95D1A-AE89-49FE-99EE-E567DC74DC51%7dtf16392850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032037B8CC4739BA2DA327D25FEF75"/>
        <w:category>
          <w:name w:val="Obecné"/>
          <w:gallery w:val="placeholder"/>
        </w:category>
        <w:types>
          <w:type w:val="bbPlcHdr"/>
        </w:types>
        <w:behaviors>
          <w:behavior w:val="content"/>
        </w:behaviors>
        <w:guid w:val="{0F819FCA-B2AA-4BE6-9976-47E0D90337D7}"/>
      </w:docPartPr>
      <w:docPartBody>
        <w:p w:rsidR="0089316A" w:rsidRDefault="00AD338E">
          <w:pPr>
            <w:pStyle w:val="C5032037B8CC4739BA2DA327D25FEF75"/>
          </w:pPr>
          <w:r w:rsidRPr="00D86945">
            <w:rPr>
              <w:rStyle w:val="PodnadpisChar"/>
              <w:b/>
              <w:lang w:bidi="cs-CZ"/>
            </w:rPr>
            <w:fldChar w:fldCharType="begin"/>
          </w:r>
          <w:r w:rsidRPr="00D86945">
            <w:rPr>
              <w:rStyle w:val="PodnadpisChar"/>
              <w:lang w:bidi="cs-CZ"/>
            </w:rPr>
            <w:instrText xml:space="preserve"> DATE  \@ "MMMM d"  \* MERGEFORMAT </w:instrText>
          </w:r>
          <w:r w:rsidRPr="00D86945">
            <w:rPr>
              <w:rStyle w:val="PodnadpisChar"/>
              <w:b/>
              <w:lang w:bidi="cs-CZ"/>
            </w:rPr>
            <w:fldChar w:fldCharType="separate"/>
          </w:r>
          <w:r>
            <w:rPr>
              <w:rStyle w:val="PodnadpisChar"/>
              <w:lang w:bidi="cs-CZ"/>
            </w:rPr>
            <w:t>únor 3</w:t>
          </w:r>
          <w:r w:rsidRPr="00D86945">
            <w:rPr>
              <w:rStyle w:val="PodnadpisChar"/>
              <w:b/>
              <w:lang w:bidi="cs-CZ"/>
            </w:rP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6DB"/>
    <w:rsid w:val="00150B01"/>
    <w:rsid w:val="0089316A"/>
    <w:rsid w:val="008C16DB"/>
    <w:rsid w:val="008D5E86"/>
    <w:rsid w:val="009A171D"/>
    <w:rsid w:val="00AB7DCF"/>
    <w:rsid w:val="00AD338E"/>
    <w:rsid w:val="00CA3A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uiPriority w:val="2"/>
    <w:qFormat/>
    <w:pPr>
      <w:framePr w:hSpace="180" w:wrap="around" w:vAnchor="text" w:hAnchor="margin" w:y="1167"/>
      <w:spacing w:after="0" w:line="276" w:lineRule="auto"/>
    </w:pPr>
    <w:rPr>
      <w:caps/>
      <w:color w:val="44546A" w:themeColor="text2"/>
      <w:spacing w:val="20"/>
      <w:sz w:val="32"/>
      <w:lang w:eastAsia="en-US"/>
    </w:rPr>
  </w:style>
  <w:style w:type="character" w:customStyle="1" w:styleId="PodnadpisChar">
    <w:name w:val="Podnadpis Char"/>
    <w:basedOn w:val="Standardnpsmoodstavce"/>
    <w:link w:val="Podnadpis"/>
    <w:uiPriority w:val="2"/>
    <w:rPr>
      <w:caps/>
      <w:color w:val="44546A" w:themeColor="text2"/>
      <w:spacing w:val="20"/>
      <w:sz w:val="32"/>
      <w:lang w:eastAsia="en-US"/>
    </w:rPr>
  </w:style>
  <w:style w:type="paragraph" w:customStyle="1" w:styleId="C5032037B8CC4739BA2DA327D25FEF75">
    <w:name w:val="C5032037B8CC4739BA2DA327D25FEF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{77E95D1A-AE89-49FE-99EE-E567DC74DC51}tf16392850_win32.dotx</Template>
  <TotalTime>246</TotalTime>
  <Pages>19</Pages>
  <Words>6426</Words>
  <Characters>37916</Characters>
  <Application>Microsoft Office Word</Application>
  <DocSecurity>0</DocSecurity>
  <Lines>315</Lines>
  <Paragraphs>88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Matochová Michala</dc:creator>
  <cp:keywords/>
  <cp:lastModifiedBy>Matochová Michala</cp:lastModifiedBy>
  <cp:revision>35</cp:revision>
  <cp:lastPrinted>2006-08-01T17:47:00Z</cp:lastPrinted>
  <dcterms:created xsi:type="dcterms:W3CDTF">2022-04-24T13:24:00Z</dcterms:created>
  <dcterms:modified xsi:type="dcterms:W3CDTF">2022-05-02T07:18:00Z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