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0FE2A0A8" w:rsidR="00D077E9" w:rsidRPr="008E3CAD" w:rsidRDefault="00240052" w:rsidP="00D70D02">
      <w:pPr>
        <w:rPr>
          <w:noProof/>
          <w:color w:val="0F0D29" w:themeColor="text1"/>
        </w:rPr>
      </w:pPr>
      <w:r w:rsidRPr="008E3CAD">
        <w:rPr>
          <w:noProof/>
          <w:color w:val="0F0D29" w:themeColor="text1"/>
        </w:rPr>
        <w:drawing>
          <wp:anchor distT="0" distB="0" distL="114300" distR="114300" simplePos="0" relativeHeight="251662336" behindDoc="1" locked="0" layoutInCell="1" allowOverlap="1" wp14:anchorId="5D3EB1F1" wp14:editId="1969DD6F">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r w:rsidR="00AB02A7" w:rsidRPr="008E3CAD">
        <w:rPr>
          <w:noProof/>
          <w:color w:val="0F0D29" w:themeColor="text1"/>
          <w:lang w:bidi="cs-CZ"/>
        </w:rPr>
        <mc:AlternateContent>
          <mc:Choice Requires="wps">
            <w:drawing>
              <wp:anchor distT="0" distB="0" distL="114300" distR="114300" simplePos="0" relativeHeight="251663360" behindDoc="1" locked="0" layoutInCell="1" allowOverlap="1" wp14:anchorId="46487825" wp14:editId="3CFB0EBC">
                <wp:simplePos x="0" y="0"/>
                <wp:positionH relativeFrom="column">
                  <wp:posOffset>-203835</wp:posOffset>
                </wp:positionH>
                <wp:positionV relativeFrom="page">
                  <wp:posOffset>933450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0581" id="Obdélník 3" o:spid="_x0000_s1026" alt="bílý obdélník pro text na titulní straně" style="position:absolute;margin-left:-16.05pt;margin-top:73.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bidi="cs-CZ"/>
              </w:rPr>
              <mc:AlternateContent>
                <mc:Choice Requires="wps">
                  <w:drawing>
                    <wp:inline distT="0" distB="0" distL="0" distR="0" wp14:anchorId="79AB1C24" wp14:editId="44319435">
                      <wp:extent cx="3528695" cy="2181225"/>
                      <wp:effectExtent l="0" t="0" r="0" b="0"/>
                      <wp:docPr id="8" name="Textové pole 8"/>
                      <wp:cNvGraphicFramePr/>
                      <a:graphic xmlns:a="http://schemas.openxmlformats.org/drawingml/2006/main">
                        <a:graphicData uri="http://schemas.microsoft.com/office/word/2010/wordprocessingShape">
                          <wps:wsp>
                            <wps:cNvSpPr txBox="1"/>
                            <wps:spPr>
                              <a:xfrm>
                                <a:off x="0" y="0"/>
                                <a:ext cx="3528695" cy="2181225"/>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386F619" w:rsidR="00240052" w:rsidRPr="00815900" w:rsidRDefault="001559DF" w:rsidP="00D077E9">
                                  <w:pPr>
                                    <w:pStyle w:val="Nzev"/>
                                    <w:spacing w:after="0"/>
                                    <w:rPr>
                                      <w:color w:val="0F0D29" w:themeColor="text1"/>
                                      <w:sz w:val="56"/>
                                      <w:szCs w:val="48"/>
                                    </w:rPr>
                                  </w:pPr>
                                  <w:r>
                                    <w:rPr>
                                      <w:color w:val="0F0D29" w:themeColor="text1"/>
                                      <w:sz w:val="56"/>
                                      <w:szCs w:val="48"/>
                                      <w:lang w:bidi="cs-CZ"/>
                                    </w:rPr>
                                    <w:t>únor-březen</w:t>
                                  </w:r>
                                  <w:r w:rsidR="00240052" w:rsidRPr="00815900">
                                    <w:rPr>
                                      <w:color w:val="0F0D29" w:themeColor="text1"/>
                                      <w:sz w:val="56"/>
                                      <w:szCs w:val="48"/>
                                      <w:lang w:bidi="cs-CZ"/>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386F619" w:rsidR="00240052" w:rsidRPr="00815900" w:rsidRDefault="001559DF" w:rsidP="00D077E9">
                            <w:pPr>
                              <w:pStyle w:val="Nzev"/>
                              <w:spacing w:after="0"/>
                              <w:rPr>
                                <w:color w:val="0F0D29" w:themeColor="text1"/>
                                <w:sz w:val="56"/>
                                <w:szCs w:val="48"/>
                              </w:rPr>
                            </w:pPr>
                            <w:r>
                              <w:rPr>
                                <w:color w:val="0F0D29" w:themeColor="text1"/>
                                <w:sz w:val="56"/>
                                <w:szCs w:val="48"/>
                                <w:lang w:bidi="cs-CZ"/>
                              </w:rPr>
                              <w:t>únor-březen</w:t>
                            </w:r>
                            <w:r w:rsidR="00240052" w:rsidRPr="00815900">
                              <w:rPr>
                                <w:color w:val="0F0D29" w:themeColor="text1"/>
                                <w:sz w:val="56"/>
                                <w:szCs w:val="48"/>
                                <w:lang w:bidi="cs-CZ"/>
                              </w:rPr>
                              <w:t xml:space="preserve"> 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bidi="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bidi="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1F6C5D0A"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E03770">
              <w:rPr>
                <w:b w:val="0"/>
                <w:bCs/>
                <w:noProof/>
                <w:color w:val="0F0D29" w:themeColor="text1"/>
              </w:rPr>
              <w:t> 21.</w:t>
            </w:r>
            <w:r w:rsidR="00196F8A">
              <w:rPr>
                <w:b w:val="0"/>
                <w:bCs/>
                <w:noProof/>
                <w:color w:val="0F0D29" w:themeColor="text1"/>
              </w:rPr>
              <w:t>3.2022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bidi="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F5617F">
        <w:trPr>
          <w:trHeight w:val="5931"/>
        </w:trPr>
        <w:tc>
          <w:tcPr>
            <w:tcW w:w="9735" w:type="dxa"/>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348C9D52" w14:textId="77777777" w:rsidR="0014703E" w:rsidRPr="005078C0" w:rsidRDefault="0014703E" w:rsidP="008E3CAD">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12877154" w14:textId="77777777" w:rsidR="00815900" w:rsidRDefault="00815900" w:rsidP="005078C0">
            <w:pPr>
              <w:pStyle w:val="Odstavecseseznamem"/>
              <w:spacing w:line="360" w:lineRule="auto"/>
              <w:ind w:left="284"/>
              <w:jc w:val="both"/>
              <w:rPr>
                <w:rFonts w:ascii="Arial" w:hAnsi="Arial" w:cs="Arial"/>
                <w:color w:val="0F0D29" w:themeColor="text1"/>
                <w:sz w:val="20"/>
                <w:szCs w:val="20"/>
              </w:rPr>
            </w:pPr>
          </w:p>
          <w:p w14:paraId="78D2EA68" w14:textId="2B764AF2" w:rsidR="00815900" w:rsidRPr="005078C0" w:rsidRDefault="00DE0025" w:rsidP="00DE0025">
            <w:pPr>
              <w:pStyle w:val="Odstavecseseznamem"/>
              <w:numPr>
                <w:ilvl w:val="0"/>
                <w:numId w:val="1"/>
              </w:numPr>
              <w:spacing w:line="360" w:lineRule="auto"/>
              <w:jc w:val="both"/>
              <w:rPr>
                <w:rFonts w:ascii="Arial" w:hAnsi="Arial" w:cs="Arial"/>
                <w:color w:val="0F0D29" w:themeColor="text1"/>
                <w:sz w:val="18"/>
                <w:szCs w:val="18"/>
              </w:rPr>
            </w:pPr>
            <w:r w:rsidRPr="00DE0025">
              <w:rPr>
                <w:rFonts w:ascii="Arial" w:hAnsi="Arial" w:cs="Arial"/>
                <w:color w:val="0F0D29" w:themeColor="text1"/>
                <w:sz w:val="20"/>
                <w:szCs w:val="20"/>
              </w:rPr>
              <w:t xml:space="preserve">NAŘÍZENÍ RADY (EU) 2022/428  ze dne 15. března 2022, kterým se mění nařízení (EU) č. 833/2014 o omezujících opatřeních vzhledem k činnostem Ruska destabilizujícím situaci na Ukrajině </w:t>
            </w:r>
          </w:p>
          <w:p w14:paraId="43A3D180" w14:textId="77777777" w:rsidR="0014703E" w:rsidRPr="005078C0" w:rsidRDefault="0014703E" w:rsidP="008E3CAD">
            <w:pPr>
              <w:pStyle w:val="Bezmezer"/>
              <w:spacing w:line="360" w:lineRule="auto"/>
              <w:jc w:val="both"/>
              <w:rPr>
                <w:rFonts w:ascii="Arial" w:hAnsi="Arial" w:cs="Arial"/>
                <w:b/>
                <w:color w:val="0F0D29" w:themeColor="text1"/>
              </w:rPr>
            </w:pPr>
            <w:r w:rsidRPr="005078C0">
              <w:rPr>
                <w:rFonts w:ascii="Arial" w:hAnsi="Arial" w:cs="Arial"/>
                <w:b/>
                <w:color w:val="0F0D29" w:themeColor="text1"/>
                <w:sz w:val="24"/>
              </w:rPr>
              <w:t>II</w:t>
            </w:r>
            <w:r w:rsidRPr="005078C0">
              <w:rPr>
                <w:rFonts w:ascii="Arial" w:hAnsi="Arial" w:cs="Arial"/>
                <w:b/>
                <w:color w:val="0F0D29" w:themeColor="text1"/>
                <w:sz w:val="28"/>
                <w:szCs w:val="24"/>
              </w:rPr>
              <w:t xml:space="preserve">. </w:t>
            </w:r>
            <w:r w:rsidRPr="005078C0">
              <w:rPr>
                <w:rFonts w:ascii="Arial" w:hAnsi="Arial" w:cs="Arial"/>
                <w:b/>
                <w:color w:val="0F0D29" w:themeColor="text1"/>
                <w:sz w:val="24"/>
                <w:szCs w:val="24"/>
              </w:rPr>
              <w:t>Připravovaná legislativa</w:t>
            </w:r>
          </w:p>
          <w:p w14:paraId="0F4D70D1" w14:textId="77777777" w:rsidR="00815900" w:rsidRDefault="00815900" w:rsidP="00815900">
            <w:pPr>
              <w:pStyle w:val="Bezmezer"/>
              <w:spacing w:line="360" w:lineRule="auto"/>
              <w:ind w:left="720"/>
              <w:jc w:val="both"/>
              <w:rPr>
                <w:rFonts w:ascii="Arial" w:hAnsi="Arial" w:cs="Arial"/>
                <w:b/>
                <w:color w:val="0F0D29" w:themeColor="text1"/>
                <w:sz w:val="20"/>
                <w:szCs w:val="20"/>
              </w:rPr>
            </w:pPr>
          </w:p>
          <w:p w14:paraId="7EA8F6FC" w14:textId="71135FC1" w:rsidR="0014703E" w:rsidRPr="00815900" w:rsidRDefault="0014703E" w:rsidP="008E3CAD">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6269E2C2" w14:textId="43663590" w:rsidR="0014703E" w:rsidRDefault="00080627" w:rsidP="00080627">
            <w:pPr>
              <w:pStyle w:val="Odstavecseseznamem"/>
              <w:numPr>
                <w:ilvl w:val="0"/>
                <w:numId w:val="1"/>
              </w:numPr>
              <w:spacing w:line="360" w:lineRule="auto"/>
              <w:jc w:val="both"/>
              <w:rPr>
                <w:rFonts w:ascii="Arial" w:hAnsi="Arial" w:cs="Arial"/>
                <w:color w:val="0F0D29" w:themeColor="text1"/>
                <w:sz w:val="20"/>
                <w:szCs w:val="20"/>
              </w:rPr>
            </w:pPr>
            <w:r w:rsidRPr="00080627">
              <w:rPr>
                <w:rFonts w:ascii="Arial" w:hAnsi="Arial" w:cs="Arial"/>
                <w:color w:val="0F0D29" w:themeColor="text1"/>
                <w:sz w:val="20"/>
                <w:szCs w:val="20"/>
              </w:rPr>
              <w:t>Novela zákona č. 89/2012 Sb., občanský zákoník</w:t>
            </w:r>
          </w:p>
          <w:p w14:paraId="4321B4D9" w14:textId="28D27702" w:rsidR="00080627" w:rsidRDefault="00080627" w:rsidP="00080627">
            <w:pPr>
              <w:pStyle w:val="Odstavecseseznamem"/>
              <w:numPr>
                <w:ilvl w:val="0"/>
                <w:numId w:val="1"/>
              </w:numPr>
              <w:spacing w:line="360" w:lineRule="auto"/>
              <w:jc w:val="both"/>
              <w:rPr>
                <w:rFonts w:ascii="Arial" w:hAnsi="Arial" w:cs="Arial"/>
                <w:color w:val="0F0D29" w:themeColor="text1"/>
                <w:sz w:val="20"/>
                <w:szCs w:val="20"/>
              </w:rPr>
            </w:pPr>
            <w:r w:rsidRPr="00080627">
              <w:rPr>
                <w:rFonts w:ascii="Arial" w:hAnsi="Arial" w:cs="Arial"/>
                <w:color w:val="0F0D29" w:themeColor="text1"/>
                <w:sz w:val="20"/>
                <w:szCs w:val="20"/>
              </w:rPr>
              <w:t>Novela zákona č. 159/2006 Sb., o střetu zájmů</w:t>
            </w:r>
          </w:p>
          <w:p w14:paraId="2D2C4039" w14:textId="77777777" w:rsidR="00080627" w:rsidRPr="00815900" w:rsidRDefault="00080627" w:rsidP="00080627">
            <w:pPr>
              <w:pStyle w:val="Odstavecseseznamem"/>
              <w:spacing w:line="360" w:lineRule="auto"/>
              <w:ind w:left="786"/>
              <w:jc w:val="both"/>
              <w:rPr>
                <w:rFonts w:ascii="Arial" w:hAnsi="Arial" w:cs="Arial"/>
                <w:color w:val="0F0D29" w:themeColor="text1"/>
                <w:sz w:val="20"/>
                <w:szCs w:val="20"/>
              </w:rPr>
            </w:pP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0F0756D4" w14:textId="77777777" w:rsidR="009F2434" w:rsidRP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sidRPr="009F2434">
              <w:rPr>
                <w:rFonts w:ascii="Arial" w:hAnsi="Arial" w:cs="Arial"/>
                <w:bCs/>
                <w:color w:val="0F0D29" w:themeColor="text1"/>
                <w:sz w:val="20"/>
                <w:szCs w:val="20"/>
              </w:rPr>
              <w:t>Návrh zákona, kterým se mění zákon č. 383/2012 Sb., o podmínkách obchodování s povolenkami na emise skleníkových plynů</w:t>
            </w:r>
          </w:p>
          <w:p w14:paraId="279AAFD3" w14:textId="3CB3DFDA" w:rsidR="009F2434" w:rsidRP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sidRPr="009F2434">
              <w:rPr>
                <w:rFonts w:ascii="Arial" w:hAnsi="Arial" w:cs="Arial"/>
                <w:bCs/>
                <w:color w:val="0F0D29" w:themeColor="text1"/>
                <w:sz w:val="20"/>
                <w:szCs w:val="20"/>
              </w:rPr>
              <w:t>Novela zákona</w:t>
            </w:r>
            <w:r>
              <w:rPr>
                <w:rFonts w:ascii="Arial" w:hAnsi="Arial" w:cs="Arial"/>
                <w:bCs/>
                <w:color w:val="0F0D29" w:themeColor="text1"/>
                <w:sz w:val="20"/>
                <w:szCs w:val="20"/>
              </w:rPr>
              <w:t xml:space="preserve"> č. </w:t>
            </w:r>
            <w:r>
              <w:t xml:space="preserve"> </w:t>
            </w:r>
            <w:r w:rsidRPr="009F2434">
              <w:rPr>
                <w:rFonts w:ascii="Arial" w:hAnsi="Arial" w:cs="Arial"/>
                <w:bCs/>
                <w:color w:val="0F0D29" w:themeColor="text1"/>
                <w:sz w:val="20"/>
                <w:szCs w:val="20"/>
              </w:rPr>
              <w:t>200/1994 Sb</w:t>
            </w:r>
            <w:r>
              <w:rPr>
                <w:rFonts w:ascii="Arial" w:hAnsi="Arial" w:cs="Arial"/>
                <w:bCs/>
                <w:color w:val="0F0D29" w:themeColor="text1"/>
                <w:sz w:val="20"/>
                <w:szCs w:val="20"/>
              </w:rPr>
              <w:t>.,</w:t>
            </w:r>
            <w:r w:rsidRPr="009F2434">
              <w:rPr>
                <w:rFonts w:ascii="Arial" w:hAnsi="Arial" w:cs="Arial"/>
                <w:bCs/>
                <w:color w:val="0F0D29" w:themeColor="text1"/>
                <w:sz w:val="20"/>
                <w:szCs w:val="20"/>
              </w:rPr>
              <w:t xml:space="preserve"> o zeměměřictví</w:t>
            </w:r>
          </w:p>
          <w:p w14:paraId="7457FCF4" w14:textId="2274E409" w:rsidR="009F2434" w:rsidRP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S</w:t>
            </w:r>
            <w:r w:rsidRPr="009F2434">
              <w:rPr>
                <w:rFonts w:ascii="Arial" w:hAnsi="Arial" w:cs="Arial"/>
                <w:bCs/>
                <w:color w:val="0F0D29" w:themeColor="text1"/>
                <w:sz w:val="20"/>
                <w:szCs w:val="20"/>
              </w:rPr>
              <w:t>měrnice o náležité péči podniků v oblasti udržitelnosti</w:t>
            </w:r>
          </w:p>
          <w:p w14:paraId="6E900B88" w14:textId="77777777" w:rsidR="009F2434" w:rsidRP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sidRPr="009F2434">
              <w:rPr>
                <w:rFonts w:ascii="Arial" w:hAnsi="Arial" w:cs="Arial"/>
                <w:bCs/>
                <w:color w:val="0F0D29" w:themeColor="text1"/>
                <w:sz w:val="20"/>
                <w:szCs w:val="20"/>
              </w:rPr>
              <w:t>Novela zákona č. 235/2004 Sb., o dani z přidané hodnoty</w:t>
            </w:r>
          </w:p>
          <w:p w14:paraId="3C7AC2A0" w14:textId="661C3F63" w:rsidR="00A76167" w:rsidRDefault="00A76167" w:rsidP="009F2434">
            <w:pPr>
              <w:pStyle w:val="Odstavecseseznamem"/>
              <w:numPr>
                <w:ilvl w:val="0"/>
                <w:numId w:val="1"/>
              </w:numPr>
              <w:spacing w:line="360" w:lineRule="auto"/>
              <w:jc w:val="both"/>
              <w:rPr>
                <w:rFonts w:ascii="Arial" w:hAnsi="Arial" w:cs="Arial"/>
                <w:bCs/>
                <w:color w:val="0F0D29" w:themeColor="text1"/>
                <w:sz w:val="20"/>
                <w:szCs w:val="20"/>
              </w:rPr>
            </w:pPr>
            <w:r w:rsidRPr="00A76167">
              <w:rPr>
                <w:rFonts w:ascii="Arial" w:hAnsi="Arial" w:cs="Arial"/>
                <w:bCs/>
                <w:color w:val="0F0D29" w:themeColor="text1"/>
                <w:sz w:val="20"/>
                <w:szCs w:val="20"/>
              </w:rPr>
              <w:t>Návrh zákona, kterým se zrušuje zákon č. 112/2016 Sb., o evidenci tržeb, ve znění pozdějších předpisů, a mění a zrušují další související právní předpisy</w:t>
            </w:r>
          </w:p>
          <w:p w14:paraId="27175A04" w14:textId="23883C37" w:rsidR="009F2434" w:rsidRP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sidRPr="009F2434">
              <w:rPr>
                <w:rFonts w:ascii="Arial" w:hAnsi="Arial" w:cs="Arial"/>
                <w:bCs/>
                <w:color w:val="0F0D29" w:themeColor="text1"/>
                <w:sz w:val="20"/>
                <w:szCs w:val="20"/>
              </w:rPr>
              <w:t>Návrh nařízení vlády o vyhrazených zdvihacích zařízeních a požadavcích na zajištění jejich bezpečnosti</w:t>
            </w:r>
          </w:p>
          <w:p w14:paraId="45E51DCD" w14:textId="77777777" w:rsidR="009F2434" w:rsidRP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sidRPr="009F2434">
              <w:rPr>
                <w:rFonts w:ascii="Arial" w:hAnsi="Arial" w:cs="Arial"/>
                <w:bCs/>
                <w:color w:val="0F0D29" w:themeColor="text1"/>
                <w:sz w:val="20"/>
                <w:szCs w:val="20"/>
              </w:rPr>
              <w:t>Návrh nařízení vlády o požadavcích na odbornou způsobilost k výkonu činnosti na elektrických zařízeních a na odbornou způsobilost v elektrotechnice</w:t>
            </w:r>
          </w:p>
          <w:p w14:paraId="0450E040" w14:textId="77777777" w:rsid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sidRPr="009F2434">
              <w:rPr>
                <w:rFonts w:ascii="Arial" w:hAnsi="Arial" w:cs="Arial"/>
                <w:bCs/>
                <w:color w:val="0F0D29" w:themeColor="text1"/>
                <w:sz w:val="20"/>
                <w:szCs w:val="20"/>
              </w:rPr>
              <w:t>Návrh nařízení vlády o vyhrazených plynových zařízeních a požadavcích na zajištění jejich bezpečnosti</w:t>
            </w:r>
          </w:p>
          <w:p w14:paraId="6F5B02D9" w14:textId="0972631C" w:rsidR="0014703E" w:rsidRPr="009F2434" w:rsidRDefault="009F2434" w:rsidP="009F2434">
            <w:pPr>
              <w:pStyle w:val="Odstavecseseznamem"/>
              <w:numPr>
                <w:ilvl w:val="0"/>
                <w:numId w:val="1"/>
              </w:numPr>
              <w:spacing w:line="360" w:lineRule="auto"/>
              <w:jc w:val="both"/>
              <w:rPr>
                <w:rFonts w:ascii="Arial" w:hAnsi="Arial" w:cs="Arial"/>
                <w:bCs/>
                <w:color w:val="0F0D29" w:themeColor="text1"/>
                <w:sz w:val="20"/>
                <w:szCs w:val="20"/>
              </w:rPr>
            </w:pPr>
            <w:r w:rsidRPr="009F2434">
              <w:rPr>
                <w:rFonts w:ascii="Arial" w:hAnsi="Arial" w:cs="Arial"/>
                <w:bCs/>
                <w:color w:val="0F0D29" w:themeColor="text1"/>
                <w:sz w:val="20"/>
                <w:szCs w:val="20"/>
              </w:rPr>
              <w:t>Návrh nařízení vlády o vyhrazených tlakových zařízeních a požadavcích na zajištění jejich bezpečnosti</w:t>
            </w:r>
          </w:p>
          <w:p w14:paraId="5BEEFD3A" w14:textId="77777777" w:rsidR="00815900" w:rsidRPr="005078C0" w:rsidRDefault="00815900" w:rsidP="008E3CAD">
            <w:pPr>
              <w:pStyle w:val="Bezmezer"/>
              <w:spacing w:line="360" w:lineRule="auto"/>
              <w:ind w:left="720"/>
              <w:jc w:val="both"/>
              <w:rPr>
                <w:rFonts w:ascii="Arial" w:hAnsi="Arial" w:cs="Arial"/>
                <w:b/>
                <w:color w:val="0F0D29" w:themeColor="text1"/>
                <w:sz w:val="18"/>
                <w:szCs w:val="18"/>
              </w:rPr>
            </w:pPr>
          </w:p>
          <w:p w14:paraId="118937B2" w14:textId="24983B9D"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7F33CCB9" w14:textId="459D71F1" w:rsidR="00E67A9D" w:rsidRPr="00E67A9D" w:rsidRDefault="00E67A9D" w:rsidP="00E67A9D">
            <w:pPr>
              <w:pStyle w:val="Odstavecseseznamem"/>
              <w:numPr>
                <w:ilvl w:val="0"/>
                <w:numId w:val="1"/>
              </w:numPr>
              <w:spacing w:line="360" w:lineRule="auto"/>
              <w:jc w:val="both"/>
              <w:rPr>
                <w:rFonts w:ascii="Arial" w:hAnsi="Arial" w:cs="Arial"/>
                <w:bCs/>
                <w:color w:val="0F0D29" w:themeColor="text1"/>
                <w:sz w:val="20"/>
                <w:szCs w:val="20"/>
              </w:rPr>
            </w:pPr>
            <w:r w:rsidRPr="00E67A9D">
              <w:rPr>
                <w:rFonts w:ascii="Arial" w:hAnsi="Arial" w:cs="Arial"/>
                <w:bCs/>
                <w:color w:val="0F0D29" w:themeColor="text1"/>
                <w:sz w:val="20"/>
                <w:szCs w:val="20"/>
              </w:rPr>
              <w:t>Útok na majetek zaměstnavatele</w:t>
            </w:r>
          </w:p>
          <w:p w14:paraId="44290D15" w14:textId="658BB548" w:rsidR="00E67A9D" w:rsidRDefault="00E67A9D" w:rsidP="00E67A9D">
            <w:pPr>
              <w:pStyle w:val="Odstavecseseznamem"/>
              <w:numPr>
                <w:ilvl w:val="0"/>
                <w:numId w:val="1"/>
              </w:numPr>
              <w:spacing w:line="360" w:lineRule="auto"/>
              <w:jc w:val="both"/>
              <w:rPr>
                <w:rFonts w:ascii="Arial" w:hAnsi="Arial" w:cs="Arial"/>
                <w:bCs/>
                <w:color w:val="0F0D29" w:themeColor="text1"/>
                <w:sz w:val="20"/>
                <w:szCs w:val="20"/>
              </w:rPr>
            </w:pPr>
            <w:r w:rsidRPr="00E67A9D">
              <w:rPr>
                <w:rFonts w:ascii="Arial" w:hAnsi="Arial" w:cs="Arial"/>
                <w:bCs/>
                <w:color w:val="0F0D29" w:themeColor="text1"/>
                <w:sz w:val="20"/>
                <w:szCs w:val="20"/>
              </w:rPr>
              <w:t>Hrubá nedbalost a zřízení nezbytné cesty</w:t>
            </w:r>
          </w:p>
          <w:p w14:paraId="3BB67A80" w14:textId="2EC410C6" w:rsidR="00433509" w:rsidRPr="00E67A9D" w:rsidRDefault="00433509" w:rsidP="00E67A9D">
            <w:pPr>
              <w:pStyle w:val="Odstavecseseznamem"/>
              <w:numPr>
                <w:ilvl w:val="0"/>
                <w:numId w:val="1"/>
              </w:numPr>
              <w:spacing w:line="360" w:lineRule="auto"/>
              <w:jc w:val="both"/>
              <w:rPr>
                <w:rFonts w:ascii="Arial" w:hAnsi="Arial" w:cs="Arial"/>
                <w:bCs/>
                <w:color w:val="0F0D29" w:themeColor="text1"/>
                <w:sz w:val="20"/>
                <w:szCs w:val="20"/>
              </w:rPr>
            </w:pPr>
            <w:r w:rsidRPr="00433509">
              <w:rPr>
                <w:rFonts w:ascii="Arial" w:hAnsi="Arial" w:cs="Arial"/>
                <w:bCs/>
                <w:color w:val="0F0D29" w:themeColor="text1"/>
                <w:sz w:val="20"/>
                <w:szCs w:val="20"/>
              </w:rPr>
              <w:t>Limitace výše náhrady škody způsobené zaměstnancem</w:t>
            </w:r>
          </w:p>
          <w:p w14:paraId="41DDCEBE" w14:textId="6CD4DCDB" w:rsidR="00E67A9D" w:rsidRPr="00E67A9D" w:rsidRDefault="00E67A9D" w:rsidP="00E67A9D">
            <w:pPr>
              <w:pStyle w:val="Odstavecseseznamem"/>
              <w:numPr>
                <w:ilvl w:val="0"/>
                <w:numId w:val="1"/>
              </w:numPr>
              <w:spacing w:line="360" w:lineRule="auto"/>
              <w:jc w:val="both"/>
              <w:rPr>
                <w:rFonts w:ascii="Arial" w:hAnsi="Arial" w:cs="Arial"/>
                <w:bCs/>
                <w:color w:val="0F0D29" w:themeColor="text1"/>
                <w:sz w:val="20"/>
                <w:szCs w:val="20"/>
              </w:rPr>
            </w:pPr>
            <w:r w:rsidRPr="00E67A9D">
              <w:rPr>
                <w:rFonts w:ascii="Arial" w:hAnsi="Arial" w:cs="Arial"/>
                <w:bCs/>
                <w:color w:val="0F0D29" w:themeColor="text1"/>
                <w:sz w:val="20"/>
                <w:szCs w:val="20"/>
              </w:rPr>
              <w:t>Pokyny EBA k palivovým kartám</w:t>
            </w:r>
          </w:p>
          <w:p w14:paraId="44C1E628" w14:textId="77777777" w:rsidR="00815900" w:rsidRPr="005078C0" w:rsidRDefault="00815900" w:rsidP="008E3CAD">
            <w:pPr>
              <w:pStyle w:val="Bezmezer"/>
              <w:spacing w:line="360" w:lineRule="auto"/>
              <w:jc w:val="both"/>
              <w:rPr>
                <w:rFonts w:ascii="Arial" w:hAnsi="Arial" w:cs="Arial"/>
                <w:b/>
                <w:color w:val="0F0D29" w:themeColor="text1"/>
              </w:rPr>
            </w:pPr>
          </w:p>
          <w:p w14:paraId="0F647D18" w14:textId="78AF51B9" w:rsidR="007C7E90" w:rsidRDefault="007C7E90" w:rsidP="007C7E90">
            <w:pPr>
              <w:spacing w:line="360" w:lineRule="auto"/>
              <w:jc w:val="both"/>
              <w:rPr>
                <w:rFonts w:ascii="Arial" w:hAnsi="Arial" w:cs="Arial"/>
                <w:color w:val="0F0D29" w:themeColor="text1"/>
                <w:sz w:val="20"/>
              </w:rPr>
            </w:pPr>
          </w:p>
          <w:p w14:paraId="729534CB" w14:textId="1B3A051A" w:rsidR="0014703E" w:rsidRDefault="0014703E" w:rsidP="008E3CAD">
            <w:pPr>
              <w:pStyle w:val="Odstavecseseznamem"/>
              <w:spacing w:line="360" w:lineRule="auto"/>
              <w:ind w:left="786"/>
              <w:jc w:val="both"/>
              <w:rPr>
                <w:rFonts w:ascii="Arial" w:hAnsi="Arial" w:cs="Arial"/>
                <w:color w:val="0F0D29" w:themeColor="text1"/>
                <w:sz w:val="18"/>
                <w:szCs w:val="20"/>
              </w:rPr>
            </w:pPr>
          </w:p>
          <w:p w14:paraId="1BE28054" w14:textId="5B61CDBD" w:rsidR="00196F8A" w:rsidRDefault="00196F8A" w:rsidP="008E3CAD">
            <w:pPr>
              <w:pStyle w:val="Odstavecseseznamem"/>
              <w:spacing w:line="360" w:lineRule="auto"/>
              <w:ind w:left="786"/>
              <w:jc w:val="both"/>
              <w:rPr>
                <w:rFonts w:ascii="Arial" w:hAnsi="Arial" w:cs="Arial"/>
                <w:color w:val="0F0D29" w:themeColor="text1"/>
                <w:sz w:val="18"/>
                <w:szCs w:val="20"/>
              </w:rPr>
            </w:pPr>
          </w:p>
          <w:p w14:paraId="521EA07A" w14:textId="7BFF59D5" w:rsidR="00196F8A" w:rsidRDefault="00196F8A" w:rsidP="008E3CAD">
            <w:pPr>
              <w:pStyle w:val="Odstavecseseznamem"/>
              <w:spacing w:line="360" w:lineRule="auto"/>
              <w:ind w:left="786"/>
              <w:jc w:val="both"/>
              <w:rPr>
                <w:rFonts w:ascii="Arial" w:hAnsi="Arial" w:cs="Arial"/>
                <w:color w:val="0F0D29" w:themeColor="text1"/>
                <w:sz w:val="18"/>
                <w:szCs w:val="20"/>
              </w:rPr>
            </w:pPr>
          </w:p>
          <w:p w14:paraId="0E2647B4" w14:textId="6D9979AA" w:rsidR="00196F8A" w:rsidRDefault="00196F8A" w:rsidP="008E3CAD">
            <w:pPr>
              <w:pStyle w:val="Odstavecseseznamem"/>
              <w:spacing w:line="360" w:lineRule="auto"/>
              <w:ind w:left="786"/>
              <w:jc w:val="both"/>
              <w:rPr>
                <w:rFonts w:ascii="Arial" w:hAnsi="Arial" w:cs="Arial"/>
                <w:color w:val="0F0D29" w:themeColor="text1"/>
                <w:sz w:val="18"/>
                <w:szCs w:val="20"/>
              </w:rPr>
            </w:pPr>
          </w:p>
          <w:p w14:paraId="33DD4E38" w14:textId="4C0E7DB4" w:rsidR="00196F8A" w:rsidRDefault="00196F8A" w:rsidP="008E3CAD">
            <w:pPr>
              <w:pStyle w:val="Odstavecseseznamem"/>
              <w:spacing w:line="360" w:lineRule="auto"/>
              <w:ind w:left="786"/>
              <w:jc w:val="both"/>
              <w:rPr>
                <w:rFonts w:ascii="Arial" w:hAnsi="Arial" w:cs="Arial"/>
                <w:color w:val="0F0D29" w:themeColor="text1"/>
                <w:sz w:val="18"/>
                <w:szCs w:val="20"/>
              </w:rPr>
            </w:pPr>
          </w:p>
          <w:p w14:paraId="62F9478B" w14:textId="103A8195" w:rsidR="00196F8A" w:rsidRDefault="00196F8A" w:rsidP="008E3CAD">
            <w:pPr>
              <w:pStyle w:val="Odstavecseseznamem"/>
              <w:spacing w:line="360" w:lineRule="auto"/>
              <w:ind w:left="786"/>
              <w:jc w:val="both"/>
              <w:rPr>
                <w:rFonts w:ascii="Arial" w:hAnsi="Arial" w:cs="Arial"/>
                <w:color w:val="0F0D29" w:themeColor="text1"/>
                <w:sz w:val="18"/>
                <w:szCs w:val="20"/>
              </w:rPr>
            </w:pPr>
          </w:p>
          <w:p w14:paraId="6ED62FA4" w14:textId="77777777"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Platné právní předpisy vyhlášené ve Sbírce zákonů</w:t>
            </w:r>
          </w:p>
          <w:p w14:paraId="29EE965F" w14:textId="77777777" w:rsidR="0014703E" w:rsidRPr="005078C0" w:rsidRDefault="0014703E" w:rsidP="008E3CAD">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p>
          <w:p w14:paraId="655DFE1E" w14:textId="77777777" w:rsidR="00DE0025" w:rsidRDefault="00DE0025" w:rsidP="00DE0025">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sidRPr="00DE0025">
              <w:rPr>
                <w:rStyle w:val="Hypertextovodkaz"/>
                <w:rFonts w:ascii="Arial" w:eastAsia="Times New Roman" w:hAnsi="Arial" w:cs="Arial"/>
                <w:b/>
                <w:bCs/>
                <w:color w:val="0F0D29" w:themeColor="text1"/>
                <w:kern w:val="36"/>
                <w:sz w:val="24"/>
                <w:szCs w:val="20"/>
                <w:u w:val="none"/>
                <w:lang w:eastAsia="cs-CZ"/>
              </w:rPr>
              <w:t>NAŘÍZENÍ RADY (EU) 2022/428  ze dne 15. března 2022, kterým se mění nařízení (EU) č. 833/2014 o omezujících opatřeních vzhledem k činnostem Ruska destabilizujícím situaci na Ukrajině</w:t>
            </w:r>
          </w:p>
          <w:p w14:paraId="76A2E8B6" w14:textId="40AE14D5" w:rsidR="005078C0" w:rsidRDefault="00F21117" w:rsidP="00DE0025">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DE260F3">
                <v:rect id="_x0000_i1026" style="width:0;height:1.5pt" o:hralign="center" o:hrstd="t" o:hr="t" fillcolor="#a0a0a0" stroked="f"/>
              </w:pict>
            </w:r>
          </w:p>
          <w:p w14:paraId="3DA9336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Článek 5aa</w:t>
            </w:r>
          </w:p>
          <w:p w14:paraId="1F266105"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1. Zakazuje se přímo či nepřímo uzavírat jakékoli transakce s:</w:t>
            </w:r>
          </w:p>
          <w:p w14:paraId="1E64CBC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a) právnickou osobou, subjektem nebo orgánem, které jsou usazeny v Rusku a jsou pod veřejnou kontrolou nebo z více než 50 % ve veřejném vlastnictví nebo v nichž má Rusko, jeho vláda nebo jeho centrální banka právo podílet se na zisku nebo s nimiž má Rusko, jeho vláda nebo jeho centrální banka jiný významný hospodářský vztah a které jsou uvedeny na seznamu v příloze XIX;</w:t>
            </w:r>
          </w:p>
          <w:p w14:paraId="1BEAEF75"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 </w:t>
            </w:r>
          </w:p>
          <w:p w14:paraId="1EF124A3"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b) právnickou osobou, subjektem nebo orgánem, které jsou usazeny mimo Unii a jsou z více než 50 % přímo či nepřímo vlastněny některým ze subjektů uvedených na seznamu v příloze XIX; nebo</w:t>
            </w:r>
          </w:p>
          <w:p w14:paraId="24173F7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 </w:t>
            </w:r>
          </w:p>
          <w:p w14:paraId="2AEB295A"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c) právnickou osobou, subjektem nebo orgánem, které jednají jménem nebo na pokyn subjektu uvedeného v písmeni a) nebo b) tohoto odstavce. </w:t>
            </w:r>
          </w:p>
          <w:p w14:paraId="1A9E291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 </w:t>
            </w:r>
          </w:p>
          <w:p w14:paraId="409BA841" w14:textId="591E049F"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2. Zákaz stanovený v odstavci 1 se do 15. května 2022nevztahuje na plnění smluv uzavřených přede dnem 16. března 202</w:t>
            </w:r>
            <w:r w:rsidR="009E5DD7">
              <w:rPr>
                <w:rStyle w:val="Hypertextovodkaz"/>
                <w:rFonts w:ascii="Arial" w:eastAsia="Times New Roman" w:hAnsi="Arial" w:cs="Arial"/>
                <w:color w:val="0F0D29" w:themeColor="text1"/>
                <w:kern w:val="36"/>
                <w:sz w:val="20"/>
                <w:szCs w:val="20"/>
                <w:u w:val="none"/>
                <w:lang w:eastAsia="cs-CZ"/>
              </w:rPr>
              <w:t>2</w:t>
            </w:r>
            <w:r w:rsidRPr="00DE0025">
              <w:rPr>
                <w:rStyle w:val="Hypertextovodkaz"/>
                <w:rFonts w:ascii="Arial" w:eastAsia="Times New Roman" w:hAnsi="Arial" w:cs="Arial"/>
                <w:color w:val="0F0D29" w:themeColor="text1"/>
                <w:kern w:val="36"/>
                <w:sz w:val="20"/>
                <w:szCs w:val="20"/>
                <w:u w:val="none"/>
                <w:lang w:eastAsia="cs-CZ"/>
              </w:rPr>
              <w:t xml:space="preserve"> nebo doplňkových smluv, které jsou pro plnění takových smluv nezbytné.</w:t>
            </w:r>
          </w:p>
          <w:p w14:paraId="2E92AF57"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 </w:t>
            </w:r>
          </w:p>
          <w:p w14:paraId="4C5D5B65" w14:textId="77777777" w:rsidR="00DE0025" w:rsidRPr="00DE0025" w:rsidRDefault="00DE0025" w:rsidP="00DE0025">
            <w:pPr>
              <w:pStyle w:val="Bezmezer"/>
              <w:jc w:val="both"/>
              <w:rPr>
                <w:rStyle w:val="Hypertextovodkaz"/>
                <w:rFonts w:ascii="Arial" w:eastAsia="Times New Roman" w:hAnsi="Arial" w:cs="Arial"/>
                <w:b/>
                <w:bCs/>
                <w:color w:val="0F0D29" w:themeColor="text1"/>
                <w:kern w:val="36"/>
                <w:sz w:val="20"/>
                <w:szCs w:val="20"/>
                <w:lang w:eastAsia="cs-CZ"/>
              </w:rPr>
            </w:pPr>
            <w:r w:rsidRPr="00DE0025">
              <w:rPr>
                <w:rStyle w:val="Hypertextovodkaz"/>
                <w:rFonts w:ascii="Arial" w:eastAsia="Times New Roman" w:hAnsi="Arial" w:cs="Arial"/>
                <w:color w:val="0F0D29" w:themeColor="text1"/>
                <w:kern w:val="36"/>
                <w:sz w:val="20"/>
                <w:szCs w:val="20"/>
                <w:u w:val="none"/>
                <w:lang w:eastAsia="cs-CZ"/>
              </w:rPr>
              <w:t xml:space="preserve">3. </w:t>
            </w:r>
            <w:r w:rsidRPr="00DE0025">
              <w:rPr>
                <w:rStyle w:val="Hypertextovodkaz"/>
                <w:rFonts w:ascii="Arial" w:eastAsia="Times New Roman" w:hAnsi="Arial" w:cs="Arial"/>
                <w:b/>
                <w:bCs/>
                <w:color w:val="0F0D29" w:themeColor="text1"/>
                <w:kern w:val="36"/>
                <w:sz w:val="20"/>
                <w:szCs w:val="20"/>
                <w:lang w:eastAsia="cs-CZ"/>
              </w:rPr>
              <w:t>Zákaz stanovený v odstavci 1 se nevztahuje na:</w:t>
            </w:r>
          </w:p>
          <w:p w14:paraId="348813C6"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b/>
                <w:bCs/>
                <w:color w:val="0F0D29" w:themeColor="text1"/>
                <w:kern w:val="36"/>
                <w:sz w:val="20"/>
                <w:szCs w:val="20"/>
                <w:lang w:eastAsia="cs-CZ"/>
              </w:rPr>
              <w:t>a) transakce, které jsou striktně nezbytné k nákupu, dovozu nebo přepravě fosilních paliv</w:t>
            </w:r>
            <w:r w:rsidRPr="00DE0025">
              <w:rPr>
                <w:rStyle w:val="Hypertextovodkaz"/>
                <w:rFonts w:ascii="Arial" w:eastAsia="Times New Roman" w:hAnsi="Arial" w:cs="Arial"/>
                <w:color w:val="0F0D29" w:themeColor="text1"/>
                <w:kern w:val="36"/>
                <w:sz w:val="20"/>
                <w:szCs w:val="20"/>
                <w:u w:val="none"/>
                <w:lang w:eastAsia="cs-CZ"/>
              </w:rPr>
              <w:t>, zejména uhlí, ropy a zemního plynu, jakož i titanu, hliníku, mědi, niklu, palladia a železné rudy, z Ruska nebo přes Rusko do Unie;</w:t>
            </w:r>
          </w:p>
          <w:p w14:paraId="636B63DA"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b) transakce týkající se energetických projektů mimo Rusko, ve kterých jsou některá právnická osoba, subjekt nebo orgán uvedené v příloze XIX minoritním vlastníkem.“</w:t>
            </w:r>
          </w:p>
          <w:p w14:paraId="29E282A1"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 </w:t>
            </w:r>
          </w:p>
          <w:p w14:paraId="71BA2B8F"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PŘÍLOHA XIX   SEZNAM STÁTEM VLASTNĚNÝCH PODNIKŮ PODLE ČLÁNKU 5aa </w:t>
            </w:r>
          </w:p>
          <w:p w14:paraId="0E25FB52"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 </w:t>
            </w:r>
          </w:p>
          <w:p w14:paraId="622741B1"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OPK OBORONPROM</w:t>
            </w:r>
          </w:p>
          <w:p w14:paraId="5FAACEFE" w14:textId="64E40FD2"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UNITED AIRCRAFT CORPORATION</w:t>
            </w:r>
          </w:p>
          <w:p w14:paraId="774F69BE"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URALVAGONZAVOD</w:t>
            </w:r>
          </w:p>
          <w:p w14:paraId="46204710" w14:textId="77777777" w:rsidR="00DE0025" w:rsidRPr="00DE0025" w:rsidRDefault="00DE0025" w:rsidP="00DE0025">
            <w:pPr>
              <w:pStyle w:val="Bezmezer"/>
              <w:jc w:val="both"/>
              <w:rPr>
                <w:rStyle w:val="Hypertextovodkaz"/>
                <w:rFonts w:ascii="Arial" w:eastAsia="Times New Roman" w:hAnsi="Arial" w:cs="Arial"/>
                <w:b/>
                <w:bCs/>
                <w:color w:val="0F0D29" w:themeColor="text1"/>
                <w:kern w:val="36"/>
                <w:sz w:val="20"/>
                <w:szCs w:val="20"/>
                <w:lang w:eastAsia="cs-CZ"/>
              </w:rPr>
            </w:pPr>
            <w:r w:rsidRPr="00DE0025">
              <w:rPr>
                <w:rStyle w:val="Hypertextovodkaz"/>
                <w:rFonts w:ascii="Arial" w:eastAsia="Times New Roman" w:hAnsi="Arial" w:cs="Arial"/>
                <w:b/>
                <w:bCs/>
                <w:color w:val="0F0D29" w:themeColor="text1"/>
                <w:kern w:val="36"/>
                <w:sz w:val="20"/>
                <w:szCs w:val="20"/>
                <w:lang w:eastAsia="cs-CZ"/>
              </w:rPr>
              <w:t>ROSNEFT</w:t>
            </w:r>
          </w:p>
          <w:p w14:paraId="0D73B55F" w14:textId="77777777" w:rsidR="00DE0025" w:rsidRPr="00DE0025" w:rsidRDefault="00DE0025" w:rsidP="00DE0025">
            <w:pPr>
              <w:pStyle w:val="Bezmezer"/>
              <w:jc w:val="both"/>
              <w:rPr>
                <w:rStyle w:val="Hypertextovodkaz"/>
                <w:rFonts w:ascii="Arial" w:eastAsia="Times New Roman" w:hAnsi="Arial" w:cs="Arial"/>
                <w:b/>
                <w:bCs/>
                <w:color w:val="0F0D29" w:themeColor="text1"/>
                <w:kern w:val="36"/>
                <w:sz w:val="20"/>
                <w:szCs w:val="20"/>
                <w:lang w:eastAsia="cs-CZ"/>
              </w:rPr>
            </w:pPr>
            <w:r w:rsidRPr="00DE0025">
              <w:rPr>
                <w:rStyle w:val="Hypertextovodkaz"/>
                <w:rFonts w:ascii="Arial" w:eastAsia="Times New Roman" w:hAnsi="Arial" w:cs="Arial"/>
                <w:b/>
                <w:bCs/>
                <w:color w:val="0F0D29" w:themeColor="text1"/>
                <w:kern w:val="36"/>
                <w:sz w:val="20"/>
                <w:szCs w:val="20"/>
                <w:lang w:eastAsia="cs-CZ"/>
              </w:rPr>
              <w:t>TRANSNEFT</w:t>
            </w:r>
          </w:p>
          <w:p w14:paraId="7D766E7B" w14:textId="77777777" w:rsidR="00DE0025" w:rsidRPr="00DE0025" w:rsidRDefault="00DE0025" w:rsidP="00DE0025">
            <w:pPr>
              <w:pStyle w:val="Bezmezer"/>
              <w:jc w:val="both"/>
              <w:rPr>
                <w:rStyle w:val="Hypertextovodkaz"/>
                <w:rFonts w:ascii="Arial" w:eastAsia="Times New Roman" w:hAnsi="Arial" w:cs="Arial"/>
                <w:b/>
                <w:bCs/>
                <w:color w:val="0F0D29" w:themeColor="text1"/>
                <w:kern w:val="36"/>
                <w:sz w:val="20"/>
                <w:szCs w:val="20"/>
                <w:lang w:eastAsia="cs-CZ"/>
              </w:rPr>
            </w:pPr>
            <w:r w:rsidRPr="00DE0025">
              <w:rPr>
                <w:rStyle w:val="Hypertextovodkaz"/>
                <w:rFonts w:ascii="Arial" w:eastAsia="Times New Roman" w:hAnsi="Arial" w:cs="Arial"/>
                <w:b/>
                <w:bCs/>
                <w:color w:val="0F0D29" w:themeColor="text1"/>
                <w:kern w:val="36"/>
                <w:sz w:val="20"/>
                <w:szCs w:val="20"/>
                <w:lang w:eastAsia="cs-CZ"/>
              </w:rPr>
              <w:t>GAZPROM NEFT</w:t>
            </w:r>
          </w:p>
          <w:p w14:paraId="2214D651"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ALMAZ-ANTEY</w:t>
            </w:r>
          </w:p>
          <w:p w14:paraId="734A3CF4"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KAMAZ</w:t>
            </w:r>
          </w:p>
          <w:p w14:paraId="703A6F98"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ROSTEC (RUSSIAN TECHNOLOGIES STATE CORPORATION)</w:t>
            </w:r>
          </w:p>
          <w:p w14:paraId="56FF4690"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JSC PO SEVMASH</w:t>
            </w:r>
          </w:p>
          <w:p w14:paraId="15E4493A" w14:textId="1104CEA5"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SOVCOMFLOT</w:t>
            </w:r>
          </w:p>
          <w:p w14:paraId="00784F1C" w14:textId="227F9D5F"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UNITED SHIPBUILDING CORPORATION</w:t>
            </w:r>
          </w:p>
          <w:p w14:paraId="71D9E6C5" w14:textId="58CED774"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r w:rsidRPr="00DE0025">
              <w:rPr>
                <w:rStyle w:val="Hypertextovodkaz"/>
                <w:rFonts w:ascii="Arial" w:eastAsia="Times New Roman" w:hAnsi="Arial" w:cs="Arial"/>
                <w:color w:val="0F0D29" w:themeColor="text1"/>
                <w:kern w:val="36"/>
                <w:sz w:val="20"/>
                <w:szCs w:val="20"/>
                <w:u w:val="none"/>
                <w:lang w:eastAsia="cs-CZ"/>
              </w:rPr>
              <w:t xml:space="preserve"> </w:t>
            </w:r>
          </w:p>
          <w:p w14:paraId="122C6033" w14:textId="4B733CF3"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1EF60781" w14:textId="5F8A8F71"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61ADC900" w14:textId="6304F4DE"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5032C9C1" w14:textId="4772DA8A"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1C36A96A" w14:textId="780E13B5"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4F16FC8A" w14:textId="3FE328A7"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089B6570" w14:textId="4C8F3A33"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2DB89F6E" w14:textId="1EC8FDD4"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1FBE70B4" w14:textId="77777777" w:rsid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50BA973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0EE48258" w14:textId="4F03D8A4" w:rsidR="00080627" w:rsidRPr="005078C0" w:rsidRDefault="00080627" w:rsidP="00080627">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080627">
              <w:rPr>
                <w:rStyle w:val="Hypertextovodkaz"/>
                <w:rFonts w:ascii="Arial" w:eastAsia="Times New Roman" w:hAnsi="Arial" w:cs="Arial"/>
                <w:b/>
                <w:bCs/>
                <w:color w:val="0F0D29" w:themeColor="text1"/>
                <w:kern w:val="36"/>
                <w:sz w:val="24"/>
                <w:szCs w:val="20"/>
                <w:u w:val="none"/>
                <w:lang w:eastAsia="cs-CZ"/>
              </w:rPr>
              <w:t>Novela zákona č. 89/2012 Sb., občanský zákoník</w:t>
            </w:r>
            <w:r w:rsidR="00F21117">
              <w:rPr>
                <w:rStyle w:val="Hypertextovodkaz"/>
                <w:rFonts w:ascii="Arial" w:eastAsia="Times New Roman" w:hAnsi="Arial" w:cs="Arial"/>
                <w:b/>
                <w:bCs/>
                <w:color w:val="0F0D29" w:themeColor="text1"/>
                <w:kern w:val="36"/>
                <w:sz w:val="24"/>
                <w:szCs w:val="24"/>
                <w:u w:val="none"/>
                <w:lang w:eastAsia="cs-CZ"/>
              </w:rPr>
              <w:pict w14:anchorId="69DAEDDF">
                <v:rect id="_x0000_i1027" style="width:0;height:1.5pt" o:hralign="center" o:hrstd="t" o:hr="t" fillcolor="#a0a0a0" stroked="f"/>
              </w:pict>
            </w:r>
          </w:p>
          <w:p w14:paraId="51C795CB" w14:textId="77777777" w:rsidR="00080627" w:rsidRDefault="00080627" w:rsidP="0008062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Sněmovní tisk 1</w:t>
            </w:r>
            <w:r>
              <w:rPr>
                <w:rStyle w:val="Hypertextovodkaz"/>
                <w:rFonts w:ascii="Arial" w:eastAsia="Times New Roman" w:hAnsi="Arial" w:cs="Arial"/>
                <w:bCs/>
                <w:color w:val="0F0D29" w:themeColor="text1"/>
                <w:kern w:val="36"/>
                <w:sz w:val="20"/>
                <w:szCs w:val="20"/>
                <w:u w:val="none"/>
                <w:lang w:eastAsia="cs-CZ"/>
              </w:rPr>
              <w:t>1</w:t>
            </w:r>
          </w:p>
          <w:p w14:paraId="36FD0590" w14:textId="2890B048" w:rsidR="00080627" w:rsidRDefault="00080627" w:rsidP="0008062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 prvním čtením v PS</w:t>
            </w:r>
          </w:p>
          <w:p w14:paraId="30D87EF4" w14:textId="711DDE88" w:rsidR="00080627" w:rsidRDefault="00080627" w:rsidP="0008062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F4B2498" w14:textId="35B10BA3" w:rsidR="004325C8" w:rsidRPr="004325C8" w:rsidRDefault="004325C8" w:rsidP="004325C8">
            <w:pPr>
              <w:pStyle w:val="Bezmezer"/>
              <w:jc w:val="both"/>
              <w:rPr>
                <w:rStyle w:val="Hypertextovodkaz"/>
                <w:rFonts w:ascii="Arial" w:eastAsia="Times New Roman" w:hAnsi="Arial" w:cs="Arial"/>
                <w:bCs/>
                <w:color w:val="0F0D29" w:themeColor="text1"/>
                <w:kern w:val="36"/>
                <w:sz w:val="20"/>
                <w:szCs w:val="20"/>
                <w:u w:val="none"/>
                <w:lang w:eastAsia="cs-CZ"/>
              </w:rPr>
            </w:pPr>
            <w:r w:rsidRPr="004325C8">
              <w:rPr>
                <w:rStyle w:val="Hypertextovodkaz"/>
                <w:rFonts w:ascii="Arial" w:eastAsia="Times New Roman" w:hAnsi="Arial" w:cs="Arial"/>
                <w:bCs/>
                <w:color w:val="0F0D29" w:themeColor="text1"/>
                <w:kern w:val="36"/>
                <w:sz w:val="20"/>
                <w:szCs w:val="20"/>
                <w:u w:val="none"/>
                <w:lang w:eastAsia="cs-CZ"/>
              </w:rPr>
              <w:t xml:space="preserve">Dne 16. 11. 2021 byl do poslanecké sněmovny předložen nevládní návrh zákona, kterým se novelizuje občanský zákoník. </w:t>
            </w:r>
            <w:r>
              <w:rPr>
                <w:rStyle w:val="Hypertextovodkaz"/>
                <w:rFonts w:ascii="Arial" w:eastAsia="Times New Roman" w:hAnsi="Arial" w:cs="Arial"/>
                <w:bCs/>
                <w:color w:val="0F0D29" w:themeColor="text1"/>
                <w:kern w:val="36"/>
                <w:sz w:val="20"/>
                <w:szCs w:val="20"/>
                <w:u w:val="none"/>
                <w:lang w:eastAsia="cs-CZ"/>
              </w:rPr>
              <w:t>K poslaneckému návrhu vláda vydala nesouhlasné stanovisko</w:t>
            </w:r>
          </w:p>
          <w:p w14:paraId="00C7D701" w14:textId="77777777" w:rsidR="004325C8" w:rsidRPr="004325C8" w:rsidRDefault="004325C8" w:rsidP="004325C8">
            <w:pPr>
              <w:pStyle w:val="Bezmezer"/>
              <w:jc w:val="both"/>
              <w:rPr>
                <w:rStyle w:val="Hypertextovodkaz"/>
                <w:rFonts w:ascii="Arial" w:eastAsia="Times New Roman" w:hAnsi="Arial" w:cs="Arial"/>
                <w:bCs/>
                <w:color w:val="0F0D29" w:themeColor="text1"/>
                <w:kern w:val="36"/>
                <w:sz w:val="20"/>
                <w:szCs w:val="20"/>
                <w:u w:val="none"/>
                <w:lang w:eastAsia="cs-CZ"/>
              </w:rPr>
            </w:pPr>
          </w:p>
          <w:p w14:paraId="21EEFD0C" w14:textId="0406E466" w:rsidR="00080627" w:rsidRDefault="004325C8" w:rsidP="004325C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r w:rsidRPr="004325C8">
              <w:rPr>
                <w:rStyle w:val="Hypertextovodkaz"/>
                <w:rFonts w:ascii="Arial" w:eastAsia="Times New Roman" w:hAnsi="Arial" w:cs="Arial"/>
                <w:bCs/>
                <w:color w:val="0F0D29" w:themeColor="text1"/>
                <w:kern w:val="36"/>
                <w:sz w:val="20"/>
                <w:szCs w:val="20"/>
                <w:u w:val="none"/>
                <w:lang w:eastAsia="cs-CZ"/>
              </w:rPr>
              <w:t>Účelem navrhované úpravy je změnit pořadí, v jakém bude</w:t>
            </w:r>
            <w:r w:rsidR="0092437E">
              <w:rPr>
                <w:rStyle w:val="Hypertextovodkaz"/>
                <w:rFonts w:ascii="Arial" w:eastAsia="Times New Roman" w:hAnsi="Arial" w:cs="Arial"/>
                <w:bCs/>
                <w:color w:val="0F0D29" w:themeColor="text1"/>
                <w:kern w:val="36"/>
                <w:sz w:val="20"/>
                <w:szCs w:val="20"/>
                <w:u w:val="none"/>
                <w:lang w:eastAsia="cs-CZ"/>
              </w:rPr>
              <w:t xml:space="preserve"> dlužník</w:t>
            </w:r>
            <w:r w:rsidRPr="004325C8">
              <w:rPr>
                <w:rStyle w:val="Hypertextovodkaz"/>
                <w:rFonts w:ascii="Arial" w:eastAsia="Times New Roman" w:hAnsi="Arial" w:cs="Arial"/>
                <w:bCs/>
                <w:color w:val="0F0D29" w:themeColor="text1"/>
                <w:kern w:val="36"/>
                <w:sz w:val="20"/>
                <w:szCs w:val="20"/>
                <w:u w:val="none"/>
                <w:lang w:eastAsia="cs-CZ"/>
              </w:rPr>
              <w:t xml:space="preserve"> hradit dluh na: „jistina – již určené náklady – úroky z prodlení – úroky“ oproti stávajícímu, pro dlužníka nevýhodnému, pořadí: „již určené náklady – úroky z prodlení – úroky – jistina“. Principem návrhu je, že nebude nutné, aby dlužník činil jakékoliv prohlášení, jakou část dluhu plní, a přednostně se bude plnit na jistinu (bude se splácet samotný dluh), čímž se mu bude snižovat tato úročená část dluhu, zatímco ve vztahu k příslušenství by se mu úročily pouze již určené náklady. Úroky, ani úroky z prodlení by se neúročily. Nově by také nebyl vyžadován souhlas věřitele se změnou pořadí, v jakém by hradil dluh.</w:t>
            </w:r>
          </w:p>
          <w:p w14:paraId="05F067DA" w14:textId="72CCB86F" w:rsidR="004325C8" w:rsidRDefault="004325C8" w:rsidP="004325C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32CC7AE7" w14:textId="4D4CCA1D" w:rsidR="004325C8" w:rsidRPr="004325C8" w:rsidRDefault="004325C8" w:rsidP="004325C8">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Style w:val="Hypertextovodkaz"/>
                <w:rFonts w:ascii="Arial" w:eastAsia="Times New Roman" w:hAnsi="Arial" w:cs="Arial"/>
                <w:b/>
                <w:i/>
                <w:iCs/>
                <w:color w:val="0F0D29" w:themeColor="text1"/>
                <w:kern w:val="36"/>
                <w:sz w:val="20"/>
                <w:szCs w:val="20"/>
                <w:u w:val="none"/>
                <w:lang w:eastAsia="cs-CZ"/>
              </w:rPr>
            </w:pPr>
            <w:r w:rsidRPr="004325C8">
              <w:rPr>
                <w:rStyle w:val="Hypertextovodkaz"/>
                <w:rFonts w:ascii="Arial" w:eastAsia="Times New Roman" w:hAnsi="Arial" w:cs="Arial"/>
                <w:b/>
                <w:i/>
                <w:iCs/>
                <w:color w:val="0F0D29" w:themeColor="text1"/>
                <w:kern w:val="36"/>
                <w:sz w:val="20"/>
                <w:szCs w:val="20"/>
                <w:u w:val="none"/>
                <w:lang w:eastAsia="cs-CZ"/>
              </w:rPr>
              <w:t>Zhodnocení dopadů ze strany OPS:</w:t>
            </w:r>
          </w:p>
          <w:p w14:paraId="4EABB164" w14:textId="77777777" w:rsidR="004325C8" w:rsidRPr="004325C8" w:rsidRDefault="004325C8" w:rsidP="004325C8">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Style w:val="Hypertextovodkaz"/>
                <w:rFonts w:ascii="Arial" w:eastAsia="Times New Roman" w:hAnsi="Arial" w:cs="Arial"/>
                <w:bCs/>
                <w:i/>
                <w:iCs/>
                <w:color w:val="0F0D29" w:themeColor="text1"/>
                <w:kern w:val="36"/>
                <w:sz w:val="20"/>
                <w:szCs w:val="20"/>
                <w:u w:val="none"/>
                <w:lang w:eastAsia="cs-CZ"/>
              </w:rPr>
            </w:pPr>
          </w:p>
          <w:p w14:paraId="15F2A802" w14:textId="47D03F7A" w:rsidR="004325C8" w:rsidRPr="004325C8" w:rsidRDefault="004325C8" w:rsidP="004325C8">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Style w:val="Hypertextovodkaz"/>
                <w:rFonts w:ascii="Arial" w:eastAsia="Times New Roman" w:hAnsi="Arial" w:cs="Arial"/>
                <w:bCs/>
                <w:i/>
                <w:iCs/>
                <w:color w:val="0F0D29" w:themeColor="text1"/>
                <w:kern w:val="36"/>
                <w:sz w:val="20"/>
                <w:szCs w:val="20"/>
                <w:u w:val="none"/>
                <w:lang w:eastAsia="cs-CZ"/>
              </w:rPr>
            </w:pPr>
            <w:r w:rsidRPr="004325C8">
              <w:rPr>
                <w:rStyle w:val="Hypertextovodkaz"/>
                <w:rFonts w:ascii="Arial" w:eastAsia="Times New Roman" w:hAnsi="Arial" w:cs="Arial"/>
                <w:bCs/>
                <w:i/>
                <w:iCs/>
                <w:color w:val="0F0D29" w:themeColor="text1"/>
                <w:kern w:val="36"/>
                <w:sz w:val="20"/>
                <w:szCs w:val="20"/>
                <w:u w:val="none"/>
                <w:lang w:eastAsia="cs-CZ"/>
              </w:rPr>
              <w:t>Legislativní návrh dopadá do oblasti procesu vymáhání pohledávek (jako součásti oblasti řízení kreditního rizika). Konkrétně je nově nastaveno pořadí započítání v rámci částečné úhrady pohledávky, o to přednostně plnit na základ dluhu – jistinu, bez ohledu na to, zda se jedná o spotřebitele (dopadá tedy na dlužníky právnické osoby i podnikající fyzické osoby). V tomto směru budou po</w:t>
            </w:r>
            <w:r w:rsidR="0092437E">
              <w:rPr>
                <w:rStyle w:val="Hypertextovodkaz"/>
                <w:rFonts w:ascii="Arial" w:eastAsia="Times New Roman" w:hAnsi="Arial" w:cs="Arial"/>
                <w:bCs/>
                <w:i/>
                <w:iCs/>
                <w:color w:val="0F0D29" w:themeColor="text1"/>
                <w:kern w:val="36"/>
                <w:sz w:val="20"/>
                <w:szCs w:val="20"/>
                <w:u w:val="none"/>
                <w:lang w:eastAsia="cs-CZ"/>
              </w:rPr>
              <w:t xml:space="preserve"> případné</w:t>
            </w:r>
            <w:r w:rsidRPr="004325C8">
              <w:rPr>
                <w:rStyle w:val="Hypertextovodkaz"/>
                <w:rFonts w:ascii="Arial" w:eastAsia="Times New Roman" w:hAnsi="Arial" w:cs="Arial"/>
                <w:bCs/>
                <w:i/>
                <w:iCs/>
                <w:color w:val="0F0D29" w:themeColor="text1"/>
                <w:kern w:val="36"/>
                <w:sz w:val="20"/>
                <w:szCs w:val="20"/>
                <w:u w:val="none"/>
                <w:lang w:eastAsia="cs-CZ"/>
              </w:rPr>
              <w:t xml:space="preserve"> účinnosti novely přizpůsobeny postupy pořadí započítání dlužné pohledávky ze strany příslušných útvarů FÚ (</w:t>
            </w:r>
            <w:proofErr w:type="spellStart"/>
            <w:r w:rsidRPr="004325C8">
              <w:rPr>
                <w:rStyle w:val="Hypertextovodkaz"/>
                <w:rFonts w:ascii="Arial" w:eastAsia="Times New Roman" w:hAnsi="Arial" w:cs="Arial"/>
                <w:bCs/>
                <w:i/>
                <w:iCs/>
                <w:color w:val="0F0D29" w:themeColor="text1"/>
                <w:kern w:val="36"/>
                <w:sz w:val="20"/>
                <w:szCs w:val="20"/>
                <w:u w:val="none"/>
                <w:lang w:eastAsia="cs-CZ"/>
              </w:rPr>
              <w:t>treasury</w:t>
            </w:r>
            <w:proofErr w:type="spellEnd"/>
            <w:r w:rsidRPr="004325C8">
              <w:rPr>
                <w:rStyle w:val="Hypertextovodkaz"/>
                <w:rFonts w:ascii="Arial" w:eastAsia="Times New Roman" w:hAnsi="Arial" w:cs="Arial"/>
                <w:bCs/>
                <w:i/>
                <w:iCs/>
                <w:color w:val="0F0D29" w:themeColor="text1"/>
                <w:kern w:val="36"/>
                <w:sz w:val="20"/>
                <w:szCs w:val="20"/>
                <w:u w:val="none"/>
                <w:lang w:eastAsia="cs-CZ"/>
              </w:rPr>
              <w:t>, účtárna), problematika bude zároveň projednána na úrovni kreditního výboru.</w:t>
            </w:r>
          </w:p>
          <w:p w14:paraId="769452B4" w14:textId="6418454D" w:rsidR="00080627" w:rsidRDefault="00080627" w:rsidP="0008062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2279A0E" w14:textId="77777777" w:rsidR="004325C8" w:rsidRPr="005078C0" w:rsidRDefault="004325C8" w:rsidP="0008062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CD322BD" w14:textId="14AF0B2D" w:rsidR="004325C8" w:rsidRPr="005078C0" w:rsidRDefault="004325C8" w:rsidP="004325C8">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080627">
              <w:rPr>
                <w:rStyle w:val="Hypertextovodkaz"/>
                <w:rFonts w:ascii="Arial" w:eastAsia="Times New Roman" w:hAnsi="Arial" w:cs="Arial"/>
                <w:b/>
                <w:bCs/>
                <w:color w:val="0F0D29" w:themeColor="text1"/>
                <w:kern w:val="36"/>
                <w:sz w:val="24"/>
                <w:szCs w:val="20"/>
                <w:u w:val="none"/>
                <w:lang w:eastAsia="cs-CZ"/>
              </w:rPr>
              <w:t xml:space="preserve">Novela zákona č. </w:t>
            </w:r>
            <w:r w:rsidR="00F4796C" w:rsidRPr="00F4796C">
              <w:rPr>
                <w:rStyle w:val="Hypertextovodkaz"/>
                <w:rFonts w:ascii="Arial" w:eastAsia="Times New Roman" w:hAnsi="Arial" w:cs="Arial"/>
                <w:b/>
                <w:bCs/>
                <w:color w:val="0F0D29" w:themeColor="text1"/>
                <w:kern w:val="36"/>
                <w:sz w:val="24"/>
                <w:szCs w:val="20"/>
                <w:u w:val="none"/>
                <w:lang w:eastAsia="cs-CZ"/>
              </w:rPr>
              <w:t xml:space="preserve">159/2006 Sb., o střetu zájmů </w:t>
            </w:r>
            <w:r w:rsidR="00F21117">
              <w:rPr>
                <w:rStyle w:val="Hypertextovodkaz"/>
                <w:rFonts w:ascii="Arial" w:eastAsia="Times New Roman" w:hAnsi="Arial" w:cs="Arial"/>
                <w:b/>
                <w:bCs/>
                <w:color w:val="0F0D29" w:themeColor="text1"/>
                <w:kern w:val="36"/>
                <w:sz w:val="24"/>
                <w:szCs w:val="24"/>
                <w:u w:val="none"/>
                <w:lang w:eastAsia="cs-CZ"/>
              </w:rPr>
              <w:pict w14:anchorId="3B418D36">
                <v:rect id="_x0000_i1028" style="width:0;height:1.5pt" o:hralign="center" o:hrstd="t" o:hr="t" fillcolor="#a0a0a0" stroked="f"/>
              </w:pict>
            </w:r>
          </w:p>
          <w:p w14:paraId="2AE8897F" w14:textId="1B4816EC" w:rsidR="004325C8" w:rsidRDefault="004325C8" w:rsidP="004325C8">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Sněmovní tisk 1</w:t>
            </w:r>
            <w:r>
              <w:rPr>
                <w:rStyle w:val="Hypertextovodkaz"/>
                <w:rFonts w:ascii="Arial" w:eastAsia="Times New Roman" w:hAnsi="Arial" w:cs="Arial"/>
                <w:bCs/>
                <w:color w:val="0F0D29" w:themeColor="text1"/>
                <w:kern w:val="36"/>
                <w:sz w:val="20"/>
                <w:szCs w:val="20"/>
                <w:u w:val="none"/>
                <w:lang w:eastAsia="cs-CZ"/>
              </w:rPr>
              <w:t>10</w:t>
            </w:r>
          </w:p>
          <w:p w14:paraId="35EFA900" w14:textId="77777777" w:rsidR="004325C8" w:rsidRDefault="004325C8" w:rsidP="004325C8">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 prvním čtením v PS</w:t>
            </w:r>
          </w:p>
          <w:p w14:paraId="46333300" w14:textId="77777777" w:rsidR="004325C8" w:rsidRDefault="004325C8" w:rsidP="004325C8">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5386436" w14:textId="6744DFA7" w:rsidR="004325C8" w:rsidRDefault="004325C8" w:rsidP="004325C8">
            <w:pPr>
              <w:pStyle w:val="Bezmezer"/>
              <w:jc w:val="both"/>
              <w:rPr>
                <w:rStyle w:val="Hypertextovodkaz"/>
                <w:rFonts w:ascii="Arial" w:eastAsia="Times New Roman" w:hAnsi="Arial" w:cs="Arial"/>
                <w:bCs/>
                <w:color w:val="0F0D29" w:themeColor="text1"/>
                <w:kern w:val="36"/>
                <w:sz w:val="20"/>
                <w:szCs w:val="20"/>
                <w:u w:val="none"/>
                <w:lang w:eastAsia="cs-CZ"/>
              </w:rPr>
            </w:pPr>
            <w:r w:rsidRPr="004325C8">
              <w:rPr>
                <w:rStyle w:val="Hypertextovodkaz"/>
                <w:rFonts w:ascii="Arial" w:eastAsia="Times New Roman" w:hAnsi="Arial" w:cs="Arial"/>
                <w:bCs/>
                <w:color w:val="0F0D29" w:themeColor="text1"/>
                <w:kern w:val="36"/>
                <w:sz w:val="20"/>
                <w:szCs w:val="20"/>
                <w:u w:val="none"/>
                <w:lang w:eastAsia="cs-CZ"/>
              </w:rPr>
              <w:t>Dne 1</w:t>
            </w:r>
            <w:r>
              <w:rPr>
                <w:rStyle w:val="Hypertextovodkaz"/>
                <w:rFonts w:ascii="Arial" w:eastAsia="Times New Roman" w:hAnsi="Arial" w:cs="Arial"/>
                <w:bCs/>
                <w:color w:val="0F0D29" w:themeColor="text1"/>
                <w:kern w:val="36"/>
                <w:sz w:val="20"/>
                <w:szCs w:val="20"/>
                <w:u w:val="none"/>
                <w:lang w:eastAsia="cs-CZ"/>
              </w:rPr>
              <w:t>7. 12</w:t>
            </w:r>
            <w:r w:rsidRPr="004325C8">
              <w:rPr>
                <w:rStyle w:val="Hypertextovodkaz"/>
                <w:rFonts w:ascii="Arial" w:eastAsia="Times New Roman" w:hAnsi="Arial" w:cs="Arial"/>
                <w:bCs/>
                <w:color w:val="0F0D29" w:themeColor="text1"/>
                <w:kern w:val="36"/>
                <w:sz w:val="20"/>
                <w:szCs w:val="20"/>
                <w:u w:val="none"/>
                <w:lang w:eastAsia="cs-CZ"/>
              </w:rPr>
              <w:t xml:space="preserve">. 2021 byl do poslanecké sněmovny předložen nevládní návrh zákona, kterým se novelizuje </w:t>
            </w:r>
            <w:r w:rsidR="00F4796C">
              <w:rPr>
                <w:rStyle w:val="Hypertextovodkaz"/>
                <w:rFonts w:ascii="Arial" w:eastAsia="Times New Roman" w:hAnsi="Arial" w:cs="Arial"/>
                <w:bCs/>
                <w:color w:val="0F0D29" w:themeColor="text1"/>
                <w:kern w:val="36"/>
                <w:sz w:val="20"/>
                <w:szCs w:val="20"/>
                <w:u w:val="none"/>
                <w:lang w:eastAsia="cs-CZ"/>
              </w:rPr>
              <w:t xml:space="preserve">zákon č. </w:t>
            </w:r>
            <w:r w:rsidR="00F4796C" w:rsidRPr="00F4796C">
              <w:rPr>
                <w:rStyle w:val="Hypertextovodkaz"/>
                <w:rFonts w:ascii="Arial" w:eastAsia="Times New Roman" w:hAnsi="Arial" w:cs="Arial"/>
                <w:bCs/>
                <w:color w:val="0F0D29" w:themeColor="text1"/>
                <w:kern w:val="36"/>
                <w:sz w:val="20"/>
                <w:szCs w:val="20"/>
                <w:u w:val="none"/>
                <w:lang w:eastAsia="cs-CZ"/>
              </w:rPr>
              <w:t>159/2006 Sb., o střetu zájmů</w:t>
            </w:r>
            <w:r w:rsidRPr="004325C8">
              <w:rPr>
                <w:rStyle w:val="Hypertextovodkaz"/>
                <w:rFonts w:ascii="Arial" w:eastAsia="Times New Roman" w:hAnsi="Arial" w:cs="Arial"/>
                <w:bCs/>
                <w:color w:val="0F0D29" w:themeColor="text1"/>
                <w:kern w:val="36"/>
                <w:sz w:val="20"/>
                <w:szCs w:val="20"/>
                <w:u w:val="none"/>
                <w:lang w:eastAsia="cs-CZ"/>
              </w:rPr>
              <w:t xml:space="preserve">. </w:t>
            </w:r>
            <w:r>
              <w:rPr>
                <w:rStyle w:val="Hypertextovodkaz"/>
                <w:rFonts w:ascii="Arial" w:eastAsia="Times New Roman" w:hAnsi="Arial" w:cs="Arial"/>
                <w:bCs/>
                <w:color w:val="0F0D29" w:themeColor="text1"/>
                <w:kern w:val="36"/>
                <w:sz w:val="20"/>
                <w:szCs w:val="20"/>
                <w:u w:val="none"/>
                <w:lang w:eastAsia="cs-CZ"/>
              </w:rPr>
              <w:t>K poslaneckému návrhu vláda vydala souhlasné stanovisko</w:t>
            </w:r>
            <w:r w:rsidR="002E61AB">
              <w:rPr>
                <w:rStyle w:val="Hypertextovodkaz"/>
                <w:rFonts w:ascii="Arial" w:eastAsia="Times New Roman" w:hAnsi="Arial" w:cs="Arial"/>
                <w:bCs/>
                <w:color w:val="0F0D29" w:themeColor="text1"/>
                <w:kern w:val="36"/>
                <w:sz w:val="20"/>
                <w:szCs w:val="20"/>
                <w:u w:val="none"/>
                <w:lang w:eastAsia="cs-CZ"/>
              </w:rPr>
              <w:t>.</w:t>
            </w:r>
          </w:p>
          <w:p w14:paraId="5844EA06" w14:textId="66D2D8A5" w:rsidR="002E61AB" w:rsidRDefault="002E61AB" w:rsidP="004325C8">
            <w:pPr>
              <w:pStyle w:val="Bezmezer"/>
              <w:jc w:val="both"/>
              <w:rPr>
                <w:rStyle w:val="Hypertextovodkaz"/>
                <w:rFonts w:ascii="Arial" w:eastAsia="Times New Roman" w:hAnsi="Arial" w:cs="Arial"/>
                <w:bCs/>
                <w:color w:val="0F0D29" w:themeColor="text1"/>
                <w:kern w:val="36"/>
                <w:sz w:val="20"/>
                <w:szCs w:val="20"/>
                <w:u w:val="none"/>
                <w:lang w:eastAsia="cs-CZ"/>
              </w:rPr>
            </w:pPr>
          </w:p>
          <w:p w14:paraId="1C587EC8" w14:textId="382AF681"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r w:rsidRPr="002E61AB">
              <w:rPr>
                <w:rStyle w:val="Hypertextovodkaz"/>
                <w:rFonts w:ascii="Tahoma" w:eastAsia="Times New Roman" w:hAnsi="Tahoma" w:cs="Tahoma"/>
                <w:bCs/>
                <w:color w:val="0F0D29" w:themeColor="text1"/>
                <w:kern w:val="36"/>
                <w:sz w:val="20"/>
                <w:szCs w:val="20"/>
                <w:u w:val="none"/>
                <w:lang w:eastAsia="cs-CZ"/>
              </w:rPr>
              <w:t>Hlavní navrhovanou změnou je zakotvení výslovného požadavku předchozí žádosti o nahlížení do Centrálního registru u všech kategorií veřejných funkcionářů, tedy nikoliv pouze u veřejných funkcionářů podle § 2 odst. 2 zákona o střetu zájmů, jak je tomu dle současné právní úpravy. Tento návrh byl v původním znění vyhodnocen bez dopadů pro společnost.</w:t>
            </w:r>
          </w:p>
          <w:p w14:paraId="0A048AF0" w14:textId="77777777"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p>
          <w:p w14:paraId="6B52C937" w14:textId="77777777"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r w:rsidRPr="002E61AB">
              <w:rPr>
                <w:rStyle w:val="Hypertextovodkaz"/>
                <w:rFonts w:ascii="Tahoma" w:eastAsia="Times New Roman" w:hAnsi="Tahoma" w:cs="Tahoma"/>
                <w:bCs/>
                <w:color w:val="0F0D29" w:themeColor="text1"/>
                <w:kern w:val="36"/>
                <w:sz w:val="20"/>
                <w:szCs w:val="20"/>
                <w:u w:val="none"/>
                <w:lang w:eastAsia="cs-CZ"/>
              </w:rPr>
              <w:t xml:space="preserve">Dne 14.4.2021 poslanec Jakub Michálek předložil pozměňovací návrh č. 8156. </w:t>
            </w:r>
          </w:p>
          <w:p w14:paraId="61FE2D60" w14:textId="77777777"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p>
          <w:p w14:paraId="6F1FB961" w14:textId="77777777"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p>
          <w:p w14:paraId="2F17A198" w14:textId="77777777"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r w:rsidRPr="002E61AB">
              <w:rPr>
                <w:rStyle w:val="Hypertextovodkaz"/>
                <w:rFonts w:ascii="Tahoma" w:eastAsia="Times New Roman" w:hAnsi="Tahoma" w:cs="Tahoma"/>
                <w:bCs/>
                <w:color w:val="0F0D29" w:themeColor="text1"/>
                <w:kern w:val="36"/>
                <w:sz w:val="20"/>
                <w:szCs w:val="20"/>
                <w:u w:val="none"/>
                <w:lang w:eastAsia="cs-CZ"/>
              </w:rPr>
              <w:t>Hlavní navrhované okruhy pozměňovacího návrhu:</w:t>
            </w:r>
          </w:p>
          <w:p w14:paraId="389F18AA" w14:textId="77777777"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p>
          <w:p w14:paraId="4A82006F" w14:textId="77777777" w:rsidR="002E61AB" w:rsidRPr="002E61AB" w:rsidRDefault="002E61AB" w:rsidP="002E61AB">
            <w:pPr>
              <w:pStyle w:val="Bezmezer"/>
              <w:jc w:val="both"/>
              <w:rPr>
                <w:rStyle w:val="Hypertextovodkaz"/>
                <w:rFonts w:ascii="Tahoma" w:eastAsia="Times New Roman" w:hAnsi="Tahoma" w:cs="Tahoma"/>
                <w:bCs/>
                <w:color w:val="0F0D29" w:themeColor="text1"/>
                <w:kern w:val="36"/>
                <w:sz w:val="20"/>
                <w:szCs w:val="20"/>
                <w:u w:val="none"/>
                <w:lang w:eastAsia="cs-CZ"/>
              </w:rPr>
            </w:pPr>
            <w:r w:rsidRPr="002E61AB">
              <w:rPr>
                <w:rStyle w:val="Hypertextovodkaz"/>
                <w:rFonts w:ascii="Tahoma" w:eastAsia="Times New Roman" w:hAnsi="Tahoma" w:cs="Tahoma"/>
                <w:bCs/>
                <w:color w:val="0F0D29" w:themeColor="text1"/>
                <w:kern w:val="36"/>
                <w:sz w:val="20"/>
                <w:szCs w:val="20"/>
                <w:u w:val="none"/>
                <w:lang w:eastAsia="cs-CZ"/>
              </w:rPr>
              <w:t>●</w:t>
            </w:r>
            <w:r w:rsidRPr="002E61AB">
              <w:rPr>
                <w:rStyle w:val="Hypertextovodkaz"/>
                <w:rFonts w:ascii="Tahoma" w:eastAsia="Times New Roman" w:hAnsi="Tahoma" w:cs="Tahoma"/>
                <w:bCs/>
                <w:color w:val="0F0D29" w:themeColor="text1"/>
                <w:kern w:val="36"/>
                <w:sz w:val="20"/>
                <w:szCs w:val="20"/>
                <w:u w:val="none"/>
                <w:lang w:eastAsia="cs-CZ"/>
              </w:rPr>
              <w:tab/>
            </w:r>
            <w:r w:rsidRPr="002E61AB">
              <w:rPr>
                <w:rStyle w:val="Hypertextovodkaz"/>
                <w:rFonts w:ascii="Tahoma" w:eastAsia="Times New Roman" w:hAnsi="Tahoma" w:cs="Tahoma"/>
                <w:b/>
                <w:bCs/>
                <w:color w:val="0F0D29" w:themeColor="text1"/>
                <w:kern w:val="36"/>
                <w:sz w:val="20"/>
                <w:szCs w:val="20"/>
                <w:u w:val="none"/>
                <w:lang w:eastAsia="cs-CZ"/>
              </w:rPr>
              <w:t>Přesnější vymezení zákazu vlastnit média a zákazu přijímat dotace a investiční pobídky veřejnými funkcionáři a firmami, které skutečně vlastní</w:t>
            </w:r>
            <w:r w:rsidRPr="002E61AB">
              <w:rPr>
                <w:rStyle w:val="Hypertextovodkaz"/>
                <w:rFonts w:ascii="Tahoma" w:eastAsia="Times New Roman" w:hAnsi="Tahoma" w:cs="Tahoma"/>
                <w:bCs/>
                <w:color w:val="0F0D29" w:themeColor="text1"/>
                <w:kern w:val="36"/>
                <w:sz w:val="20"/>
                <w:szCs w:val="20"/>
                <w:u w:val="none"/>
                <w:lang w:eastAsia="cs-CZ"/>
              </w:rPr>
              <w:t xml:space="preserve"> </w:t>
            </w:r>
          </w:p>
          <w:p w14:paraId="78577185" w14:textId="77777777" w:rsidR="002E61AB" w:rsidRPr="002E61AB" w:rsidRDefault="002E61AB" w:rsidP="002E61AB">
            <w:pPr>
              <w:pStyle w:val="Bezmezer"/>
              <w:numPr>
                <w:ilvl w:val="0"/>
                <w:numId w:val="10"/>
              </w:numPr>
              <w:jc w:val="both"/>
              <w:rPr>
                <w:rStyle w:val="Hypertextovodkaz"/>
                <w:rFonts w:ascii="Tahoma" w:eastAsia="Times New Roman" w:hAnsi="Tahoma" w:cs="Tahoma"/>
                <w:bCs/>
                <w:color w:val="0F0D29" w:themeColor="text1"/>
                <w:kern w:val="36"/>
                <w:sz w:val="20"/>
                <w:szCs w:val="20"/>
                <w:u w:val="none"/>
                <w:lang w:eastAsia="cs-CZ"/>
              </w:rPr>
            </w:pPr>
            <w:r w:rsidRPr="002E61AB">
              <w:rPr>
                <w:rStyle w:val="Hypertextovodkaz"/>
                <w:rFonts w:ascii="Tahoma" w:eastAsia="Times New Roman" w:hAnsi="Tahoma" w:cs="Tahoma"/>
                <w:bCs/>
                <w:color w:val="0F0D29" w:themeColor="text1"/>
                <w:kern w:val="36"/>
                <w:sz w:val="20"/>
                <w:szCs w:val="20"/>
                <w:u w:val="none"/>
                <w:lang w:eastAsia="cs-CZ"/>
              </w:rPr>
              <w:t>Nahrazuje se v § 4a a dalších ustanoveních nahradit pojem „ovládající osoba“ širším pojmem „skutečný majitel“. Ovládající osoba je poměrně úzce vymezená v zákoně o obchodních korporacích a umožňuje obcházení zákona, např. vložením majetkových účastí do svěřenského fondu.</w:t>
            </w:r>
          </w:p>
          <w:p w14:paraId="4DAAFB4B" w14:textId="77777777" w:rsidR="002E61AB" w:rsidRPr="002E61AB" w:rsidRDefault="002E61AB" w:rsidP="002E61AB">
            <w:pPr>
              <w:pStyle w:val="Bezmezer"/>
              <w:ind w:left="1068"/>
              <w:jc w:val="both"/>
              <w:rPr>
                <w:rStyle w:val="Hypertextovodkaz"/>
                <w:rFonts w:ascii="Tahoma" w:eastAsia="Times New Roman" w:hAnsi="Tahoma" w:cs="Tahoma"/>
                <w:bCs/>
                <w:color w:val="0F0D29" w:themeColor="text1"/>
                <w:kern w:val="36"/>
                <w:sz w:val="20"/>
                <w:szCs w:val="20"/>
                <w:u w:val="none"/>
                <w:lang w:eastAsia="cs-CZ"/>
              </w:rPr>
            </w:pPr>
          </w:p>
          <w:p w14:paraId="33774F61" w14:textId="77777777" w:rsidR="002E61AB" w:rsidRPr="002E61AB" w:rsidRDefault="002E61AB" w:rsidP="002E61AB">
            <w:pPr>
              <w:numPr>
                <w:ilvl w:val="0"/>
                <w:numId w:val="11"/>
              </w:numPr>
              <w:jc w:val="both"/>
              <w:rPr>
                <w:rStyle w:val="Hypertextovodkaz"/>
                <w:rFonts w:ascii="Tahoma" w:hAnsi="Tahoma" w:cs="Tahoma"/>
                <w:b w:val="0"/>
                <w:bCs/>
                <w:color w:val="0F0D29" w:themeColor="text1"/>
                <w:kern w:val="36"/>
                <w:sz w:val="20"/>
                <w:szCs w:val="20"/>
                <w:u w:val="none"/>
                <w:lang w:eastAsia="cs-CZ"/>
              </w:rPr>
            </w:pPr>
            <w:r w:rsidRPr="002E61AB">
              <w:rPr>
                <w:rStyle w:val="Hypertextovodkaz"/>
                <w:rFonts w:ascii="Tahoma" w:hAnsi="Tahoma" w:cs="Tahoma"/>
                <w:bCs/>
                <w:color w:val="0F0D29" w:themeColor="text1"/>
                <w:kern w:val="36"/>
                <w:sz w:val="20"/>
                <w:szCs w:val="20"/>
                <w:u w:val="none"/>
                <w:lang w:eastAsia="cs-CZ"/>
              </w:rPr>
              <w:lastRenderedPageBreak/>
              <w:t>Výslovné zakotvení zákazu uzavřít smlouvu v rámci zadávání veřejných zakázek</w:t>
            </w:r>
          </w:p>
          <w:p w14:paraId="032CFBA2" w14:textId="77777777" w:rsidR="002E61AB" w:rsidRPr="002E61AB" w:rsidRDefault="002E61AB" w:rsidP="002E61AB">
            <w:pPr>
              <w:pStyle w:val="Bezmezer"/>
              <w:numPr>
                <w:ilvl w:val="0"/>
                <w:numId w:val="10"/>
              </w:numPr>
              <w:jc w:val="both"/>
              <w:rPr>
                <w:rStyle w:val="Hypertextovodkaz"/>
                <w:rFonts w:ascii="Tahoma" w:hAnsi="Tahoma" w:cs="Tahoma"/>
                <w:bCs/>
                <w:color w:val="0F0D29" w:themeColor="text1"/>
                <w:kern w:val="36"/>
                <w:sz w:val="20"/>
                <w:szCs w:val="20"/>
                <w:u w:val="none"/>
                <w:lang w:eastAsia="cs-CZ"/>
              </w:rPr>
            </w:pPr>
            <w:r w:rsidRPr="002E61AB">
              <w:rPr>
                <w:rStyle w:val="Hypertextovodkaz"/>
                <w:rFonts w:ascii="Tahoma" w:hAnsi="Tahoma" w:cs="Tahoma"/>
                <w:bCs/>
                <w:color w:val="0F0D29" w:themeColor="text1"/>
                <w:kern w:val="36"/>
                <w:sz w:val="20"/>
                <w:szCs w:val="20"/>
                <w:u w:val="none"/>
                <w:lang w:eastAsia="cs-CZ"/>
              </w:rPr>
              <w:t>V § 4b je zakázáno uzavřít smlouvu na VZ malého rozsahu s osobou, které je účast na VZ zakázaná. U ostatních VZ je zde pouze povinnost vyloučit uchazeče.</w:t>
            </w:r>
          </w:p>
          <w:p w14:paraId="6FBE1C96" w14:textId="77777777" w:rsidR="002E61AB" w:rsidRPr="002E61AB" w:rsidRDefault="002E61AB" w:rsidP="002E61AB">
            <w:pPr>
              <w:pStyle w:val="Bezmezer"/>
              <w:numPr>
                <w:ilvl w:val="0"/>
                <w:numId w:val="10"/>
              </w:numPr>
              <w:jc w:val="both"/>
              <w:rPr>
                <w:rStyle w:val="Hypertextovodkaz"/>
                <w:rFonts w:ascii="Tahoma" w:hAnsi="Tahoma" w:cs="Tahoma"/>
                <w:bCs/>
                <w:color w:val="0F0D29" w:themeColor="text1"/>
                <w:kern w:val="36"/>
                <w:sz w:val="20"/>
                <w:szCs w:val="20"/>
                <w:u w:val="none"/>
                <w:lang w:eastAsia="cs-CZ"/>
              </w:rPr>
            </w:pPr>
            <w:r w:rsidRPr="002E61AB">
              <w:rPr>
                <w:rStyle w:val="Hypertextovodkaz"/>
                <w:rFonts w:ascii="Tahoma" w:hAnsi="Tahoma" w:cs="Tahoma"/>
                <w:bCs/>
                <w:color w:val="0F0D29" w:themeColor="text1"/>
                <w:kern w:val="36"/>
                <w:sz w:val="20"/>
                <w:szCs w:val="20"/>
                <w:u w:val="none"/>
                <w:lang w:eastAsia="cs-CZ"/>
              </w:rPr>
              <w:t>Navrhuje se, aby stejný postup platil pro všechny - zákaz uzavřít smlouvu na jakoukoliv veřejnou zakázku.</w:t>
            </w:r>
          </w:p>
          <w:p w14:paraId="41CE246F" w14:textId="77777777" w:rsidR="002E61AB" w:rsidRPr="004325C8" w:rsidRDefault="002E61AB" w:rsidP="004325C8">
            <w:pPr>
              <w:pStyle w:val="Bezmezer"/>
              <w:jc w:val="both"/>
              <w:rPr>
                <w:rStyle w:val="Hypertextovodkaz"/>
                <w:rFonts w:ascii="Arial" w:eastAsia="Times New Roman" w:hAnsi="Arial" w:cs="Arial"/>
                <w:bCs/>
                <w:color w:val="0F0D29" w:themeColor="text1"/>
                <w:kern w:val="36"/>
                <w:sz w:val="20"/>
                <w:szCs w:val="20"/>
                <w:u w:val="none"/>
                <w:lang w:eastAsia="cs-CZ"/>
              </w:rPr>
            </w:pPr>
          </w:p>
          <w:p w14:paraId="4F6943F5" w14:textId="77777777" w:rsidR="004325C8" w:rsidRPr="004325C8" w:rsidRDefault="004325C8" w:rsidP="004325C8">
            <w:pPr>
              <w:pStyle w:val="Bezmezer"/>
              <w:jc w:val="both"/>
              <w:rPr>
                <w:rStyle w:val="Hypertextovodkaz"/>
                <w:rFonts w:ascii="Arial" w:eastAsia="Times New Roman" w:hAnsi="Arial" w:cs="Arial"/>
                <w:bCs/>
                <w:color w:val="0F0D29" w:themeColor="text1"/>
                <w:kern w:val="36"/>
                <w:sz w:val="20"/>
                <w:szCs w:val="20"/>
                <w:u w:val="none"/>
                <w:lang w:eastAsia="cs-CZ"/>
              </w:rPr>
            </w:pPr>
          </w:p>
          <w:p w14:paraId="658E30EC" w14:textId="77777777" w:rsidR="004325C8" w:rsidRDefault="004325C8" w:rsidP="004325C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AF7BAD5" w14:textId="77777777" w:rsidR="004325C8" w:rsidRPr="004325C8" w:rsidRDefault="004325C8"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Style w:val="Hypertextovodkaz"/>
                <w:rFonts w:ascii="Arial" w:eastAsia="Times New Roman" w:hAnsi="Arial" w:cs="Arial"/>
                <w:b/>
                <w:i/>
                <w:iCs/>
                <w:color w:val="0F0D29" w:themeColor="text1"/>
                <w:kern w:val="36"/>
                <w:sz w:val="20"/>
                <w:szCs w:val="20"/>
                <w:u w:val="none"/>
                <w:lang w:eastAsia="cs-CZ"/>
              </w:rPr>
            </w:pPr>
            <w:r w:rsidRPr="004325C8">
              <w:rPr>
                <w:rStyle w:val="Hypertextovodkaz"/>
                <w:rFonts w:ascii="Arial" w:eastAsia="Times New Roman" w:hAnsi="Arial" w:cs="Arial"/>
                <w:b/>
                <w:i/>
                <w:iCs/>
                <w:color w:val="0F0D29" w:themeColor="text1"/>
                <w:kern w:val="36"/>
                <w:sz w:val="20"/>
                <w:szCs w:val="20"/>
                <w:u w:val="none"/>
                <w:lang w:eastAsia="cs-CZ"/>
              </w:rPr>
              <w:t>Zhodnocení dopadů ze strany OPS:</w:t>
            </w:r>
          </w:p>
          <w:p w14:paraId="2CC742D7" w14:textId="77777777" w:rsidR="004325C8" w:rsidRPr="004325C8" w:rsidRDefault="004325C8"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Style w:val="Hypertextovodkaz"/>
                <w:rFonts w:ascii="Arial" w:eastAsia="Times New Roman" w:hAnsi="Arial" w:cs="Arial"/>
                <w:bCs/>
                <w:i/>
                <w:iCs/>
                <w:color w:val="0F0D29" w:themeColor="text1"/>
                <w:kern w:val="36"/>
                <w:sz w:val="20"/>
                <w:szCs w:val="20"/>
                <w:u w:val="none"/>
                <w:lang w:eastAsia="cs-CZ"/>
              </w:rPr>
            </w:pPr>
          </w:p>
          <w:p w14:paraId="11AC749E" w14:textId="0941E4BF" w:rsidR="00F4796C" w:rsidRPr="00F4796C" w:rsidRDefault="00F4796C"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jc w:val="both"/>
              <w:rPr>
                <w:rStyle w:val="Hypertextovodkaz"/>
                <w:rFonts w:ascii="Arial" w:eastAsia="Times New Roman" w:hAnsi="Arial" w:cs="Arial"/>
                <w:bCs/>
                <w:i/>
                <w:iCs/>
                <w:color w:val="0F0D29" w:themeColor="text1"/>
                <w:kern w:val="36"/>
                <w:sz w:val="20"/>
                <w:szCs w:val="20"/>
                <w:u w:val="none"/>
                <w:lang w:eastAsia="cs-CZ"/>
              </w:rPr>
            </w:pPr>
            <w:r w:rsidRPr="00F4796C">
              <w:rPr>
                <w:rStyle w:val="Hypertextovodkaz"/>
                <w:rFonts w:ascii="Arial" w:eastAsia="Times New Roman" w:hAnsi="Arial" w:cs="Arial"/>
                <w:bCs/>
                <w:i/>
                <w:iCs/>
                <w:color w:val="0F0D29" w:themeColor="text1"/>
                <w:kern w:val="36"/>
                <w:sz w:val="20"/>
                <w:szCs w:val="20"/>
                <w:u w:val="none"/>
                <w:lang w:eastAsia="cs-CZ"/>
              </w:rPr>
              <w:t>Legislativní návrh dopadá do oblasti kontrolních postupů v rámci nákupních procesů v gesci OCN a OÚ. V této souvislosti bude v praxi posouzeno a zohledněno nahrazení pojmu „ovládací osoba“ šíře</w:t>
            </w:r>
            <w:r w:rsidR="009E5DD7">
              <w:rPr>
                <w:rStyle w:val="Hypertextovodkaz"/>
                <w:rFonts w:ascii="Arial" w:eastAsia="Times New Roman" w:hAnsi="Arial" w:cs="Arial"/>
                <w:bCs/>
                <w:i/>
                <w:iCs/>
                <w:color w:val="0F0D29" w:themeColor="text1"/>
                <w:kern w:val="36"/>
                <w:sz w:val="20"/>
                <w:szCs w:val="20"/>
                <w:u w:val="none"/>
                <w:lang w:eastAsia="cs-CZ"/>
              </w:rPr>
              <w:t>ji</w:t>
            </w:r>
            <w:r w:rsidRPr="00F4796C">
              <w:rPr>
                <w:rStyle w:val="Hypertextovodkaz"/>
                <w:rFonts w:ascii="Arial" w:eastAsia="Times New Roman" w:hAnsi="Arial" w:cs="Arial"/>
                <w:bCs/>
                <w:i/>
                <w:iCs/>
                <w:color w:val="0F0D29" w:themeColor="text1"/>
                <w:kern w:val="36"/>
                <w:sz w:val="20"/>
                <w:szCs w:val="20"/>
                <w:u w:val="none"/>
                <w:lang w:eastAsia="cs-CZ"/>
              </w:rPr>
              <w:t xml:space="preserve"> (výkladově) definovaným pojmem „skutečný majitel“</w:t>
            </w:r>
          </w:p>
          <w:p w14:paraId="2002955C" w14:textId="77777777" w:rsidR="00F4796C" w:rsidRPr="00F4796C" w:rsidRDefault="00F4796C"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jc w:val="both"/>
              <w:rPr>
                <w:rStyle w:val="Hypertextovodkaz"/>
                <w:rFonts w:ascii="Arial" w:eastAsia="Times New Roman" w:hAnsi="Arial" w:cs="Arial"/>
                <w:bCs/>
                <w:i/>
                <w:iCs/>
                <w:color w:val="0F0D29" w:themeColor="text1"/>
                <w:kern w:val="36"/>
                <w:sz w:val="20"/>
                <w:szCs w:val="20"/>
                <w:u w:val="none"/>
                <w:lang w:eastAsia="cs-CZ"/>
              </w:rPr>
            </w:pPr>
          </w:p>
          <w:p w14:paraId="1E28BA99" w14:textId="3FF12D9B" w:rsidR="00F4796C" w:rsidRPr="00F4796C" w:rsidRDefault="00F4796C"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jc w:val="both"/>
              <w:rPr>
                <w:rStyle w:val="Hypertextovodkaz"/>
                <w:rFonts w:ascii="Arial" w:eastAsia="Times New Roman" w:hAnsi="Arial" w:cs="Arial"/>
                <w:bCs/>
                <w:i/>
                <w:iCs/>
                <w:color w:val="0F0D29" w:themeColor="text1"/>
                <w:kern w:val="36"/>
                <w:sz w:val="20"/>
                <w:szCs w:val="20"/>
                <w:u w:val="none"/>
                <w:lang w:eastAsia="cs-CZ"/>
              </w:rPr>
            </w:pPr>
            <w:r w:rsidRPr="00F4796C">
              <w:rPr>
                <w:rStyle w:val="Hypertextovodkaz"/>
                <w:rFonts w:ascii="Arial" w:eastAsia="Times New Roman" w:hAnsi="Arial" w:cs="Arial"/>
                <w:bCs/>
                <w:i/>
                <w:iCs/>
                <w:color w:val="0F0D29" w:themeColor="text1"/>
                <w:kern w:val="36"/>
                <w:sz w:val="20"/>
                <w:szCs w:val="20"/>
                <w:u w:val="none"/>
                <w:lang w:eastAsia="cs-CZ"/>
              </w:rPr>
              <w:t>Viz. § 4b „Veřejný funkcionář uvedený v § 2 odst. 1 písm. c) nebo právnická osoba, jejím</w:t>
            </w:r>
            <w:r w:rsidR="009E5DD7">
              <w:rPr>
                <w:rStyle w:val="Hypertextovodkaz"/>
                <w:rFonts w:ascii="Arial" w:eastAsia="Times New Roman" w:hAnsi="Arial" w:cs="Arial"/>
                <w:bCs/>
                <w:i/>
                <w:iCs/>
                <w:color w:val="0F0D29" w:themeColor="text1"/>
                <w:kern w:val="36"/>
                <w:sz w:val="20"/>
                <w:szCs w:val="20"/>
                <w:u w:val="none"/>
                <w:lang w:eastAsia="cs-CZ"/>
              </w:rPr>
              <w:t>ž</w:t>
            </w:r>
            <w:r w:rsidRPr="00F4796C">
              <w:rPr>
                <w:rStyle w:val="Hypertextovodkaz"/>
                <w:rFonts w:ascii="Arial" w:eastAsia="Times New Roman" w:hAnsi="Arial" w:cs="Arial"/>
                <w:bCs/>
                <w:i/>
                <w:iCs/>
                <w:color w:val="0F0D29" w:themeColor="text1"/>
                <w:kern w:val="36"/>
                <w:sz w:val="20"/>
                <w:szCs w:val="20"/>
                <w:u w:val="none"/>
                <w:lang w:eastAsia="cs-CZ"/>
              </w:rPr>
              <w:t xml:space="preserve"> je tento funkcionář skutečným majitelem, nesmí být dodavatelem veřejné zakázky nebo poddodavatelem, prostřednictvím kterého dodavatel prokazuje kvalifikaci. Pokud se taková osoba účastní zadávacího řízení, je zadavatel povinen ji z něj vyloučit.“</w:t>
            </w:r>
          </w:p>
          <w:p w14:paraId="1B8B40B3" w14:textId="77777777" w:rsidR="00F4796C" w:rsidRPr="00F4796C" w:rsidRDefault="00F4796C"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jc w:val="both"/>
              <w:rPr>
                <w:rStyle w:val="Hypertextovodkaz"/>
                <w:rFonts w:ascii="Arial" w:eastAsia="Times New Roman" w:hAnsi="Arial" w:cs="Arial"/>
                <w:bCs/>
                <w:i/>
                <w:iCs/>
                <w:color w:val="0F0D29" w:themeColor="text1"/>
                <w:kern w:val="36"/>
                <w:sz w:val="20"/>
                <w:szCs w:val="20"/>
                <w:u w:val="none"/>
                <w:lang w:eastAsia="cs-CZ"/>
              </w:rPr>
            </w:pPr>
          </w:p>
          <w:p w14:paraId="483DC095" w14:textId="77777777" w:rsidR="00F4796C" w:rsidRPr="00F4796C" w:rsidRDefault="00F4796C"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jc w:val="both"/>
              <w:rPr>
                <w:rStyle w:val="Hypertextovodkaz"/>
                <w:rFonts w:ascii="Arial" w:eastAsia="Times New Roman" w:hAnsi="Arial" w:cs="Arial"/>
                <w:bCs/>
                <w:i/>
                <w:iCs/>
                <w:color w:val="0F0D29" w:themeColor="text1"/>
                <w:kern w:val="36"/>
                <w:sz w:val="20"/>
                <w:szCs w:val="20"/>
                <w:u w:val="none"/>
                <w:lang w:eastAsia="cs-CZ"/>
              </w:rPr>
            </w:pPr>
            <w:r w:rsidRPr="00F4796C">
              <w:rPr>
                <w:rStyle w:val="Hypertextovodkaz"/>
                <w:rFonts w:ascii="Arial" w:eastAsia="Times New Roman" w:hAnsi="Arial" w:cs="Arial"/>
                <w:bCs/>
                <w:i/>
                <w:iCs/>
                <w:color w:val="0F0D29" w:themeColor="text1"/>
                <w:kern w:val="36"/>
                <w:sz w:val="20"/>
                <w:szCs w:val="20"/>
                <w:u w:val="none"/>
                <w:lang w:eastAsia="cs-CZ"/>
              </w:rPr>
              <w:t>V kontextu uvedené změny bude realizována právní kontrola smluvních dokumentů a interní legislativy v části úpravy problematiky střetu zájmů dle zákona č. 159/2006 Sb.</w:t>
            </w:r>
          </w:p>
          <w:p w14:paraId="0411FEC1" w14:textId="77777777" w:rsidR="00F4796C" w:rsidRPr="00F4796C" w:rsidRDefault="00F4796C"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jc w:val="both"/>
              <w:rPr>
                <w:rStyle w:val="Hypertextovodkaz"/>
                <w:rFonts w:ascii="Arial" w:eastAsia="Times New Roman" w:hAnsi="Arial" w:cs="Arial"/>
                <w:bCs/>
                <w:i/>
                <w:iCs/>
                <w:color w:val="0F0D29" w:themeColor="text1"/>
                <w:kern w:val="36"/>
                <w:sz w:val="20"/>
                <w:szCs w:val="20"/>
                <w:u w:val="none"/>
                <w:lang w:eastAsia="cs-CZ"/>
              </w:rPr>
            </w:pPr>
          </w:p>
          <w:p w14:paraId="28DEF5DB" w14:textId="0422137E" w:rsidR="0014703E" w:rsidRDefault="00F4796C" w:rsidP="00F4796C">
            <w:pPr>
              <w:pStyle w:val="Bezmeze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rPr>
                <w:rStyle w:val="Hypertextovodkaz"/>
                <w:rFonts w:ascii="Arial" w:eastAsia="Times New Roman" w:hAnsi="Arial" w:cs="Arial"/>
                <w:bCs/>
                <w:i/>
                <w:iCs/>
                <w:color w:val="0F0D29" w:themeColor="text1"/>
                <w:kern w:val="36"/>
                <w:sz w:val="20"/>
                <w:szCs w:val="20"/>
                <w:u w:val="none"/>
                <w:lang w:eastAsia="cs-CZ"/>
              </w:rPr>
            </w:pPr>
            <w:r w:rsidRPr="00F4796C">
              <w:rPr>
                <w:rStyle w:val="Hypertextovodkaz"/>
                <w:rFonts w:ascii="Arial" w:eastAsia="Times New Roman" w:hAnsi="Arial" w:cs="Arial"/>
                <w:bCs/>
                <w:i/>
                <w:iCs/>
                <w:color w:val="0F0D29" w:themeColor="text1"/>
                <w:kern w:val="36"/>
                <w:sz w:val="20"/>
                <w:szCs w:val="20"/>
                <w:u w:val="none"/>
                <w:lang w:eastAsia="cs-CZ"/>
              </w:rPr>
              <w:t xml:space="preserve">V oblasti kontrolních mechanismů </w:t>
            </w:r>
            <w:r w:rsidR="009E5DD7">
              <w:rPr>
                <w:rStyle w:val="Hypertextovodkaz"/>
                <w:rFonts w:ascii="Arial" w:eastAsia="Times New Roman" w:hAnsi="Arial" w:cs="Arial"/>
                <w:bCs/>
                <w:i/>
                <w:iCs/>
                <w:color w:val="0F0D29" w:themeColor="text1"/>
                <w:kern w:val="36"/>
                <w:sz w:val="20"/>
                <w:szCs w:val="20"/>
                <w:u w:val="none"/>
                <w:lang w:eastAsia="cs-CZ"/>
              </w:rPr>
              <w:t xml:space="preserve">se navrhuje </w:t>
            </w:r>
            <w:r w:rsidRPr="00F4796C">
              <w:rPr>
                <w:rStyle w:val="Hypertextovodkaz"/>
                <w:rFonts w:ascii="Arial" w:eastAsia="Times New Roman" w:hAnsi="Arial" w:cs="Arial"/>
                <w:bCs/>
                <w:i/>
                <w:iCs/>
                <w:color w:val="0F0D29" w:themeColor="text1"/>
                <w:kern w:val="36"/>
                <w:sz w:val="20"/>
                <w:szCs w:val="20"/>
                <w:u w:val="none"/>
                <w:lang w:eastAsia="cs-CZ"/>
              </w:rPr>
              <w:t>ust. § 4d, které zakládá povinnost zadavateli, pokud má za to, že údaje v evidenci skutečných majitelů neodpovídají skutečnému stavu,</w:t>
            </w:r>
            <w:r w:rsidR="009E5DD7">
              <w:rPr>
                <w:rStyle w:val="Hypertextovodkaz"/>
                <w:rFonts w:ascii="Arial" w:eastAsia="Times New Roman" w:hAnsi="Arial" w:cs="Arial"/>
                <w:bCs/>
                <w:i/>
                <w:iCs/>
                <w:color w:val="0F0D29" w:themeColor="text1"/>
                <w:kern w:val="36"/>
                <w:sz w:val="20"/>
                <w:szCs w:val="20"/>
                <w:u w:val="none"/>
                <w:lang w:eastAsia="cs-CZ"/>
              </w:rPr>
              <w:t xml:space="preserve"> </w:t>
            </w:r>
            <w:r w:rsidRPr="00F4796C">
              <w:rPr>
                <w:rStyle w:val="Hypertextovodkaz"/>
                <w:rFonts w:ascii="Arial" w:eastAsia="Times New Roman" w:hAnsi="Arial" w:cs="Arial"/>
                <w:bCs/>
                <w:i/>
                <w:iCs/>
                <w:color w:val="0F0D29" w:themeColor="text1"/>
                <w:kern w:val="36"/>
                <w:sz w:val="20"/>
                <w:szCs w:val="20"/>
                <w:u w:val="none"/>
                <w:lang w:eastAsia="cs-CZ"/>
              </w:rPr>
              <w:t>oznámit toto soudu příslušnému k zápisu podle zákona upravujícího evidenci skutečných majitelů.</w:t>
            </w:r>
          </w:p>
          <w:p w14:paraId="32956E78" w14:textId="77777777" w:rsidR="00F4796C" w:rsidRPr="005078C0" w:rsidRDefault="00F4796C" w:rsidP="00F4796C">
            <w:pPr>
              <w:pStyle w:val="Bezmezer"/>
              <w:spacing w:line="360" w:lineRule="auto"/>
              <w:jc w:val="both"/>
              <w:rPr>
                <w:rFonts w:ascii="Arial" w:hAnsi="Arial" w:cs="Arial"/>
                <w:i/>
                <w:color w:val="0F0D29" w:themeColor="text1"/>
                <w:sz w:val="18"/>
                <w:szCs w:val="18"/>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617949E" w14:textId="3EC2F136" w:rsidR="0014703E" w:rsidRPr="005078C0" w:rsidRDefault="001F081B" w:rsidP="008E3CAD">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1F081B">
              <w:rPr>
                <w:rStyle w:val="Hypertextovodkaz"/>
                <w:rFonts w:ascii="Arial" w:eastAsia="Times New Roman" w:hAnsi="Arial" w:cs="Arial"/>
                <w:b/>
                <w:bCs/>
                <w:color w:val="0F0D29" w:themeColor="text1"/>
                <w:kern w:val="36"/>
                <w:sz w:val="24"/>
                <w:szCs w:val="20"/>
                <w:u w:val="none"/>
                <w:lang w:eastAsia="cs-CZ"/>
              </w:rPr>
              <w:t>Návrh zákona, kterým se mění zákon č. 383/2012 Sb., o podmínkách obchodování s povolenkami na emise skleníkových plynů</w:t>
            </w:r>
            <w:r w:rsidR="00F21117">
              <w:rPr>
                <w:rStyle w:val="Hypertextovodkaz"/>
                <w:rFonts w:ascii="Arial" w:eastAsia="Times New Roman" w:hAnsi="Arial" w:cs="Arial"/>
                <w:b/>
                <w:bCs/>
                <w:color w:val="0F0D29" w:themeColor="text1"/>
                <w:kern w:val="36"/>
                <w:sz w:val="24"/>
                <w:szCs w:val="24"/>
                <w:u w:val="none"/>
                <w:lang w:eastAsia="cs-CZ"/>
              </w:rPr>
              <w:pict w14:anchorId="79068DDA">
                <v:rect id="_x0000_i1029" style="width:0;height:1.5pt" o:hralign="center" o:hrstd="t" o:hr="t" fillcolor="#a0a0a0" stroked="f"/>
              </w:pict>
            </w:r>
          </w:p>
          <w:p w14:paraId="11AD38F5" w14:textId="22A97D24"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Sněmovní tisk 1</w:t>
            </w:r>
            <w:r w:rsidR="001F081B">
              <w:rPr>
                <w:rStyle w:val="Hypertextovodkaz"/>
                <w:rFonts w:ascii="Arial" w:eastAsia="Times New Roman" w:hAnsi="Arial" w:cs="Arial"/>
                <w:bCs/>
                <w:color w:val="0F0D29" w:themeColor="text1"/>
                <w:kern w:val="36"/>
                <w:sz w:val="20"/>
                <w:szCs w:val="20"/>
                <w:u w:val="none"/>
                <w:lang w:eastAsia="cs-CZ"/>
              </w:rPr>
              <w:t>54</w:t>
            </w:r>
          </w:p>
          <w:p w14:paraId="3D6ED463"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Předloženo do Poslanecké sněmovny</w:t>
            </w:r>
          </w:p>
          <w:p w14:paraId="5FD6BB72"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70321E5" w14:textId="6605EE97" w:rsidR="001F081B" w:rsidRPr="001F081B" w:rsidRDefault="001F081B" w:rsidP="001F081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Poslanecký návrh novely zákona </w:t>
            </w:r>
            <w:r w:rsidRPr="001F081B">
              <w:rPr>
                <w:rStyle w:val="Hypertextovodkaz"/>
                <w:rFonts w:ascii="Arial" w:eastAsia="Times New Roman" w:hAnsi="Arial" w:cs="Arial"/>
                <w:bCs/>
                <w:color w:val="0F0D29" w:themeColor="text1"/>
                <w:kern w:val="36"/>
                <w:sz w:val="20"/>
                <w:szCs w:val="20"/>
                <w:u w:val="none"/>
                <w:lang w:eastAsia="cs-CZ"/>
              </w:rPr>
              <w:t>navrhuje se, aby bylo v objemu prostředků v Modernizačním fondu sníženo množství emisních povolenek podle čl. 10c , a to ze současných 100% na 50 %. Tyto povolenky pak namísto použití v rámci investic z Modernizačního fondu budou draženy a výnos z těchto dražeb bude příjmem státního</w:t>
            </w:r>
          </w:p>
          <w:p w14:paraId="34E70077" w14:textId="7F759DDE" w:rsidR="0014703E" w:rsidRDefault="001F081B" w:rsidP="001F081B">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r w:rsidRPr="001F081B">
              <w:rPr>
                <w:rStyle w:val="Hypertextovodkaz"/>
                <w:rFonts w:ascii="Arial" w:eastAsia="Times New Roman" w:hAnsi="Arial" w:cs="Arial"/>
                <w:bCs/>
                <w:color w:val="0F0D29" w:themeColor="text1"/>
                <w:kern w:val="36"/>
                <w:sz w:val="20"/>
                <w:szCs w:val="20"/>
                <w:u w:val="none"/>
                <w:lang w:eastAsia="cs-CZ"/>
              </w:rPr>
              <w:t>rozpočtu a následně použity na pokrytí zvýšených výdajů domácností</w:t>
            </w:r>
            <w:r>
              <w:rPr>
                <w:rStyle w:val="Hypertextovodkaz"/>
                <w:rFonts w:ascii="Arial" w:eastAsia="Times New Roman" w:hAnsi="Arial" w:cs="Arial"/>
                <w:bCs/>
                <w:color w:val="0F0D29" w:themeColor="text1"/>
                <w:kern w:val="36"/>
                <w:sz w:val="20"/>
                <w:szCs w:val="20"/>
                <w:u w:val="none"/>
                <w:lang w:eastAsia="cs-CZ"/>
              </w:rPr>
              <w:t>.</w:t>
            </w:r>
          </w:p>
          <w:p w14:paraId="5E3658A4" w14:textId="77777777" w:rsidR="001F081B" w:rsidRPr="005078C0" w:rsidRDefault="001F081B" w:rsidP="001F081B">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D09A34F" w14:textId="0770288C"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F081B">
              <w:rPr>
                <w:rStyle w:val="Hypertextovodkaz"/>
                <w:rFonts w:ascii="Arial" w:eastAsia="Times New Roman" w:hAnsi="Arial" w:cs="Arial"/>
                <w:bCs/>
                <w:i/>
                <w:color w:val="0F0D29" w:themeColor="text1"/>
                <w:kern w:val="36"/>
                <w:sz w:val="20"/>
                <w:szCs w:val="20"/>
                <w:u w:val="none"/>
                <w:lang w:eastAsia="cs-CZ"/>
              </w:rPr>
              <w:t>Obchodní úsek</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16C3556A"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1F081B">
              <w:rPr>
                <w:rStyle w:val="Hypertextovodkaz"/>
                <w:rFonts w:ascii="Arial" w:eastAsia="Times New Roman" w:hAnsi="Arial" w:cs="Arial"/>
                <w:bCs/>
                <w:i/>
                <w:color w:val="0F0D29" w:themeColor="text1"/>
                <w:kern w:val="36"/>
                <w:sz w:val="20"/>
                <w:szCs w:val="20"/>
                <w:u w:val="none"/>
                <w:lang w:eastAsia="cs-CZ"/>
              </w:rPr>
              <w:t>OÚ – Ing. Jaroslav Slouka</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F081B">
              <w:rPr>
                <w:rStyle w:val="Hypertextovodkaz"/>
                <w:rFonts w:ascii="Arial" w:eastAsia="Times New Roman" w:hAnsi="Arial" w:cs="Arial"/>
                <w:b/>
                <w:bCs/>
                <w:i/>
                <w:color w:val="0F0D29" w:themeColor="text1"/>
                <w:kern w:val="36"/>
                <w:sz w:val="20"/>
                <w:szCs w:val="20"/>
                <w:u w:val="none"/>
                <w:lang w:eastAsia="cs-CZ"/>
              </w:rPr>
              <w:t>30. 4. 2022</w:t>
            </w:r>
          </w:p>
          <w:p w14:paraId="162C871F"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0885C4E8"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EDFA192" w14:textId="344614BD" w:rsidR="004974BF" w:rsidRDefault="004974BF"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7F96610F" w14:textId="77777777" w:rsidR="004974BF" w:rsidRDefault="004974BF"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5486576" w14:textId="32D36A45" w:rsidR="0014703E" w:rsidRPr="005078C0" w:rsidRDefault="001F081B" w:rsidP="008E3CAD">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1F081B">
              <w:rPr>
                <w:rStyle w:val="Hypertextovodkaz"/>
                <w:rFonts w:ascii="Arial" w:eastAsia="Times New Roman" w:hAnsi="Arial" w:cs="Arial"/>
                <w:b/>
                <w:bCs/>
                <w:color w:val="0F0D29" w:themeColor="text1"/>
                <w:kern w:val="36"/>
                <w:sz w:val="24"/>
                <w:szCs w:val="20"/>
                <w:u w:val="none"/>
                <w:lang w:eastAsia="cs-CZ"/>
              </w:rPr>
              <w:lastRenderedPageBreak/>
              <w:t>Novela zákona č.  200/1994 Sb., o zeměměřictví</w:t>
            </w:r>
            <w:r w:rsidR="00F21117">
              <w:rPr>
                <w:rStyle w:val="Hypertextovodkaz"/>
                <w:rFonts w:ascii="Arial" w:eastAsia="Times New Roman" w:hAnsi="Arial" w:cs="Arial"/>
                <w:b/>
                <w:bCs/>
                <w:color w:val="0F0D29" w:themeColor="text1"/>
                <w:kern w:val="36"/>
                <w:sz w:val="24"/>
                <w:szCs w:val="24"/>
                <w:u w:val="none"/>
                <w:lang w:eastAsia="cs-CZ"/>
              </w:rPr>
              <w:pict w14:anchorId="0B7CE7A0">
                <v:rect id="_x0000_i1030" style="width:0;height:1.5pt" o:hralign="center" o:hrstd="t" o:hr="t" fillcolor="#a0a0a0" stroked="f"/>
              </w:pict>
            </w:r>
          </w:p>
          <w:p w14:paraId="0569385D" w14:textId="550CB4F0" w:rsidR="0014703E" w:rsidRPr="005078C0" w:rsidRDefault="001F081B"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163</w:t>
            </w:r>
          </w:p>
          <w:p w14:paraId="30A3E8C1" w14:textId="153DDCA3" w:rsidR="0014703E" w:rsidRPr="005078C0" w:rsidRDefault="001F081B"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Předloženo do poslanecké sněmovny</w:t>
            </w:r>
          </w:p>
          <w:p w14:paraId="1B250AF5"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F5EFC2D" w14:textId="0634C5FE" w:rsidR="00283722" w:rsidRPr="00283722" w:rsidRDefault="00283722" w:rsidP="0028372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Novela zákona o zeměměřictví </w:t>
            </w:r>
            <w:r>
              <w:t>přináší d</w:t>
            </w:r>
            <w:r w:rsidRPr="00283722">
              <w:rPr>
                <w:rStyle w:val="Hypertextovodkaz"/>
                <w:rFonts w:ascii="Arial" w:eastAsia="Times New Roman" w:hAnsi="Arial" w:cs="Arial"/>
                <w:bCs/>
                <w:color w:val="0F0D29" w:themeColor="text1"/>
                <w:kern w:val="36"/>
                <w:sz w:val="20"/>
                <w:szCs w:val="20"/>
                <w:u w:val="none"/>
                <w:lang w:eastAsia="cs-CZ"/>
              </w:rPr>
              <w:t xml:space="preserve">ílčí změny </w:t>
            </w:r>
            <w:r w:rsidR="007055E5">
              <w:rPr>
                <w:rStyle w:val="Hypertextovodkaz"/>
                <w:rFonts w:ascii="Arial" w:eastAsia="Times New Roman" w:hAnsi="Arial" w:cs="Arial"/>
                <w:bCs/>
                <w:color w:val="0F0D29" w:themeColor="text1"/>
                <w:kern w:val="36"/>
                <w:sz w:val="20"/>
                <w:szCs w:val="20"/>
                <w:u w:val="none"/>
                <w:lang w:eastAsia="cs-CZ"/>
              </w:rPr>
              <w:t>týkající se</w:t>
            </w:r>
            <w:r w:rsidRPr="00283722">
              <w:rPr>
                <w:rStyle w:val="Hypertextovodkaz"/>
                <w:rFonts w:ascii="Arial" w:eastAsia="Times New Roman" w:hAnsi="Arial" w:cs="Arial"/>
                <w:bCs/>
                <w:color w:val="0F0D29" w:themeColor="text1"/>
                <w:kern w:val="36"/>
                <w:sz w:val="20"/>
                <w:szCs w:val="20"/>
                <w:u w:val="none"/>
                <w:lang w:eastAsia="cs-CZ"/>
              </w:rPr>
              <w:t xml:space="preserve"> rozšíření pojmu geodetické základy, a to zejména o státní síť</w:t>
            </w:r>
            <w:r>
              <w:rPr>
                <w:rStyle w:val="Hypertextovodkaz"/>
                <w:rFonts w:ascii="Arial" w:eastAsia="Times New Roman" w:hAnsi="Arial" w:cs="Arial"/>
                <w:bCs/>
                <w:color w:val="0F0D29" w:themeColor="text1"/>
                <w:kern w:val="36"/>
                <w:sz w:val="20"/>
                <w:szCs w:val="20"/>
                <w:u w:val="none"/>
                <w:lang w:eastAsia="cs-CZ"/>
              </w:rPr>
              <w:t xml:space="preserve"> </w:t>
            </w:r>
            <w:r w:rsidRPr="00283722">
              <w:rPr>
                <w:rStyle w:val="Hypertextovodkaz"/>
                <w:rFonts w:ascii="Arial" w:eastAsia="Times New Roman" w:hAnsi="Arial" w:cs="Arial"/>
                <w:bCs/>
                <w:color w:val="0F0D29" w:themeColor="text1"/>
                <w:kern w:val="36"/>
                <w:sz w:val="20"/>
                <w:szCs w:val="20"/>
                <w:u w:val="none"/>
                <w:lang w:eastAsia="cs-CZ"/>
              </w:rPr>
              <w:t>permanentních stanic pro přesné určování polohy, a rozšíření definic základních pojmů</w:t>
            </w:r>
            <w:r>
              <w:rPr>
                <w:rStyle w:val="Hypertextovodkaz"/>
                <w:rFonts w:ascii="Arial" w:eastAsia="Times New Roman" w:hAnsi="Arial" w:cs="Arial"/>
                <w:bCs/>
                <w:color w:val="0F0D29" w:themeColor="text1"/>
                <w:kern w:val="36"/>
                <w:sz w:val="20"/>
                <w:szCs w:val="20"/>
                <w:u w:val="none"/>
                <w:lang w:eastAsia="cs-CZ"/>
              </w:rPr>
              <w:t xml:space="preserve"> </w:t>
            </w:r>
            <w:r w:rsidRPr="00283722">
              <w:rPr>
                <w:rStyle w:val="Hypertextovodkaz"/>
                <w:rFonts w:ascii="Arial" w:eastAsia="Times New Roman" w:hAnsi="Arial" w:cs="Arial"/>
                <w:bCs/>
                <w:color w:val="0F0D29" w:themeColor="text1"/>
                <w:kern w:val="36"/>
                <w:sz w:val="20"/>
                <w:szCs w:val="20"/>
                <w:u w:val="none"/>
                <w:lang w:eastAsia="cs-CZ"/>
              </w:rPr>
              <w:t>o ortofoto České republiky s tím, že jeho tvorba bude nově považována za zeměměřickou</w:t>
            </w:r>
            <w:r>
              <w:rPr>
                <w:rStyle w:val="Hypertextovodkaz"/>
                <w:rFonts w:ascii="Arial" w:eastAsia="Times New Roman" w:hAnsi="Arial" w:cs="Arial"/>
                <w:bCs/>
                <w:color w:val="0F0D29" w:themeColor="text1"/>
                <w:kern w:val="36"/>
                <w:sz w:val="20"/>
                <w:szCs w:val="20"/>
                <w:u w:val="none"/>
                <w:lang w:eastAsia="cs-CZ"/>
              </w:rPr>
              <w:t xml:space="preserve"> </w:t>
            </w:r>
            <w:r w:rsidRPr="00283722">
              <w:rPr>
                <w:rStyle w:val="Hypertextovodkaz"/>
                <w:rFonts w:ascii="Arial" w:eastAsia="Times New Roman" w:hAnsi="Arial" w:cs="Arial"/>
                <w:bCs/>
                <w:color w:val="0F0D29" w:themeColor="text1"/>
                <w:kern w:val="36"/>
                <w:sz w:val="20"/>
                <w:szCs w:val="20"/>
                <w:u w:val="none"/>
                <w:lang w:eastAsia="cs-CZ"/>
              </w:rPr>
              <w:t>činnost vykonávanou ve veřejném zájmu.</w:t>
            </w:r>
          </w:p>
          <w:p w14:paraId="4EA5288B" w14:textId="77777777" w:rsidR="00283722" w:rsidRDefault="00283722" w:rsidP="0028372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32F3D62" w14:textId="71CF894B" w:rsidR="00283722" w:rsidRPr="00283722" w:rsidRDefault="00283722" w:rsidP="0028372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83722">
              <w:rPr>
                <w:rStyle w:val="Hypertextovodkaz"/>
                <w:rFonts w:ascii="Arial" w:eastAsia="Times New Roman" w:hAnsi="Arial" w:cs="Arial"/>
                <w:bCs/>
                <w:color w:val="0F0D29" w:themeColor="text1"/>
                <w:kern w:val="36"/>
                <w:sz w:val="20"/>
                <w:szCs w:val="20"/>
                <w:u w:val="none"/>
                <w:lang w:eastAsia="cs-CZ"/>
              </w:rPr>
              <w:t>Upravuje se definice zeměměřických činností a v návaznosti na to se zpřesňuje výčet</w:t>
            </w:r>
            <w:r>
              <w:rPr>
                <w:rStyle w:val="Hypertextovodkaz"/>
                <w:rFonts w:ascii="Arial" w:eastAsia="Times New Roman" w:hAnsi="Arial" w:cs="Arial"/>
                <w:bCs/>
                <w:color w:val="0F0D29" w:themeColor="text1"/>
                <w:kern w:val="36"/>
                <w:sz w:val="20"/>
                <w:szCs w:val="20"/>
                <w:u w:val="none"/>
                <w:lang w:eastAsia="cs-CZ"/>
              </w:rPr>
              <w:t xml:space="preserve"> </w:t>
            </w:r>
            <w:r w:rsidRPr="00283722">
              <w:rPr>
                <w:rStyle w:val="Hypertextovodkaz"/>
                <w:rFonts w:ascii="Arial" w:eastAsia="Times New Roman" w:hAnsi="Arial" w:cs="Arial"/>
                <w:bCs/>
                <w:color w:val="0F0D29" w:themeColor="text1"/>
                <w:kern w:val="36"/>
                <w:sz w:val="20"/>
                <w:szCs w:val="20"/>
                <w:u w:val="none"/>
                <w:lang w:eastAsia="cs-CZ"/>
              </w:rPr>
              <w:t>zeměměřických činností vykonávaných ve veřejném zájmu, a to zejména s ohledem na to, že</w:t>
            </w:r>
            <w:r>
              <w:rPr>
                <w:rStyle w:val="Hypertextovodkaz"/>
                <w:rFonts w:ascii="Arial" w:eastAsia="Times New Roman" w:hAnsi="Arial" w:cs="Arial"/>
                <w:bCs/>
                <w:color w:val="0F0D29" w:themeColor="text1"/>
                <w:kern w:val="36"/>
                <w:sz w:val="20"/>
                <w:szCs w:val="20"/>
                <w:u w:val="none"/>
                <w:lang w:eastAsia="cs-CZ"/>
              </w:rPr>
              <w:t xml:space="preserve"> </w:t>
            </w:r>
            <w:r w:rsidRPr="00283722">
              <w:rPr>
                <w:rStyle w:val="Hypertextovodkaz"/>
                <w:rFonts w:ascii="Arial" w:eastAsia="Times New Roman" w:hAnsi="Arial" w:cs="Arial"/>
                <w:bCs/>
                <w:color w:val="0F0D29" w:themeColor="text1"/>
                <w:kern w:val="36"/>
                <w:sz w:val="20"/>
                <w:szCs w:val="20"/>
                <w:u w:val="none"/>
                <w:lang w:eastAsia="cs-CZ"/>
              </w:rPr>
              <w:t>některé činnosti sem dosud zařazené jsou sice vykonávány v souvislosti se zeměměřictvím</w:t>
            </w:r>
            <w:r>
              <w:rPr>
                <w:rStyle w:val="Hypertextovodkaz"/>
                <w:rFonts w:ascii="Arial" w:eastAsia="Times New Roman" w:hAnsi="Arial" w:cs="Arial"/>
                <w:bCs/>
                <w:color w:val="0F0D29" w:themeColor="text1"/>
                <w:kern w:val="36"/>
                <w:sz w:val="20"/>
                <w:szCs w:val="20"/>
                <w:u w:val="none"/>
                <w:lang w:eastAsia="cs-CZ"/>
              </w:rPr>
              <w:t xml:space="preserve"> </w:t>
            </w:r>
            <w:r w:rsidRPr="00283722">
              <w:rPr>
                <w:rStyle w:val="Hypertextovodkaz"/>
                <w:rFonts w:ascii="Arial" w:eastAsia="Times New Roman" w:hAnsi="Arial" w:cs="Arial"/>
                <w:bCs/>
                <w:color w:val="0F0D29" w:themeColor="text1"/>
                <w:kern w:val="36"/>
                <w:sz w:val="20"/>
                <w:szCs w:val="20"/>
                <w:u w:val="none"/>
                <w:lang w:eastAsia="cs-CZ"/>
              </w:rPr>
              <w:t>nebo ve veřejném zájmu, k jejich výkonu však objektivně není třeba zeměměřického vzdělání.</w:t>
            </w:r>
          </w:p>
          <w:p w14:paraId="541249FA" w14:textId="77777777" w:rsidR="00283722" w:rsidRDefault="00283722" w:rsidP="0028372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722207C" w14:textId="247E3A85" w:rsidR="0014703E" w:rsidRPr="005078C0" w:rsidRDefault="00283722" w:rsidP="0028372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83722">
              <w:rPr>
                <w:rStyle w:val="Hypertextovodkaz"/>
                <w:rFonts w:ascii="Arial" w:eastAsia="Times New Roman" w:hAnsi="Arial" w:cs="Arial"/>
                <w:bCs/>
                <w:color w:val="0F0D29" w:themeColor="text1"/>
                <w:kern w:val="36"/>
                <w:sz w:val="20"/>
                <w:szCs w:val="20"/>
                <w:u w:val="none"/>
                <w:lang w:eastAsia="cs-CZ"/>
              </w:rPr>
              <w:t>Dále se navrhuje stanovit, že vybrané údaje spravované Zeměměřický úřadem budou</w:t>
            </w:r>
            <w:r>
              <w:rPr>
                <w:rStyle w:val="Hypertextovodkaz"/>
                <w:rFonts w:ascii="Arial" w:eastAsia="Times New Roman" w:hAnsi="Arial" w:cs="Arial"/>
                <w:bCs/>
                <w:color w:val="0F0D29" w:themeColor="text1"/>
                <w:kern w:val="36"/>
                <w:sz w:val="20"/>
                <w:szCs w:val="20"/>
                <w:u w:val="none"/>
                <w:lang w:eastAsia="cs-CZ"/>
              </w:rPr>
              <w:t xml:space="preserve"> </w:t>
            </w:r>
            <w:r w:rsidRPr="00283722">
              <w:rPr>
                <w:rStyle w:val="Hypertextovodkaz"/>
                <w:rFonts w:ascii="Arial" w:eastAsia="Times New Roman" w:hAnsi="Arial" w:cs="Arial"/>
                <w:bCs/>
                <w:color w:val="0F0D29" w:themeColor="text1"/>
                <w:kern w:val="36"/>
                <w:sz w:val="20"/>
                <w:szCs w:val="20"/>
                <w:u w:val="none"/>
                <w:lang w:eastAsia="cs-CZ"/>
              </w:rPr>
              <w:t xml:space="preserve">poskytovány bezplatně jako otevřená data. </w:t>
            </w:r>
          </w:p>
          <w:p w14:paraId="734519D3"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3CFC9955" w14:textId="70F2A9DE" w:rsidR="0014703E" w:rsidRPr="0081590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283722">
              <w:rPr>
                <w:rStyle w:val="Hypertextovodkaz"/>
                <w:rFonts w:ascii="Arial" w:eastAsia="Times New Roman" w:hAnsi="Arial" w:cs="Arial"/>
                <w:bCs/>
                <w:i/>
                <w:color w:val="0F0D29" w:themeColor="text1"/>
                <w:kern w:val="36"/>
                <w:sz w:val="20"/>
                <w:szCs w:val="20"/>
                <w:u w:val="none"/>
                <w:lang w:eastAsia="cs-CZ"/>
              </w:rPr>
              <w:t>OPS ve spolupráci s OESN</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41931816" w14:textId="77777777" w:rsidR="0014703E" w:rsidRPr="0081590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30FE566" w14:textId="1998D451" w:rsidR="0014703E" w:rsidRPr="0081590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sidR="00283722">
              <w:rPr>
                <w:rStyle w:val="Hypertextovodkaz"/>
                <w:rFonts w:ascii="Arial" w:eastAsia="Times New Roman" w:hAnsi="Arial" w:cs="Arial"/>
                <w:bCs/>
                <w:i/>
                <w:color w:val="0F0D29" w:themeColor="text1"/>
                <w:kern w:val="36"/>
                <w:sz w:val="20"/>
                <w:szCs w:val="20"/>
                <w:u w:val="none"/>
                <w:lang w:eastAsia="cs-CZ"/>
              </w:rPr>
              <w:t>OPS – Mgr. Pavel Císař; OESN – Ing. Helena Hostková</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283722">
              <w:rPr>
                <w:rStyle w:val="Hypertextovodkaz"/>
                <w:rFonts w:ascii="Arial" w:eastAsia="Times New Roman" w:hAnsi="Arial" w:cs="Arial"/>
                <w:b/>
                <w:bCs/>
                <w:i/>
                <w:color w:val="0F0D29" w:themeColor="text1"/>
                <w:kern w:val="36"/>
                <w:sz w:val="20"/>
                <w:szCs w:val="20"/>
                <w:u w:val="none"/>
                <w:lang w:eastAsia="cs-CZ"/>
              </w:rPr>
              <w:t>30. 4. 2022</w:t>
            </w:r>
          </w:p>
          <w:p w14:paraId="53E058FD" w14:textId="77777777" w:rsidR="0014703E" w:rsidRPr="005078C0" w:rsidRDefault="0014703E" w:rsidP="008E3CAD">
            <w:pPr>
              <w:pStyle w:val="Bezmezer"/>
              <w:jc w:val="both"/>
              <w:rPr>
                <w:rStyle w:val="Hypertextovodkaz"/>
                <w:rFonts w:ascii="Arial" w:eastAsia="Times New Roman" w:hAnsi="Arial" w:cs="Arial"/>
                <w:bCs/>
                <w:color w:val="0F0D29" w:themeColor="text1"/>
                <w:kern w:val="36"/>
                <w:sz w:val="20"/>
                <w:szCs w:val="20"/>
                <w:u w:val="none"/>
                <w:lang w:eastAsia="cs-CZ"/>
              </w:rPr>
            </w:pPr>
          </w:p>
          <w:p w14:paraId="60C2C111" w14:textId="77777777" w:rsidR="0014703E" w:rsidRPr="005078C0" w:rsidRDefault="0014703E" w:rsidP="008E3CAD">
            <w:pPr>
              <w:pStyle w:val="Bezmezer"/>
              <w:jc w:val="both"/>
              <w:rPr>
                <w:rStyle w:val="Hypertextovodkaz"/>
                <w:rFonts w:ascii="Arial" w:eastAsia="Times New Roman" w:hAnsi="Arial" w:cs="Arial"/>
                <w:bCs/>
                <w:color w:val="0F0D29" w:themeColor="text1"/>
                <w:kern w:val="36"/>
                <w:sz w:val="20"/>
                <w:szCs w:val="20"/>
                <w:u w:val="none"/>
                <w:lang w:eastAsia="cs-CZ"/>
              </w:rPr>
            </w:pPr>
          </w:p>
          <w:p w14:paraId="65116B30" w14:textId="6FE40302" w:rsidR="0014703E" w:rsidRDefault="00283722" w:rsidP="00834F4E">
            <w:pPr>
              <w:pStyle w:val="Bezmezer"/>
              <w:jc w:val="center"/>
              <w:rPr>
                <w:rStyle w:val="Hypertextovodkaz"/>
                <w:rFonts w:ascii="Arial" w:eastAsia="Times New Roman" w:hAnsi="Arial" w:cs="Arial"/>
                <w:b/>
                <w:bCs/>
                <w:color w:val="0F0D29" w:themeColor="text1"/>
                <w:kern w:val="36"/>
                <w:sz w:val="24"/>
                <w:szCs w:val="24"/>
                <w:u w:val="none"/>
                <w:lang w:eastAsia="cs-CZ"/>
              </w:rPr>
            </w:pPr>
            <w:r w:rsidRPr="00283722">
              <w:rPr>
                <w:rStyle w:val="Hypertextovodkaz"/>
                <w:rFonts w:ascii="Arial" w:eastAsia="Times New Roman" w:hAnsi="Arial" w:cs="Arial"/>
                <w:b/>
                <w:bCs/>
                <w:color w:val="0F0D29" w:themeColor="text1"/>
                <w:kern w:val="36"/>
                <w:sz w:val="24"/>
                <w:szCs w:val="20"/>
                <w:u w:val="none"/>
                <w:lang w:eastAsia="cs-CZ"/>
              </w:rPr>
              <w:t>Směrnice o náležité péči podniků v oblasti udržitelnosti</w:t>
            </w:r>
            <w:r w:rsidR="00F21117">
              <w:rPr>
                <w:rStyle w:val="Hypertextovodkaz"/>
                <w:rFonts w:ascii="Arial" w:eastAsia="Times New Roman" w:hAnsi="Arial" w:cs="Arial"/>
                <w:b/>
                <w:bCs/>
                <w:color w:val="0F0D29" w:themeColor="text1"/>
                <w:kern w:val="36"/>
                <w:sz w:val="24"/>
                <w:szCs w:val="24"/>
                <w:u w:val="none"/>
                <w:lang w:eastAsia="cs-CZ"/>
              </w:rPr>
              <w:pict w14:anchorId="3D2A7A2B">
                <v:rect id="_x0000_i1031" style="width:0;height:1.5pt" o:hralign="center" o:bullet="t" o:hrstd="t" o:hr="t" fillcolor="#a0a0a0" stroked="f"/>
              </w:pict>
            </w:r>
          </w:p>
          <w:p w14:paraId="1FB3E1BF" w14:textId="7C926135" w:rsidR="00834F4E" w:rsidRDefault="00834F4E" w:rsidP="00834F4E">
            <w:pPr>
              <w:pStyle w:val="Bezmezer"/>
              <w:jc w:val="right"/>
              <w:rPr>
                <w:rStyle w:val="Hypertextovodkaz"/>
                <w:rFonts w:ascii="Arial" w:eastAsia="Times New Roman" w:hAnsi="Arial" w:cs="Arial"/>
                <w:b/>
                <w:bCs/>
                <w:color w:val="0F0D29" w:themeColor="text1"/>
                <w:kern w:val="36"/>
                <w:sz w:val="24"/>
                <w:szCs w:val="20"/>
                <w:u w:val="none"/>
                <w:lang w:eastAsia="cs-CZ"/>
              </w:rPr>
            </w:pPr>
          </w:p>
          <w:p w14:paraId="3B7324FA" w14:textId="68EE1B72" w:rsidR="00834F4E" w:rsidRDefault="00283722" w:rsidP="00834F4E">
            <w:pPr>
              <w:pStyle w:val="Bezmezer"/>
              <w:jc w:val="right"/>
              <w:rPr>
                <w:rStyle w:val="Hypertextovodkaz"/>
                <w:rFonts w:ascii="Arial" w:eastAsia="Times New Roman" w:hAnsi="Arial" w:cs="Arial"/>
                <w:bCs/>
                <w:color w:val="0F0D29" w:themeColor="text1"/>
                <w:kern w:val="36"/>
                <w:sz w:val="20"/>
                <w:szCs w:val="20"/>
                <w:u w:val="none"/>
                <w:lang w:eastAsia="cs-CZ"/>
              </w:rPr>
            </w:pPr>
            <w:r w:rsidRPr="00283722">
              <w:rPr>
                <w:rStyle w:val="Hypertextovodkaz"/>
                <w:rFonts w:ascii="Arial" w:eastAsia="Times New Roman" w:hAnsi="Arial" w:cs="Arial"/>
                <w:bCs/>
                <w:color w:val="0F0D29" w:themeColor="text1"/>
                <w:kern w:val="36"/>
                <w:sz w:val="20"/>
                <w:szCs w:val="20"/>
                <w:u w:val="none"/>
                <w:lang w:eastAsia="cs-CZ"/>
              </w:rPr>
              <w:t>Návrh směrnice přijat 23.2.2022 Evropskou komisí</w:t>
            </w:r>
          </w:p>
          <w:p w14:paraId="119FDD80" w14:textId="77777777" w:rsidR="00283722" w:rsidRDefault="00283722" w:rsidP="00834F4E">
            <w:pPr>
              <w:pStyle w:val="Bezmezer"/>
              <w:jc w:val="right"/>
              <w:rPr>
                <w:rStyle w:val="Hypertextovodkaz"/>
                <w:rFonts w:ascii="Arial" w:eastAsia="Times New Roman" w:hAnsi="Arial" w:cs="Arial"/>
                <w:bCs/>
                <w:color w:val="0F0D29" w:themeColor="text1"/>
                <w:kern w:val="36"/>
                <w:sz w:val="20"/>
                <w:szCs w:val="20"/>
                <w:u w:val="none"/>
                <w:lang w:eastAsia="cs-CZ"/>
              </w:rPr>
            </w:pPr>
          </w:p>
          <w:p w14:paraId="2DF9E350" w14:textId="66924595"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p>
          <w:p w14:paraId="43AA8BE8" w14:textId="77777777" w:rsidR="00521069" w:rsidRPr="00521069" w:rsidRDefault="00521069" w:rsidP="00521069">
            <w:pPr>
              <w:pStyle w:val="Bezmezer"/>
              <w:jc w:val="both"/>
              <w:rPr>
                <w:rStyle w:val="Hypertextovodkaz"/>
                <w:rFonts w:ascii="Arial" w:eastAsia="Times New Roman" w:hAnsi="Arial" w:cs="Arial"/>
                <w:bCs/>
                <w:color w:val="0F0D29" w:themeColor="text1"/>
                <w:kern w:val="36"/>
                <w:sz w:val="20"/>
                <w:szCs w:val="20"/>
                <w:u w:val="none"/>
                <w:lang w:eastAsia="cs-CZ"/>
              </w:rPr>
            </w:pPr>
            <w:r w:rsidRPr="00521069">
              <w:rPr>
                <w:rStyle w:val="Hypertextovodkaz"/>
                <w:rFonts w:ascii="Arial" w:eastAsia="Times New Roman" w:hAnsi="Arial" w:cs="Arial"/>
                <w:bCs/>
                <w:color w:val="0F0D29" w:themeColor="text1"/>
                <w:kern w:val="36"/>
                <w:sz w:val="20"/>
                <w:szCs w:val="20"/>
                <w:u w:val="none"/>
                <w:lang w:eastAsia="cs-CZ"/>
              </w:rPr>
              <w:t>Evropská komise přijala návrh směrnice o náležité péči podniků v oblasti udržitelnosti.</w:t>
            </w:r>
          </w:p>
          <w:p w14:paraId="00C620B9" w14:textId="77777777" w:rsidR="00521069" w:rsidRPr="00521069" w:rsidRDefault="00521069" w:rsidP="00521069">
            <w:pPr>
              <w:pStyle w:val="Bezmezer"/>
              <w:jc w:val="both"/>
              <w:rPr>
                <w:rStyle w:val="Hypertextovodkaz"/>
                <w:rFonts w:ascii="Arial" w:eastAsia="Times New Roman" w:hAnsi="Arial" w:cs="Arial"/>
                <w:bCs/>
                <w:color w:val="0F0D29" w:themeColor="text1"/>
                <w:kern w:val="36"/>
                <w:sz w:val="20"/>
                <w:szCs w:val="20"/>
                <w:u w:val="none"/>
                <w:lang w:eastAsia="cs-CZ"/>
              </w:rPr>
            </w:pPr>
          </w:p>
          <w:p w14:paraId="1B56EC56" w14:textId="5B7D6287" w:rsidR="00834F4E" w:rsidRDefault="00521069" w:rsidP="00521069">
            <w:pPr>
              <w:pStyle w:val="Bezmezer"/>
              <w:jc w:val="both"/>
              <w:rPr>
                <w:rStyle w:val="Hypertextovodkaz"/>
                <w:rFonts w:ascii="Arial" w:eastAsia="Times New Roman" w:hAnsi="Arial" w:cs="Arial"/>
                <w:bCs/>
                <w:color w:val="0F0D29" w:themeColor="text1"/>
                <w:kern w:val="36"/>
                <w:sz w:val="20"/>
                <w:szCs w:val="20"/>
                <w:u w:val="none"/>
                <w:lang w:eastAsia="cs-CZ"/>
              </w:rPr>
            </w:pPr>
            <w:r w:rsidRPr="00521069">
              <w:rPr>
                <w:rStyle w:val="Hypertextovodkaz"/>
                <w:rFonts w:ascii="Arial" w:eastAsia="Times New Roman" w:hAnsi="Arial" w:cs="Arial"/>
                <w:bCs/>
                <w:color w:val="0F0D29" w:themeColor="text1"/>
                <w:kern w:val="36"/>
                <w:sz w:val="20"/>
                <w:szCs w:val="20"/>
                <w:u w:val="none"/>
                <w:lang w:eastAsia="cs-CZ"/>
              </w:rPr>
              <w:t xml:space="preserve">Cílem návrhu je podpořit udržitelné a zodpovědné chování podniků v rámci celých globálních hodnotových řetězců (zodpovědnost nejen za své přímé dodavatele a odběratele). Firmy budou muset identifikovat nepříznivé vlivy svých činností na lidská práva – dětská práce a vykořisťování pracovníků, a </w:t>
            </w:r>
            <w:r w:rsidRPr="00521069">
              <w:rPr>
                <w:rStyle w:val="Hypertextovodkaz"/>
                <w:rFonts w:ascii="Arial" w:eastAsia="Times New Roman" w:hAnsi="Arial" w:cs="Arial"/>
                <w:b/>
                <w:color w:val="0F0D29" w:themeColor="text1"/>
                <w:kern w:val="36"/>
                <w:sz w:val="20"/>
                <w:szCs w:val="20"/>
                <w:u w:val="none"/>
                <w:lang w:eastAsia="cs-CZ"/>
              </w:rPr>
              <w:t>na životní prostředí – znečištění a úbytek biologické rozmanitosti</w:t>
            </w:r>
            <w:r w:rsidRPr="00521069">
              <w:rPr>
                <w:rStyle w:val="Hypertextovodkaz"/>
                <w:rFonts w:ascii="Arial" w:eastAsia="Times New Roman" w:hAnsi="Arial" w:cs="Arial"/>
                <w:bCs/>
                <w:color w:val="0F0D29" w:themeColor="text1"/>
                <w:kern w:val="36"/>
                <w:sz w:val="20"/>
                <w:szCs w:val="20"/>
                <w:u w:val="none"/>
                <w:lang w:eastAsia="cs-CZ"/>
              </w:rPr>
              <w:t>, a v nezbytných případech těmto dopadům předcházet, odstranit je nebo je zmírnit.</w:t>
            </w:r>
          </w:p>
          <w:p w14:paraId="7439AE9E" w14:textId="63ECD630" w:rsidR="00560334" w:rsidRDefault="00560334" w:rsidP="00521069">
            <w:pPr>
              <w:pStyle w:val="Bezmezer"/>
              <w:jc w:val="both"/>
              <w:rPr>
                <w:rStyle w:val="Hypertextovodkaz"/>
                <w:rFonts w:ascii="Arial" w:eastAsia="Times New Roman" w:hAnsi="Arial" w:cs="Arial"/>
                <w:bCs/>
                <w:color w:val="0F0D29" w:themeColor="text1"/>
                <w:kern w:val="36"/>
                <w:sz w:val="20"/>
                <w:szCs w:val="20"/>
                <w:u w:val="none"/>
                <w:lang w:eastAsia="cs-CZ"/>
              </w:rPr>
            </w:pPr>
          </w:p>
          <w:p w14:paraId="5B1E202F" w14:textId="3A5EBF51" w:rsidR="00560334" w:rsidRP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Vybrané p</w:t>
            </w:r>
            <w:r w:rsidRPr="00560334">
              <w:rPr>
                <w:rStyle w:val="Hypertextovodkaz"/>
                <w:rFonts w:ascii="Arial" w:eastAsia="Times New Roman" w:hAnsi="Arial" w:cs="Arial"/>
                <w:bCs/>
                <w:color w:val="0F0D29" w:themeColor="text1"/>
                <w:kern w:val="36"/>
                <w:sz w:val="20"/>
                <w:szCs w:val="20"/>
                <w:u w:val="none"/>
                <w:lang w:eastAsia="cs-CZ"/>
              </w:rPr>
              <w:t>odniky</w:t>
            </w:r>
            <w:r>
              <w:rPr>
                <w:rStyle w:val="Hypertextovodkaz"/>
                <w:rFonts w:ascii="Arial" w:eastAsia="Times New Roman" w:hAnsi="Arial" w:cs="Arial"/>
                <w:bCs/>
                <w:color w:val="0F0D29" w:themeColor="text1"/>
                <w:kern w:val="36"/>
                <w:sz w:val="20"/>
                <w:szCs w:val="20"/>
                <w:u w:val="none"/>
                <w:lang w:eastAsia="cs-CZ"/>
              </w:rPr>
              <w:t xml:space="preserve"> </w:t>
            </w:r>
            <w:r w:rsidRPr="00560334">
              <w:rPr>
                <w:rStyle w:val="Hypertextovodkaz"/>
                <w:rFonts w:ascii="Arial" w:eastAsia="Times New Roman" w:hAnsi="Arial" w:cs="Arial"/>
                <w:bCs/>
                <w:color w:val="0F0D29" w:themeColor="text1"/>
                <w:kern w:val="36"/>
                <w:sz w:val="20"/>
                <w:szCs w:val="20"/>
                <w:u w:val="none"/>
                <w:lang w:eastAsia="cs-CZ"/>
              </w:rPr>
              <w:t>musí mít plán, který zajistí, aby jejich obchodní strategie byla v souladu s omezením globálního oteplování na 1,5 °C, jak stanoví Pařížská dohoda.</w:t>
            </w:r>
          </w:p>
          <w:p w14:paraId="2DC581B1" w14:textId="77777777" w:rsidR="00560334" w:rsidRP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p>
          <w:p w14:paraId="04DBD10E" w14:textId="77777777" w:rsid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Návrh zavádí povinnost ředitelů zavést náležitou péči, začlenit ji do podnikové strategie a dohlížet na její dodržování. Dále musí ředitelé při plnění své povinnosti jednat v nejlepším zájmu podniku zohledňovat vliv svých rozhodnutí na lidská práva, změnu klimatu a životní prostředí. V případě, kdy je odměna ředitelů pohyblivá, budou motivování k tomu, aby přispívali k boji proti změně klimatu s odkazem na plán podniku. </w:t>
            </w:r>
          </w:p>
          <w:p w14:paraId="2CA2C47C" w14:textId="77777777" w:rsid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p>
          <w:p w14:paraId="0D0D3C3E" w14:textId="7FEFC698" w:rsidR="00560334" w:rsidRP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Aby podniky splnily povinnost náležité péče, musí:</w:t>
            </w:r>
          </w:p>
          <w:p w14:paraId="4FCCE14D" w14:textId="77777777" w:rsidR="00560334" w:rsidRP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p>
          <w:p w14:paraId="692EA433" w14:textId="77777777" w:rsidR="00560334" w:rsidRDefault="00560334" w:rsidP="00560334">
            <w:pPr>
              <w:pStyle w:val="Bezmezer"/>
              <w:numPr>
                <w:ilvl w:val="0"/>
                <w:numId w:val="9"/>
              </w:numP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začlenit náležitou péči do svých politik,</w:t>
            </w:r>
          </w:p>
          <w:p w14:paraId="511D4BCB" w14:textId="77777777" w:rsidR="00560334" w:rsidRDefault="00560334" w:rsidP="00560334">
            <w:pPr>
              <w:pStyle w:val="Bezmezer"/>
              <w:numPr>
                <w:ilvl w:val="0"/>
                <w:numId w:val="9"/>
              </w:numP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identifikovat skutečné nebo potenciální nepříznivé dopady na lidská práva a životní prostředí,</w:t>
            </w:r>
          </w:p>
          <w:p w14:paraId="4B4C4A2C" w14:textId="77777777" w:rsidR="00560334" w:rsidRDefault="00560334" w:rsidP="00560334">
            <w:pPr>
              <w:pStyle w:val="Bezmezer"/>
              <w:numPr>
                <w:ilvl w:val="0"/>
                <w:numId w:val="9"/>
              </w:numP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předcházet těmto potenciálním dopadům nebo je zmírňovat,</w:t>
            </w:r>
          </w:p>
          <w:p w14:paraId="6D72B5EC" w14:textId="77777777" w:rsidR="00560334" w:rsidRDefault="00560334" w:rsidP="00560334">
            <w:pPr>
              <w:pStyle w:val="Bezmezer"/>
              <w:numPr>
                <w:ilvl w:val="0"/>
                <w:numId w:val="9"/>
              </w:numP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odstranit nebo minimalizovat skutečné dopady,</w:t>
            </w:r>
          </w:p>
          <w:p w14:paraId="4FEDEA69" w14:textId="77777777" w:rsidR="00560334" w:rsidRDefault="00560334" w:rsidP="00560334">
            <w:pPr>
              <w:pStyle w:val="Bezmezer"/>
              <w:numPr>
                <w:ilvl w:val="0"/>
                <w:numId w:val="9"/>
              </w:numP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lastRenderedPageBreak/>
              <w:t>zavést a udržovat postup pro podávání stížností,</w:t>
            </w:r>
          </w:p>
          <w:p w14:paraId="0D1C992C" w14:textId="77777777" w:rsidR="00560334" w:rsidRDefault="00560334" w:rsidP="00560334">
            <w:pPr>
              <w:pStyle w:val="Bezmezer"/>
              <w:numPr>
                <w:ilvl w:val="0"/>
                <w:numId w:val="9"/>
              </w:numP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sledovat účinnost politiky náležité péče a souvisejících opatřen</w:t>
            </w:r>
            <w:r>
              <w:rPr>
                <w:rStyle w:val="Hypertextovodkaz"/>
                <w:rFonts w:ascii="Arial" w:eastAsia="Times New Roman" w:hAnsi="Arial" w:cs="Arial"/>
                <w:bCs/>
                <w:color w:val="0F0D29" w:themeColor="text1"/>
                <w:kern w:val="36"/>
                <w:sz w:val="20"/>
                <w:szCs w:val="20"/>
                <w:u w:val="none"/>
                <w:lang w:eastAsia="cs-CZ"/>
              </w:rPr>
              <w:t>í</w:t>
            </w:r>
          </w:p>
          <w:p w14:paraId="3CA200BE" w14:textId="60BB50EE" w:rsidR="00560334" w:rsidRPr="00560334" w:rsidRDefault="00560334" w:rsidP="00560334">
            <w:pPr>
              <w:pStyle w:val="Bezmezer"/>
              <w:numPr>
                <w:ilvl w:val="0"/>
                <w:numId w:val="9"/>
              </w:numP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a veřejně komunikovat o náležité péči.</w:t>
            </w:r>
          </w:p>
          <w:p w14:paraId="2E033FD5" w14:textId="4989E298" w:rsidR="00560334" w:rsidRP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p>
          <w:p w14:paraId="0FE1D3C5" w14:textId="4DB49ACE" w:rsidR="00560334" w:rsidRDefault="00560334" w:rsidP="00560334">
            <w:pPr>
              <w:pStyle w:val="Bezmezer"/>
              <w:jc w:val="both"/>
              <w:rPr>
                <w:rStyle w:val="Hypertextovodkaz"/>
                <w:rFonts w:ascii="Arial" w:eastAsia="Times New Roman" w:hAnsi="Arial" w:cs="Arial"/>
                <w:bCs/>
                <w:color w:val="0F0D29" w:themeColor="text1"/>
                <w:kern w:val="36"/>
                <w:sz w:val="20"/>
                <w:szCs w:val="20"/>
                <w:u w:val="none"/>
                <w:lang w:eastAsia="cs-CZ"/>
              </w:rPr>
            </w:pPr>
            <w:r w:rsidRPr="00560334">
              <w:rPr>
                <w:rStyle w:val="Hypertextovodkaz"/>
                <w:rFonts w:ascii="Arial" w:eastAsia="Times New Roman" w:hAnsi="Arial" w:cs="Arial"/>
                <w:bCs/>
                <w:color w:val="0F0D29" w:themeColor="text1"/>
                <w:kern w:val="36"/>
                <w:sz w:val="20"/>
                <w:szCs w:val="20"/>
                <w:u w:val="none"/>
                <w:lang w:eastAsia="cs-CZ"/>
              </w:rPr>
              <w:t>Vnitrostátní správní orgány jmenované členskými státy –  v případě nedodržení mohou ukládat pokuty. Oběti budou mít navíc možnost podat žalobu na náhradu škod.</w:t>
            </w:r>
          </w:p>
          <w:p w14:paraId="377B837C" w14:textId="77777777" w:rsidR="00521069" w:rsidRDefault="00521069" w:rsidP="00521069">
            <w:pPr>
              <w:pStyle w:val="Bezmezer"/>
              <w:jc w:val="both"/>
              <w:rPr>
                <w:rStyle w:val="Hypertextovodkaz"/>
                <w:rFonts w:ascii="Arial" w:eastAsia="Times New Roman" w:hAnsi="Arial" w:cs="Arial"/>
                <w:bCs/>
                <w:color w:val="0F0D29" w:themeColor="text1"/>
                <w:kern w:val="36"/>
                <w:sz w:val="20"/>
                <w:szCs w:val="20"/>
                <w:u w:val="none"/>
                <w:lang w:eastAsia="cs-CZ"/>
              </w:rPr>
            </w:pPr>
          </w:p>
          <w:p w14:paraId="6C77D6DC" w14:textId="67A4AE91"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4C7AA0D8" w14:textId="77777777"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79601A" w14:textId="4DDE040E" w:rsidR="00834F4E" w:rsidRPr="00815900" w:rsidRDefault="00834F4E" w:rsidP="00834F4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bCs/>
                <w:i/>
                <w:color w:val="0F0D29" w:themeColor="text1"/>
                <w:kern w:val="36"/>
                <w:sz w:val="20"/>
                <w:szCs w:val="20"/>
                <w:u w:val="none"/>
                <w:lang w:eastAsia="cs-CZ"/>
              </w:rPr>
              <w:t>OPS – Mgr. Pavel Císař</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521069">
              <w:rPr>
                <w:rStyle w:val="Hypertextovodkaz"/>
                <w:rFonts w:ascii="Arial" w:eastAsia="Times New Roman" w:hAnsi="Arial" w:cs="Arial"/>
                <w:bCs/>
                <w:i/>
                <w:color w:val="0F0D29" w:themeColor="text1"/>
                <w:kern w:val="36"/>
                <w:sz w:val="20"/>
                <w:szCs w:val="20"/>
                <w:u w:val="none"/>
                <w:lang w:eastAsia="cs-CZ"/>
              </w:rPr>
              <w:t>30. 6. 2022</w:t>
            </w:r>
          </w:p>
          <w:p w14:paraId="6F42B071" w14:textId="77777777" w:rsidR="00834F4E" w:rsidRP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250A2570" w14:textId="02A43274" w:rsid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027D8B13" w14:textId="4D3EB602" w:rsidR="00834F4E" w:rsidRDefault="00D67219" w:rsidP="00834F4E">
            <w:pPr>
              <w:pStyle w:val="Bezmezer"/>
              <w:jc w:val="center"/>
              <w:rPr>
                <w:rStyle w:val="Hypertextovodkaz"/>
                <w:rFonts w:ascii="Arial" w:eastAsia="Times New Roman" w:hAnsi="Arial" w:cs="Arial"/>
                <w:b/>
                <w:bCs/>
                <w:color w:val="0F0D29" w:themeColor="text1"/>
                <w:kern w:val="36"/>
                <w:sz w:val="24"/>
                <w:szCs w:val="24"/>
                <w:u w:val="none"/>
                <w:lang w:eastAsia="cs-CZ"/>
              </w:rPr>
            </w:pPr>
            <w:r w:rsidRPr="00D67219">
              <w:rPr>
                <w:rStyle w:val="Hypertextovodkaz"/>
                <w:rFonts w:ascii="Arial" w:eastAsia="Times New Roman" w:hAnsi="Arial" w:cs="Arial"/>
                <w:b/>
                <w:bCs/>
                <w:color w:val="0F0D29" w:themeColor="text1"/>
                <w:kern w:val="36"/>
                <w:sz w:val="24"/>
                <w:szCs w:val="20"/>
                <w:u w:val="none"/>
                <w:lang w:eastAsia="cs-CZ"/>
              </w:rPr>
              <w:t>Novela zákona č. 235/2004 Sb., o dani z přidané hodnoty</w:t>
            </w:r>
            <w:r w:rsidR="00F21117">
              <w:rPr>
                <w:rStyle w:val="Hypertextovodkaz"/>
                <w:rFonts w:ascii="Arial" w:eastAsia="Times New Roman" w:hAnsi="Arial" w:cs="Arial"/>
                <w:b/>
                <w:bCs/>
                <w:color w:val="0F0D29" w:themeColor="text1"/>
                <w:kern w:val="36"/>
                <w:sz w:val="24"/>
                <w:szCs w:val="24"/>
                <w:u w:val="none"/>
                <w:lang w:eastAsia="cs-CZ"/>
              </w:rPr>
              <w:pict w14:anchorId="14753824">
                <v:rect id="_x0000_i1032" style="width:0;height:1.5pt" o:hralign="center" o:bullet="t" o:hrstd="t" o:hr="t" fillcolor="#a0a0a0" stroked="f"/>
              </w:pict>
            </w:r>
          </w:p>
          <w:p w14:paraId="254CF7E6" w14:textId="77777777" w:rsidR="00834F4E" w:rsidRDefault="00834F4E" w:rsidP="00834F4E">
            <w:pPr>
              <w:pStyle w:val="Bezmezer"/>
              <w:jc w:val="right"/>
              <w:rPr>
                <w:rStyle w:val="Hypertextovodkaz"/>
                <w:rFonts w:ascii="Arial" w:eastAsia="Times New Roman" w:hAnsi="Arial" w:cs="Arial"/>
                <w:b/>
                <w:bCs/>
                <w:color w:val="0F0D29" w:themeColor="text1"/>
                <w:kern w:val="36"/>
                <w:sz w:val="24"/>
                <w:szCs w:val="20"/>
                <w:u w:val="none"/>
                <w:lang w:eastAsia="cs-CZ"/>
              </w:rPr>
            </w:pPr>
          </w:p>
          <w:p w14:paraId="14CEFB8A" w14:textId="534793ED" w:rsidR="00834F4E" w:rsidRDefault="006F41EA" w:rsidP="00834F4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Předloženo do PS</w:t>
            </w:r>
          </w:p>
          <w:p w14:paraId="6394A476" w14:textId="310E941B"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1</w:t>
            </w:r>
            <w:r w:rsidR="00D67219">
              <w:rPr>
                <w:rStyle w:val="Hypertextovodkaz"/>
                <w:rFonts w:ascii="Arial" w:eastAsia="Times New Roman" w:hAnsi="Arial" w:cs="Arial"/>
                <w:bCs/>
                <w:color w:val="0F0D29" w:themeColor="text1"/>
                <w:kern w:val="36"/>
                <w:sz w:val="20"/>
                <w:szCs w:val="20"/>
                <w:u w:val="none"/>
                <w:lang w:eastAsia="cs-CZ"/>
              </w:rPr>
              <w:t>84</w:t>
            </w:r>
          </w:p>
          <w:p w14:paraId="58764012" w14:textId="77777777" w:rsidR="00834F4E" w:rsidRDefault="00834F4E" w:rsidP="00834F4E">
            <w:pPr>
              <w:pStyle w:val="Bezmezer"/>
              <w:jc w:val="right"/>
              <w:rPr>
                <w:rStyle w:val="Hypertextovodkaz"/>
                <w:rFonts w:ascii="Arial" w:eastAsia="Times New Roman" w:hAnsi="Arial" w:cs="Arial"/>
                <w:bCs/>
                <w:color w:val="0F0D29" w:themeColor="text1"/>
                <w:kern w:val="36"/>
                <w:sz w:val="20"/>
                <w:szCs w:val="20"/>
                <w:u w:val="none"/>
                <w:lang w:eastAsia="cs-CZ"/>
              </w:rPr>
            </w:pPr>
          </w:p>
          <w:p w14:paraId="27FFBB9E" w14:textId="0AA09914" w:rsidR="00E14283" w:rsidRDefault="00E14283" w:rsidP="00E1428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Poslanecký návrh hnutí ANO navrhuje </w:t>
            </w:r>
            <w:r w:rsidRPr="00E14283">
              <w:rPr>
                <w:rStyle w:val="Hypertextovodkaz"/>
                <w:rFonts w:ascii="Arial" w:eastAsia="Times New Roman" w:hAnsi="Arial" w:cs="Arial"/>
                <w:bCs/>
                <w:color w:val="0F0D29" w:themeColor="text1"/>
                <w:kern w:val="36"/>
                <w:sz w:val="20"/>
                <w:szCs w:val="20"/>
                <w:u w:val="none"/>
                <w:lang w:eastAsia="cs-CZ"/>
              </w:rPr>
              <w:t>změnit zákon o dani</w:t>
            </w:r>
            <w:r>
              <w:rPr>
                <w:rStyle w:val="Hypertextovodkaz"/>
                <w:rFonts w:ascii="Arial" w:eastAsia="Times New Roman" w:hAnsi="Arial" w:cs="Arial"/>
                <w:bCs/>
                <w:color w:val="0F0D29" w:themeColor="text1"/>
                <w:kern w:val="36"/>
                <w:sz w:val="20"/>
                <w:szCs w:val="20"/>
                <w:u w:val="none"/>
                <w:lang w:eastAsia="cs-CZ"/>
              </w:rPr>
              <w:t xml:space="preserve"> </w:t>
            </w:r>
            <w:r w:rsidRPr="00E14283">
              <w:rPr>
                <w:rStyle w:val="Hypertextovodkaz"/>
                <w:rFonts w:ascii="Arial" w:eastAsia="Times New Roman" w:hAnsi="Arial" w:cs="Arial"/>
                <w:bCs/>
                <w:color w:val="0F0D29" w:themeColor="text1"/>
                <w:kern w:val="36"/>
                <w:sz w:val="20"/>
                <w:szCs w:val="20"/>
                <w:u w:val="none"/>
                <w:lang w:eastAsia="cs-CZ"/>
              </w:rPr>
              <w:t>z přidané hodnoty tak, aby daň z přidané hodnoty uvalená na pohonné hmoty byla změněna tak, že namísto základní sazby daně bylo uplatněno</w:t>
            </w:r>
            <w:r>
              <w:rPr>
                <w:rStyle w:val="Hypertextovodkaz"/>
                <w:rFonts w:ascii="Arial" w:eastAsia="Times New Roman" w:hAnsi="Arial" w:cs="Arial"/>
                <w:bCs/>
                <w:color w:val="0F0D29" w:themeColor="text1"/>
                <w:kern w:val="36"/>
                <w:sz w:val="20"/>
                <w:szCs w:val="20"/>
                <w:u w:val="none"/>
                <w:lang w:eastAsia="cs-CZ"/>
              </w:rPr>
              <w:t xml:space="preserve"> </w:t>
            </w:r>
            <w:r w:rsidRPr="00E14283">
              <w:rPr>
                <w:rStyle w:val="Hypertextovodkaz"/>
                <w:rFonts w:ascii="Arial" w:eastAsia="Times New Roman" w:hAnsi="Arial" w:cs="Arial"/>
                <w:bCs/>
                <w:color w:val="0F0D29" w:themeColor="text1"/>
                <w:kern w:val="36"/>
                <w:sz w:val="20"/>
                <w:szCs w:val="20"/>
                <w:u w:val="none"/>
                <w:lang w:eastAsia="cs-CZ"/>
              </w:rPr>
              <w:t xml:space="preserve">osvobození od daně s nárokem na odpočet daně, čímž dojde ke zmírnění </w:t>
            </w:r>
            <w:r>
              <w:rPr>
                <w:rStyle w:val="Hypertextovodkaz"/>
                <w:rFonts w:ascii="Arial" w:eastAsia="Times New Roman" w:hAnsi="Arial" w:cs="Arial"/>
                <w:bCs/>
                <w:color w:val="0F0D29" w:themeColor="text1"/>
                <w:kern w:val="36"/>
                <w:sz w:val="20"/>
                <w:szCs w:val="20"/>
                <w:u w:val="none"/>
                <w:lang w:eastAsia="cs-CZ"/>
              </w:rPr>
              <w:t>zdražování PHM a spotřebitelských cen.</w:t>
            </w:r>
          </w:p>
          <w:p w14:paraId="7FFBA7A1" w14:textId="51603A12" w:rsidR="00834F4E" w:rsidRDefault="00834F4E" w:rsidP="00E14283">
            <w:pPr>
              <w:pStyle w:val="Bezmezer"/>
              <w:rPr>
                <w:rStyle w:val="Hypertextovodkaz"/>
                <w:rFonts w:ascii="Arial" w:eastAsia="Times New Roman" w:hAnsi="Arial" w:cs="Arial"/>
                <w:bCs/>
                <w:color w:val="0F0D29" w:themeColor="text1"/>
                <w:kern w:val="36"/>
                <w:sz w:val="20"/>
                <w:szCs w:val="20"/>
                <w:u w:val="none"/>
                <w:lang w:eastAsia="cs-CZ"/>
              </w:rPr>
            </w:pPr>
          </w:p>
          <w:p w14:paraId="745AD069" w14:textId="6A403E50"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E14283">
              <w:rPr>
                <w:rStyle w:val="Hypertextovodkaz"/>
                <w:rFonts w:ascii="Arial" w:eastAsia="Times New Roman" w:hAnsi="Arial" w:cs="Arial"/>
                <w:bCs/>
                <w:i/>
                <w:color w:val="0F0D29" w:themeColor="text1"/>
                <w:kern w:val="36"/>
                <w:sz w:val="20"/>
                <w:szCs w:val="20"/>
                <w:u w:val="none"/>
                <w:lang w:eastAsia="cs-CZ"/>
              </w:rPr>
              <w:t>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5AFA2EF9" w14:textId="77777777" w:rsidR="00834F4E" w:rsidRPr="00815900" w:rsidRDefault="00834F4E" w:rsidP="00834F4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AE8F6C6" w14:textId="3892D132" w:rsidR="00834F4E" w:rsidRPr="00815900" w:rsidRDefault="00834F4E" w:rsidP="00834F4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sidR="00E14283">
              <w:rPr>
                <w:rStyle w:val="Hypertextovodkaz"/>
                <w:rFonts w:ascii="Arial" w:eastAsia="Times New Roman" w:hAnsi="Arial" w:cs="Arial"/>
                <w:bCs/>
                <w:i/>
                <w:color w:val="0F0D29" w:themeColor="text1"/>
                <w:kern w:val="36"/>
                <w:sz w:val="20"/>
                <w:szCs w:val="20"/>
                <w:u w:val="none"/>
                <w:lang w:eastAsia="cs-CZ"/>
              </w:rPr>
              <w:t xml:space="preserve">OÚ – Ing. Martin </w:t>
            </w:r>
            <w:r w:rsidR="00911671">
              <w:rPr>
                <w:rStyle w:val="Hypertextovodkaz"/>
                <w:rFonts w:ascii="Arial" w:eastAsia="Times New Roman" w:hAnsi="Arial" w:cs="Arial"/>
                <w:bCs/>
                <w:i/>
                <w:color w:val="0F0D29" w:themeColor="text1"/>
                <w:kern w:val="36"/>
                <w:sz w:val="20"/>
                <w:szCs w:val="20"/>
                <w:u w:val="none"/>
                <w:lang w:eastAsia="cs-CZ"/>
              </w:rPr>
              <w:t>Vojtíšek</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706AC0">
              <w:rPr>
                <w:rStyle w:val="Hypertextovodkaz"/>
                <w:rFonts w:ascii="Arial" w:eastAsia="Times New Roman" w:hAnsi="Arial" w:cs="Arial"/>
                <w:bCs/>
                <w:i/>
                <w:color w:val="0F0D29" w:themeColor="text1"/>
                <w:kern w:val="36"/>
                <w:sz w:val="20"/>
                <w:szCs w:val="20"/>
                <w:u w:val="none"/>
                <w:lang w:eastAsia="cs-CZ"/>
              </w:rPr>
              <w:t>15. 4</w:t>
            </w:r>
            <w:r w:rsidR="000E2BBE">
              <w:rPr>
                <w:rStyle w:val="Hypertextovodkaz"/>
                <w:rFonts w:ascii="Arial" w:eastAsia="Times New Roman" w:hAnsi="Arial" w:cs="Arial"/>
                <w:bCs/>
                <w:i/>
                <w:color w:val="0F0D29" w:themeColor="text1"/>
                <w:kern w:val="36"/>
                <w:sz w:val="20"/>
                <w:szCs w:val="20"/>
                <w:u w:val="none"/>
                <w:lang w:eastAsia="cs-CZ"/>
              </w:rPr>
              <w:t>.2022</w:t>
            </w:r>
          </w:p>
          <w:p w14:paraId="70303B58" w14:textId="77777777" w:rsidR="00834F4E" w:rsidRPr="00834F4E" w:rsidRDefault="00834F4E" w:rsidP="00834F4E">
            <w:pPr>
              <w:pStyle w:val="Bezmezer"/>
              <w:jc w:val="center"/>
              <w:rPr>
                <w:rStyle w:val="Hypertextovodkaz"/>
                <w:rFonts w:ascii="Arial" w:eastAsia="Times New Roman" w:hAnsi="Arial" w:cs="Arial"/>
                <w:bCs/>
                <w:color w:val="0F0D29" w:themeColor="text1"/>
                <w:kern w:val="36"/>
                <w:sz w:val="20"/>
                <w:szCs w:val="20"/>
                <w:u w:val="none"/>
                <w:lang w:eastAsia="cs-CZ"/>
              </w:rPr>
            </w:pPr>
          </w:p>
          <w:p w14:paraId="06394ABD" w14:textId="1AE706D3" w:rsidR="00834F4E" w:rsidRDefault="00834F4E"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2BFD7C15" w14:textId="368E0AA5" w:rsidR="00657864" w:rsidRDefault="00657864"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321FF4CE" w14:textId="77777777" w:rsidR="00A76167" w:rsidRDefault="00A76167"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r w:rsidRPr="00A76167">
              <w:rPr>
                <w:rStyle w:val="Hypertextovodkaz"/>
                <w:rFonts w:ascii="Arial" w:eastAsia="Times New Roman" w:hAnsi="Arial" w:cs="Arial"/>
                <w:b/>
                <w:bCs/>
                <w:color w:val="0F0D29" w:themeColor="text1"/>
                <w:kern w:val="36"/>
                <w:sz w:val="24"/>
                <w:szCs w:val="20"/>
                <w:u w:val="none"/>
                <w:lang w:eastAsia="cs-CZ"/>
              </w:rPr>
              <w:t>Návrh zákona, kterým se zrušuje zákon č. 112/2016 Sb., o evidenci tržeb, ve znění pozdějších předpisů, a mění a zrušují další související právní předpisy</w:t>
            </w:r>
          </w:p>
          <w:p w14:paraId="023B2DB1" w14:textId="7E8CD90A" w:rsidR="00657864" w:rsidRDefault="00F21117"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E58C511">
                <v:rect id="_x0000_i1033" style="width:0;height:1.5pt" o:hralign="center" o:bullet="t" o:hrstd="t" o:hr="t" fillcolor="#a0a0a0" stroked="f"/>
              </w:pict>
            </w:r>
          </w:p>
          <w:p w14:paraId="224092D5" w14:textId="7E5275BF" w:rsidR="00A76167" w:rsidRDefault="00A76167" w:rsidP="00A76167">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 prvním čtením v PS</w:t>
            </w:r>
          </w:p>
          <w:p w14:paraId="224DC9FA" w14:textId="6A4093B5" w:rsidR="00A76167" w:rsidRDefault="00A76167" w:rsidP="00A76167">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177</w:t>
            </w:r>
          </w:p>
          <w:p w14:paraId="1D4A3212" w14:textId="77777777" w:rsidR="00A76167" w:rsidRDefault="00A76167" w:rsidP="00A76167">
            <w:pPr>
              <w:pStyle w:val="Bezmezer"/>
              <w:jc w:val="center"/>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  </w:t>
            </w:r>
          </w:p>
          <w:p w14:paraId="497877E1" w14:textId="0B98E807" w:rsidR="00A76167" w:rsidRDefault="00A76167" w:rsidP="00A76167">
            <w:pPr>
              <w:pStyle w:val="Bezmezer"/>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Vláda předložila Poslanecké sněmovně návrh zákona, kterým se ruší elektronická evidence tržeb dle zákona č. 112/2016 Sb., a to ke dni 1. 1. 2023. </w:t>
            </w:r>
          </w:p>
          <w:p w14:paraId="040A0EEB" w14:textId="10EAED98" w:rsidR="00A76167" w:rsidRDefault="00A76167" w:rsidP="00A76167">
            <w:pPr>
              <w:pStyle w:val="Bezmezer"/>
              <w:rPr>
                <w:rStyle w:val="Hypertextovodkaz"/>
                <w:rFonts w:ascii="Arial" w:eastAsia="Times New Roman" w:hAnsi="Arial" w:cs="Arial"/>
                <w:bCs/>
                <w:color w:val="0F0D29" w:themeColor="text1"/>
                <w:kern w:val="36"/>
                <w:sz w:val="20"/>
                <w:szCs w:val="20"/>
                <w:u w:val="none"/>
                <w:lang w:eastAsia="cs-CZ"/>
              </w:rPr>
            </w:pPr>
          </w:p>
          <w:p w14:paraId="105E85BF" w14:textId="6746BF75" w:rsidR="00A76167" w:rsidRPr="00815900" w:rsidRDefault="00A76167" w:rsidP="00A7616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i/>
                <w:color w:val="0F0D29" w:themeColor="text1"/>
                <w:kern w:val="36"/>
                <w:sz w:val="20"/>
                <w:szCs w:val="20"/>
                <w:u w:val="none"/>
                <w:lang w:eastAsia="cs-CZ"/>
              </w:rPr>
              <w:t>OIT a O</w:t>
            </w:r>
            <w:r w:rsidR="00911671">
              <w:rPr>
                <w:rStyle w:val="Hypertextovodkaz"/>
                <w:rFonts w:ascii="Arial" w:eastAsia="Times New Roman" w:hAnsi="Arial" w:cs="Arial"/>
                <w:i/>
                <w:color w:val="0F0D29" w:themeColor="text1"/>
                <w:kern w:val="36"/>
                <w:sz w:val="20"/>
                <w:szCs w:val="20"/>
                <w:u w:val="none"/>
                <w:lang w:eastAsia="cs-CZ"/>
              </w:rPr>
              <w:t>ČS</w:t>
            </w:r>
            <w:r w:rsidRPr="005078C0">
              <w:rPr>
                <w:rStyle w:val="Hypertextovodkaz"/>
                <w:rFonts w:ascii="Arial" w:eastAsia="Times New Roman" w:hAnsi="Arial" w:cs="Arial"/>
                <w:bCs/>
                <w:i/>
                <w:color w:val="0F0D29" w:themeColor="text1"/>
                <w:kern w:val="36"/>
                <w:sz w:val="20"/>
                <w:szCs w:val="20"/>
                <w:u w:val="none"/>
                <w:lang w:eastAsia="cs-CZ"/>
              </w:rPr>
              <w:t xml:space="preserve"> proved</w:t>
            </w:r>
            <w:r>
              <w:rPr>
                <w:rStyle w:val="Hypertextovodkaz"/>
                <w:rFonts w:ascii="Arial" w:eastAsia="Times New Roman" w:hAnsi="Arial" w:cs="Arial"/>
                <w:bCs/>
                <w:i/>
                <w:color w:val="0F0D29" w:themeColor="text1"/>
                <w:kern w:val="36"/>
                <w:sz w:val="20"/>
                <w:szCs w:val="20"/>
                <w:u w:val="none"/>
                <w:lang w:eastAsia="cs-CZ"/>
              </w:rPr>
              <w:t>ou</w:t>
            </w:r>
            <w:r w:rsidRPr="005078C0">
              <w:rPr>
                <w:rStyle w:val="Hypertextovodkaz"/>
                <w:rFonts w:ascii="Arial" w:eastAsia="Times New Roman" w:hAnsi="Arial" w:cs="Arial"/>
                <w:bCs/>
                <w:i/>
                <w:color w:val="0F0D29" w:themeColor="text1"/>
                <w:kern w:val="36"/>
                <w:sz w:val="20"/>
                <w:szCs w:val="20"/>
                <w:u w:val="none"/>
                <w:lang w:eastAsia="cs-CZ"/>
              </w:rPr>
              <w:t xml:space="preserve"> věcnou analýzu dopadů a </w:t>
            </w:r>
            <w:r>
              <w:rPr>
                <w:rStyle w:val="Hypertextovodkaz"/>
                <w:rFonts w:ascii="Arial" w:eastAsia="Times New Roman" w:hAnsi="Arial" w:cs="Arial"/>
                <w:bCs/>
                <w:i/>
                <w:color w:val="0F0D29" w:themeColor="text1"/>
                <w:kern w:val="36"/>
                <w:sz w:val="20"/>
                <w:szCs w:val="20"/>
                <w:u w:val="none"/>
                <w:lang w:eastAsia="cs-CZ"/>
              </w:rPr>
              <w:t>zajistí technologické řešení.</w:t>
            </w:r>
            <w:r w:rsidRPr="00815900">
              <w:rPr>
                <w:rStyle w:val="Hypertextovodkaz"/>
                <w:rFonts w:ascii="Arial" w:eastAsia="Times New Roman" w:hAnsi="Arial" w:cs="Arial"/>
                <w:bCs/>
                <w:i/>
                <w:color w:val="0F0D29" w:themeColor="text1"/>
                <w:kern w:val="36"/>
                <w:sz w:val="20"/>
                <w:szCs w:val="20"/>
                <w:u w:val="none"/>
                <w:lang w:eastAsia="cs-CZ"/>
              </w:rPr>
              <w:t>.</w:t>
            </w:r>
          </w:p>
          <w:p w14:paraId="153D9CF9" w14:textId="77777777" w:rsidR="00A76167" w:rsidRPr="00815900" w:rsidRDefault="00A76167" w:rsidP="00A7616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7BBB2DA" w14:textId="62E91301" w:rsidR="00A76167" w:rsidRPr="00815900" w:rsidRDefault="00A76167" w:rsidP="00A7616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bCs/>
                <w:i/>
                <w:color w:val="0F0D29" w:themeColor="text1"/>
                <w:kern w:val="36"/>
                <w:sz w:val="20"/>
                <w:szCs w:val="20"/>
                <w:u w:val="none"/>
                <w:lang w:eastAsia="cs-CZ"/>
              </w:rPr>
              <w:t xml:space="preserve">OIT – Ing. Zbyněk Skála, OČS – Ing. Otakar Krejsa </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B261E4">
              <w:rPr>
                <w:rStyle w:val="Hypertextovodkaz"/>
                <w:rFonts w:ascii="Arial" w:eastAsia="Times New Roman" w:hAnsi="Arial" w:cs="Arial"/>
                <w:bCs/>
                <w:i/>
                <w:color w:val="0F0D29" w:themeColor="text1"/>
                <w:kern w:val="36"/>
                <w:sz w:val="20"/>
                <w:szCs w:val="20"/>
                <w:u w:val="none"/>
                <w:lang w:eastAsia="cs-CZ"/>
              </w:rPr>
              <w:t>30. 6. 2022</w:t>
            </w:r>
          </w:p>
          <w:p w14:paraId="1FA997BE" w14:textId="77777777" w:rsidR="00A76167" w:rsidRDefault="00A76167" w:rsidP="00A76167">
            <w:pPr>
              <w:pStyle w:val="Bezmezer"/>
              <w:rPr>
                <w:rStyle w:val="Hypertextovodkaz"/>
                <w:rFonts w:ascii="Arial" w:eastAsia="Times New Roman" w:hAnsi="Arial" w:cs="Arial"/>
                <w:b/>
                <w:bCs/>
                <w:color w:val="0F0D29" w:themeColor="text1"/>
                <w:kern w:val="36"/>
                <w:sz w:val="24"/>
                <w:szCs w:val="20"/>
                <w:u w:val="none"/>
                <w:lang w:eastAsia="cs-CZ"/>
              </w:rPr>
            </w:pPr>
          </w:p>
          <w:p w14:paraId="4F89C2B7" w14:textId="77777777" w:rsidR="00657864" w:rsidRDefault="00657864" w:rsidP="00834F4E">
            <w:pPr>
              <w:pStyle w:val="Bezmezer"/>
              <w:jc w:val="center"/>
              <w:rPr>
                <w:rStyle w:val="Hypertextovodkaz"/>
                <w:rFonts w:ascii="Arial" w:eastAsia="Times New Roman" w:hAnsi="Arial" w:cs="Arial"/>
                <w:b/>
                <w:bCs/>
                <w:color w:val="0F0D29" w:themeColor="text1"/>
                <w:kern w:val="36"/>
                <w:sz w:val="24"/>
                <w:szCs w:val="20"/>
                <w:u w:val="none"/>
                <w:lang w:eastAsia="cs-CZ"/>
              </w:rPr>
            </w:pPr>
          </w:p>
          <w:p w14:paraId="548E3A80" w14:textId="1DD29245" w:rsidR="00886540" w:rsidRDefault="00886540" w:rsidP="00886540">
            <w:pPr>
              <w:pStyle w:val="Bezmezer"/>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Návrhy nařízení vlády v oblasti bezpečnosti práce s vyhrazenými zařízeními</w:t>
            </w:r>
          </w:p>
          <w:p w14:paraId="2F94FC3C" w14:textId="6525D50D" w:rsidR="000E2BBE" w:rsidRDefault="00F21117" w:rsidP="00886540">
            <w:pPr>
              <w:pStyle w:val="Bezmezer"/>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44D968B">
                <v:rect id="_x0000_i1034" style="width:0;height:1.5pt" o:hralign="center" o:bullet="t" o:hrstd="t" o:hr="t" fillcolor="#a0a0a0" stroked="f"/>
              </w:pict>
            </w:r>
          </w:p>
          <w:p w14:paraId="019D43F2" w14:textId="77777777" w:rsidR="000E2BBE" w:rsidRDefault="000E2BBE" w:rsidP="000E2BBE">
            <w:pPr>
              <w:pStyle w:val="Bezmezer"/>
              <w:jc w:val="right"/>
              <w:rPr>
                <w:rStyle w:val="Hypertextovodkaz"/>
                <w:rFonts w:ascii="Arial" w:eastAsia="Times New Roman" w:hAnsi="Arial" w:cs="Arial"/>
                <w:b/>
                <w:bCs/>
                <w:color w:val="0F0D29" w:themeColor="text1"/>
                <w:kern w:val="36"/>
                <w:sz w:val="24"/>
                <w:szCs w:val="20"/>
                <w:u w:val="none"/>
                <w:lang w:eastAsia="cs-CZ"/>
              </w:rPr>
            </w:pPr>
          </w:p>
          <w:p w14:paraId="28604F09" w14:textId="77777777" w:rsidR="000E2BBE" w:rsidRDefault="000E2BBE" w:rsidP="000E2BB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Mezirezortní připomínkové řízení</w:t>
            </w:r>
          </w:p>
          <w:p w14:paraId="0F2024B1" w14:textId="371E1960" w:rsidR="000E2BBE" w:rsidRDefault="000E2BBE" w:rsidP="000E2BBE">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rsidRPr="000E2BBE">
              <w:rPr>
                <w:rStyle w:val="Hypertextovodkaz"/>
                <w:rFonts w:ascii="Arial" w:eastAsia="Times New Roman" w:hAnsi="Arial" w:cs="Arial"/>
                <w:bCs/>
                <w:color w:val="0F0D29" w:themeColor="text1"/>
                <w:kern w:val="36"/>
                <w:sz w:val="20"/>
                <w:szCs w:val="20"/>
                <w:u w:val="none"/>
                <w:lang w:eastAsia="cs-CZ"/>
              </w:rPr>
              <w:t>KORNCBHGPPJW</w:t>
            </w:r>
          </w:p>
          <w:p w14:paraId="24580B84" w14:textId="18C055B0" w:rsidR="000E2BBE" w:rsidRDefault="000E2BBE" w:rsidP="000E2BBE">
            <w:pPr>
              <w:pStyle w:val="Bezmezer"/>
              <w:jc w:val="center"/>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  </w:t>
            </w:r>
          </w:p>
          <w:p w14:paraId="6B61F3CE" w14:textId="77777777" w:rsidR="00886540" w:rsidRDefault="00886540" w:rsidP="000B43A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Do mezirezortního připomínkového řízení byly zaslány níže uvedené návrhy nařízení vlády v oblasti bezpečnosti práce s vyhrazenými zařízeními:</w:t>
            </w:r>
          </w:p>
          <w:p w14:paraId="58C0BC4E" w14:textId="77777777" w:rsidR="00886540" w:rsidRDefault="00886540" w:rsidP="00886540">
            <w:pPr>
              <w:pStyle w:val="Bezmezer"/>
              <w:numPr>
                <w:ilvl w:val="0"/>
                <w:numId w:val="8"/>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86540">
              <w:rPr>
                <w:rStyle w:val="Hypertextovodkaz"/>
                <w:rFonts w:ascii="Arial" w:eastAsia="Times New Roman" w:hAnsi="Arial" w:cs="Arial"/>
                <w:bCs/>
                <w:color w:val="0F0D29" w:themeColor="text1"/>
                <w:kern w:val="36"/>
                <w:sz w:val="20"/>
                <w:szCs w:val="20"/>
                <w:u w:val="none"/>
                <w:lang w:eastAsia="cs-CZ"/>
              </w:rPr>
              <w:lastRenderedPageBreak/>
              <w:t>Návrh nařízení vlády o vyhrazených zdvihacích zařízeních a požadavcích na zajištění jejich bezpečnosti</w:t>
            </w:r>
          </w:p>
          <w:p w14:paraId="60816F61" w14:textId="2B1F853D" w:rsidR="00886540" w:rsidRDefault="00886540" w:rsidP="00886540">
            <w:pPr>
              <w:pStyle w:val="Bezmezer"/>
              <w:numPr>
                <w:ilvl w:val="0"/>
                <w:numId w:val="8"/>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86540">
              <w:rPr>
                <w:rStyle w:val="Hypertextovodkaz"/>
                <w:rFonts w:ascii="Arial" w:eastAsia="Times New Roman" w:hAnsi="Arial" w:cs="Arial"/>
                <w:bCs/>
                <w:color w:val="0F0D29" w:themeColor="text1"/>
                <w:kern w:val="36"/>
                <w:sz w:val="20"/>
                <w:szCs w:val="20"/>
                <w:u w:val="none"/>
                <w:lang w:eastAsia="cs-CZ"/>
              </w:rPr>
              <w:t>Návrh nařízení vlády o požadavcích na odbornou způsobilost k výkonu činnosti na elektrických zařízeních a na odbornou způsobilost v</w:t>
            </w:r>
            <w:r>
              <w:rPr>
                <w:rStyle w:val="Hypertextovodkaz"/>
                <w:rFonts w:ascii="Arial" w:eastAsia="Times New Roman" w:hAnsi="Arial" w:cs="Arial"/>
                <w:bCs/>
                <w:color w:val="0F0D29" w:themeColor="text1"/>
                <w:kern w:val="36"/>
                <w:sz w:val="20"/>
                <w:szCs w:val="20"/>
                <w:u w:val="none"/>
                <w:lang w:eastAsia="cs-CZ"/>
              </w:rPr>
              <w:t> </w:t>
            </w:r>
            <w:r w:rsidRPr="00886540">
              <w:rPr>
                <w:rStyle w:val="Hypertextovodkaz"/>
                <w:rFonts w:ascii="Arial" w:eastAsia="Times New Roman" w:hAnsi="Arial" w:cs="Arial"/>
                <w:bCs/>
                <w:color w:val="0F0D29" w:themeColor="text1"/>
                <w:kern w:val="36"/>
                <w:sz w:val="20"/>
                <w:szCs w:val="20"/>
                <w:u w:val="none"/>
                <w:lang w:eastAsia="cs-CZ"/>
              </w:rPr>
              <w:t>elektrotechnice</w:t>
            </w:r>
          </w:p>
          <w:p w14:paraId="43B2B0E5" w14:textId="77777777" w:rsidR="00886540" w:rsidRDefault="00886540" w:rsidP="00886540">
            <w:pPr>
              <w:pStyle w:val="Bezmezer"/>
              <w:numPr>
                <w:ilvl w:val="0"/>
                <w:numId w:val="8"/>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86540">
              <w:rPr>
                <w:rStyle w:val="Hypertextovodkaz"/>
                <w:rFonts w:ascii="Arial" w:eastAsia="Times New Roman" w:hAnsi="Arial" w:cs="Arial"/>
                <w:bCs/>
                <w:color w:val="0F0D29" w:themeColor="text1"/>
                <w:kern w:val="36"/>
                <w:sz w:val="20"/>
                <w:szCs w:val="20"/>
                <w:u w:val="none"/>
                <w:lang w:eastAsia="cs-CZ"/>
              </w:rPr>
              <w:t>Návrh nařízení vlády o vyhrazených plynových zařízeních a požadavcích na zajištění jejich bezpečnosti</w:t>
            </w:r>
          </w:p>
          <w:p w14:paraId="79385EC5" w14:textId="1BC73115" w:rsidR="000E2BBE" w:rsidRPr="00886540" w:rsidRDefault="00886540" w:rsidP="00886540">
            <w:pPr>
              <w:pStyle w:val="Bezmezer"/>
              <w:numPr>
                <w:ilvl w:val="0"/>
                <w:numId w:val="8"/>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86540">
              <w:rPr>
                <w:rStyle w:val="Hypertextovodkaz"/>
                <w:rFonts w:ascii="Arial" w:eastAsia="Times New Roman" w:hAnsi="Arial" w:cs="Arial"/>
                <w:bCs/>
                <w:color w:val="0F0D29" w:themeColor="text1"/>
                <w:kern w:val="36"/>
                <w:sz w:val="20"/>
                <w:szCs w:val="20"/>
                <w:u w:val="none"/>
                <w:lang w:eastAsia="cs-CZ"/>
              </w:rPr>
              <w:t>Návrh nařízení vlády o vyhrazených tlakových zařízeních a požadavcích na zajištění jejich bezpečnosti</w:t>
            </w:r>
            <w:r w:rsidR="000E2BBE" w:rsidRPr="00886540">
              <w:rPr>
                <w:rStyle w:val="Hypertextovodkaz"/>
                <w:rFonts w:ascii="Arial" w:eastAsia="Times New Roman" w:hAnsi="Arial" w:cs="Arial"/>
                <w:bCs/>
                <w:color w:val="0F0D29" w:themeColor="text1"/>
                <w:kern w:val="36"/>
                <w:sz w:val="20"/>
                <w:szCs w:val="20"/>
                <w:u w:val="none"/>
                <w:lang w:eastAsia="cs-CZ"/>
              </w:rPr>
              <w:t>.</w:t>
            </w:r>
          </w:p>
          <w:p w14:paraId="4087ED35" w14:textId="39A3DDF3" w:rsidR="000E2BBE" w:rsidRDefault="000E2BBE" w:rsidP="000E2BBE">
            <w:pPr>
              <w:pStyle w:val="Bezmezer"/>
              <w:jc w:val="both"/>
              <w:rPr>
                <w:rStyle w:val="Hypertextovodkaz"/>
                <w:rFonts w:ascii="Arial" w:eastAsia="Times New Roman" w:hAnsi="Arial" w:cs="Arial"/>
                <w:bCs/>
                <w:color w:val="0F0D29" w:themeColor="text1"/>
                <w:kern w:val="36"/>
                <w:sz w:val="20"/>
                <w:szCs w:val="20"/>
                <w:u w:val="none"/>
                <w:lang w:eastAsia="cs-CZ"/>
              </w:rPr>
            </w:pPr>
          </w:p>
          <w:p w14:paraId="5E8688FE" w14:textId="77777777" w:rsidR="000E2BBE" w:rsidRDefault="000E2BBE" w:rsidP="000E2BBE">
            <w:pPr>
              <w:pStyle w:val="Bezmezer"/>
              <w:jc w:val="both"/>
              <w:rPr>
                <w:rStyle w:val="Hypertextovodkaz"/>
                <w:rFonts w:ascii="Arial" w:eastAsia="Times New Roman" w:hAnsi="Arial" w:cs="Arial"/>
                <w:bCs/>
                <w:color w:val="0F0D29" w:themeColor="text1"/>
                <w:kern w:val="36"/>
                <w:sz w:val="20"/>
                <w:szCs w:val="20"/>
                <w:u w:val="none"/>
                <w:lang w:eastAsia="cs-CZ"/>
              </w:rPr>
            </w:pPr>
          </w:p>
          <w:p w14:paraId="06CA45FB" w14:textId="369B3287" w:rsidR="000E2BBE" w:rsidRPr="00815900" w:rsidRDefault="000E2BBE" w:rsidP="000E2BB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886540">
              <w:rPr>
                <w:rStyle w:val="Hypertextovodkaz"/>
                <w:rFonts w:ascii="Arial" w:eastAsia="Times New Roman" w:hAnsi="Arial" w:cs="Arial"/>
                <w:bCs/>
                <w:i/>
                <w:color w:val="0F0D29" w:themeColor="text1"/>
                <w:kern w:val="36"/>
                <w:sz w:val="20"/>
                <w:szCs w:val="20"/>
                <w:u w:val="none"/>
                <w:lang w:eastAsia="cs-CZ"/>
              </w:rPr>
              <w:t>OHSE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w:t>
            </w:r>
            <w:r w:rsidRPr="00815900">
              <w:rPr>
                <w:rStyle w:val="Hypertextovodkaz"/>
                <w:rFonts w:ascii="Arial" w:eastAsia="Times New Roman" w:hAnsi="Arial" w:cs="Arial"/>
                <w:bCs/>
                <w:i/>
                <w:color w:val="0F0D29" w:themeColor="text1"/>
                <w:kern w:val="36"/>
                <w:sz w:val="20"/>
                <w:szCs w:val="20"/>
                <w:u w:val="none"/>
                <w:lang w:eastAsia="cs-CZ"/>
              </w:rPr>
              <w:t>zhodnocení dopadů a o stavu implementace zašle na emailovou adresu legislativa@ceproas.cz.</w:t>
            </w:r>
          </w:p>
          <w:p w14:paraId="18EB6B8D" w14:textId="77777777" w:rsidR="000E2BBE" w:rsidRPr="00815900" w:rsidRDefault="000E2BBE" w:rsidP="000E2BB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A89D0FF" w14:textId="4B5C0113" w:rsidR="000E2BBE" w:rsidRPr="00815900" w:rsidRDefault="000E2BBE" w:rsidP="000E2BB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815900">
              <w:rPr>
                <w:rStyle w:val="Hypertextovodkaz"/>
                <w:rFonts w:ascii="Arial" w:eastAsia="Times New Roman" w:hAnsi="Arial" w:cs="Arial"/>
                <w:b/>
                <w:bCs/>
                <w:i/>
                <w:color w:val="0F0D29" w:themeColor="text1"/>
                <w:kern w:val="36"/>
                <w:sz w:val="20"/>
                <w:szCs w:val="20"/>
                <w:u w:val="none"/>
                <w:lang w:eastAsia="cs-CZ"/>
              </w:rPr>
              <w:t xml:space="preserve">Odpovědný útvar: </w:t>
            </w:r>
            <w:r w:rsidR="00886540">
              <w:rPr>
                <w:rStyle w:val="Hypertextovodkaz"/>
                <w:rFonts w:ascii="Arial" w:eastAsia="Times New Roman" w:hAnsi="Arial" w:cs="Arial"/>
                <w:bCs/>
                <w:i/>
                <w:color w:val="0F0D29" w:themeColor="text1"/>
                <w:kern w:val="36"/>
                <w:sz w:val="20"/>
                <w:szCs w:val="20"/>
                <w:u w:val="none"/>
                <w:lang w:eastAsia="cs-CZ"/>
              </w:rPr>
              <w:t>OHSE – Ing. Zdeněk Stejskal</w:t>
            </w:r>
            <w:r w:rsidRPr="00815900">
              <w:rPr>
                <w:rStyle w:val="Hypertextovodkaz"/>
                <w:rFonts w:ascii="Arial" w:eastAsia="Times New Roman" w:hAnsi="Arial" w:cs="Arial"/>
                <w:bCs/>
                <w:i/>
                <w:color w:val="0F0D29" w:themeColor="text1"/>
                <w:kern w:val="36"/>
                <w:sz w:val="20"/>
                <w:szCs w:val="20"/>
                <w:u w:val="none"/>
                <w:lang w:eastAsia="cs-CZ"/>
              </w:rPr>
              <w:t xml:space="preserve"> </w:t>
            </w:r>
            <w:r w:rsidRPr="00815900">
              <w:rPr>
                <w:rStyle w:val="Hypertextovodkaz"/>
                <w:rFonts w:ascii="Arial" w:eastAsia="Times New Roman" w:hAnsi="Arial" w:cs="Arial"/>
                <w:b/>
                <w:bCs/>
                <w:i/>
                <w:color w:val="0F0D29" w:themeColor="text1"/>
                <w:kern w:val="36"/>
                <w:sz w:val="20"/>
                <w:szCs w:val="20"/>
                <w:u w:val="none"/>
                <w:lang w:eastAsia="cs-CZ"/>
              </w:rPr>
              <w:t>Termín:</w:t>
            </w:r>
            <w:r w:rsidRPr="00815900">
              <w:rPr>
                <w:rStyle w:val="Hypertextovodkaz"/>
                <w:rFonts w:ascii="Arial" w:eastAsia="Times New Roman" w:hAnsi="Arial" w:cs="Arial"/>
                <w:bCs/>
                <w:i/>
                <w:color w:val="0F0D29" w:themeColor="text1"/>
                <w:kern w:val="36"/>
                <w:sz w:val="20"/>
                <w:szCs w:val="20"/>
                <w:u w:val="none"/>
                <w:lang w:eastAsia="cs-CZ"/>
              </w:rPr>
              <w:t xml:space="preserve"> </w:t>
            </w:r>
            <w:r w:rsidR="00886540">
              <w:rPr>
                <w:rStyle w:val="Hypertextovodkaz"/>
                <w:rFonts w:ascii="Arial" w:eastAsia="Times New Roman" w:hAnsi="Arial" w:cs="Arial"/>
                <w:bCs/>
                <w:i/>
                <w:color w:val="0F0D29" w:themeColor="text1"/>
                <w:kern w:val="36"/>
                <w:sz w:val="20"/>
                <w:szCs w:val="20"/>
                <w:u w:val="none"/>
                <w:lang w:eastAsia="cs-CZ"/>
              </w:rPr>
              <w:t>30. 4. 2022</w:t>
            </w:r>
          </w:p>
          <w:p w14:paraId="34239922" w14:textId="77777777" w:rsidR="000E2BBE" w:rsidRPr="00834F4E" w:rsidRDefault="000E2BBE" w:rsidP="000E2BBE">
            <w:pPr>
              <w:pStyle w:val="Bezmezer"/>
              <w:jc w:val="center"/>
              <w:rPr>
                <w:rStyle w:val="Hypertextovodkaz"/>
                <w:rFonts w:ascii="Arial" w:eastAsia="Times New Roman" w:hAnsi="Arial" w:cs="Arial"/>
                <w:bCs/>
                <w:color w:val="0F0D29" w:themeColor="text1"/>
                <w:kern w:val="36"/>
                <w:sz w:val="20"/>
                <w:szCs w:val="20"/>
                <w:u w:val="none"/>
                <w:lang w:eastAsia="cs-CZ"/>
              </w:rPr>
            </w:pPr>
          </w:p>
          <w:p w14:paraId="02203955" w14:textId="294419E4" w:rsidR="00782B2D" w:rsidRDefault="00782B2D" w:rsidP="00F5617F">
            <w:pPr>
              <w:pStyle w:val="Bezmezer"/>
              <w:jc w:val="right"/>
              <w:rPr>
                <w:rStyle w:val="Hypertextovodkaz"/>
                <w:rFonts w:ascii="Arial" w:eastAsia="Times New Roman" w:hAnsi="Arial" w:cs="Arial"/>
                <w:color w:val="0F0D29" w:themeColor="text1"/>
                <w:kern w:val="36"/>
                <w:sz w:val="24"/>
                <w:szCs w:val="20"/>
                <w:u w:val="none"/>
                <w:lang w:eastAsia="cs-CZ"/>
              </w:rPr>
            </w:pPr>
            <w:bookmarkStart w:id="0" w:name="_Hlk95940230"/>
          </w:p>
          <w:p w14:paraId="34A21985" w14:textId="77777777" w:rsidR="00782B2D" w:rsidRPr="00F5617F" w:rsidRDefault="00782B2D"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6849FA16"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Stanoviska a judikatura</w:t>
            </w:r>
          </w:p>
          <w:bookmarkEnd w:id="0"/>
          <w:p w14:paraId="790BFC2D"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BD6308C" w14:textId="77A8F283" w:rsidR="0014703E" w:rsidRPr="005078C0" w:rsidRDefault="00E67A9D"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Útok na majetek zaměstnavatele</w:t>
            </w:r>
            <w:r w:rsidR="00F21117">
              <w:rPr>
                <w:rStyle w:val="Hypertextovodkaz"/>
                <w:rFonts w:ascii="Arial" w:eastAsia="Times New Roman" w:hAnsi="Arial" w:cs="Arial"/>
                <w:b/>
                <w:bCs/>
                <w:color w:val="0F0D29" w:themeColor="text1"/>
                <w:kern w:val="36"/>
                <w:sz w:val="24"/>
                <w:szCs w:val="24"/>
                <w:u w:val="none"/>
                <w:lang w:eastAsia="cs-CZ"/>
              </w:rPr>
              <w:pict w14:anchorId="51CE8951">
                <v:rect id="_x0000_i1035" style="width:0;height:1.5pt" o:hralign="center" o:hrstd="t" o:hr="t" fillcolor="#a0a0a0" stroked="f"/>
              </w:pict>
            </w:r>
          </w:p>
          <w:p w14:paraId="431161C5" w14:textId="781C54FB"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Cs/>
                <w:color w:val="0F0D29" w:themeColor="text1"/>
                <w:kern w:val="36"/>
                <w:sz w:val="20"/>
                <w:szCs w:val="20"/>
                <w:u w:val="none"/>
                <w:lang w:eastAsia="cs-CZ"/>
              </w:rPr>
              <w:t xml:space="preserve">Rozsudek Nejvyššího soudu České republiky č.j. </w:t>
            </w:r>
            <w:r w:rsidR="006F3D1A">
              <w:rPr>
                <w:rStyle w:val="Hypertextovodkaz"/>
                <w:rFonts w:ascii="Arial" w:eastAsia="Times New Roman" w:hAnsi="Arial" w:cs="Arial"/>
                <w:bCs/>
                <w:color w:val="0F0D29" w:themeColor="text1"/>
                <w:kern w:val="36"/>
                <w:sz w:val="20"/>
                <w:szCs w:val="20"/>
                <w:u w:val="none"/>
                <w:lang w:eastAsia="cs-CZ"/>
              </w:rPr>
              <w:t>21 Cdo 1777/2021</w:t>
            </w:r>
          </w:p>
          <w:p w14:paraId="0CE0A686"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7B7D502" w14:textId="7A6FDB62" w:rsidR="0014703E" w:rsidRDefault="006F3D1A"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soud opět potvrdil svou konstantní judikaturu ve věci okamžitého zrušení pracovního poměru zaměstnance, pokud se dopustí útoku na majetek zaměstnavatele. </w:t>
            </w:r>
          </w:p>
          <w:p w14:paraId="763709D5" w14:textId="1E9112B5" w:rsidR="006F3D1A" w:rsidRDefault="006F3D1A"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E8776B5" w14:textId="079C2CF0" w:rsidR="006F3D1A" w:rsidRDefault="006F3D1A"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V posuzovaném případě si zaměstnankyně ve dvou případech po dobu 1,5 hodiny vyřizovala v pracovní době bez vědomí a souhlasu zaměstnavatele své soukromé záležitosti a využila k tomu i služební automobil. Tím získala na úrok zaměstnavatele finanční výhodu v podobě mzdy za práci, kterou nevykonala, úsporu finančních prostředků spojenou s využitím služebního automobilu. </w:t>
            </w:r>
          </w:p>
          <w:p w14:paraId="0D74B2C4" w14:textId="50FABD8D" w:rsidR="006F3D1A" w:rsidRDefault="006F3D1A"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E469B5F" w14:textId="0C7C9AB7" w:rsidR="006F3D1A" w:rsidRDefault="00AF4FA4"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soud se neztotožnil s argumentací odvolacího soudu, který dal za pravdu zaměstnankyni, že místo okamžitého zrušení pracovního poměru měla být zaměstnankyni udělena výpověď s dvouměsíční výpovědní dobou. Dle názoru odvolacího soudu totiž obava zaměstnavatele o svůj majetek po dobu výpovědní doby byla řešitelná například v rámci opatření zaměstnavatele, jímž by došlo k úpravě dispozice zaměstnankyně s majetkem zaměstnavatele, nebo zvýšenou kontrolní činností nad zaměstnankyní. Dále odvolací soud uvedl, že následek dopadající do poměrů zaměstnankyně při okamžitém zrušení pracovního poměru byl nesrovnatelně </w:t>
            </w:r>
            <w:r w:rsidR="00BA34E1">
              <w:rPr>
                <w:rStyle w:val="Hypertextovodkaz"/>
                <w:rFonts w:ascii="Arial" w:eastAsia="Times New Roman" w:hAnsi="Arial" w:cs="Arial"/>
                <w:bCs/>
                <w:color w:val="0F0D29" w:themeColor="text1"/>
                <w:kern w:val="36"/>
                <w:sz w:val="20"/>
                <w:szCs w:val="20"/>
                <w:u w:val="none"/>
                <w:lang w:eastAsia="cs-CZ"/>
              </w:rPr>
              <w:t xml:space="preserve">tíživější, </w:t>
            </w:r>
            <w:r>
              <w:rPr>
                <w:rStyle w:val="Hypertextovodkaz"/>
                <w:rFonts w:ascii="Arial" w:eastAsia="Times New Roman" w:hAnsi="Arial" w:cs="Arial"/>
                <w:bCs/>
                <w:color w:val="0F0D29" w:themeColor="text1"/>
                <w:kern w:val="36"/>
                <w:sz w:val="20"/>
                <w:szCs w:val="20"/>
                <w:u w:val="none"/>
                <w:lang w:eastAsia="cs-CZ"/>
              </w:rPr>
              <w:t xml:space="preserve">než případná organizační opatření, jež by zaměstnavatel přijal po dobu běhu výpovědní doby k ochraně svého majetku. </w:t>
            </w:r>
          </w:p>
          <w:p w14:paraId="112406DF" w14:textId="782F8150" w:rsidR="00AF4FA4" w:rsidRPr="00BA34E1" w:rsidRDefault="00AF4FA4" w:rsidP="008E3CAD">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r w:rsidRPr="00BA34E1">
              <w:rPr>
                <w:rStyle w:val="Hypertextovodkaz"/>
                <w:rFonts w:ascii="Arial" w:eastAsia="Times New Roman" w:hAnsi="Arial" w:cs="Arial"/>
                <w:b/>
                <w:color w:val="0F0D29" w:themeColor="text1"/>
                <w:kern w:val="36"/>
                <w:sz w:val="20"/>
                <w:szCs w:val="20"/>
                <w:u w:val="none"/>
                <w:lang w:eastAsia="cs-CZ"/>
              </w:rPr>
              <w:t>Nejvyšší soud však argumentaci odvolacího soudu zcela odmítl a konstatoval, že nelze po zaměstnavateli spravedlivě požadovat, aby po dobu výpovědní doby přijímal ve vztahu k zaměstnankyni, která se dopustila útoku na jeho majetek, jakákoli opatření pro ochranu svého majetku a vynakládal tak úsilí, případně i finanční prostředky k ochraně svého majetku.</w:t>
            </w:r>
          </w:p>
          <w:p w14:paraId="5180DB2A" w14:textId="77777777" w:rsidR="00AF4FA4" w:rsidRPr="005078C0" w:rsidRDefault="00AF4FA4"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2736A6C" w14:textId="0926B92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BA34E1">
              <w:rPr>
                <w:rStyle w:val="Hypertextovodkaz"/>
                <w:rFonts w:ascii="Arial" w:eastAsia="Times New Roman" w:hAnsi="Arial" w:cs="Arial"/>
                <w:bCs/>
                <w:i/>
                <w:color w:val="0F0D29" w:themeColor="text1"/>
                <w:kern w:val="36"/>
                <w:sz w:val="20"/>
                <w:szCs w:val="20"/>
                <w:u w:val="none"/>
                <w:lang w:eastAsia="cs-CZ"/>
              </w:rPr>
              <w:t xml:space="preserve"> a OŘLZ.</w:t>
            </w:r>
          </w:p>
          <w:p w14:paraId="20C669A8"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6D02341" w14:textId="492B5D8A" w:rsidR="0014703E" w:rsidRPr="005078C0" w:rsidRDefault="00E67A9D" w:rsidP="00F5617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E67A9D">
              <w:rPr>
                <w:rStyle w:val="Hypertextovodkaz"/>
                <w:rFonts w:ascii="Arial" w:eastAsia="Times New Roman" w:hAnsi="Arial" w:cs="Arial"/>
                <w:b/>
                <w:bCs/>
                <w:color w:val="0F0D29" w:themeColor="text1"/>
                <w:kern w:val="36"/>
                <w:sz w:val="24"/>
                <w:szCs w:val="20"/>
                <w:u w:val="none"/>
                <w:lang w:eastAsia="cs-CZ"/>
              </w:rPr>
              <w:lastRenderedPageBreak/>
              <w:t>Hrubá nedbalost a zřízení nezbytné cesty</w:t>
            </w:r>
            <w:r w:rsidR="00F21117">
              <w:rPr>
                <w:rStyle w:val="Hypertextovodkaz"/>
                <w:rFonts w:ascii="Arial" w:eastAsia="Times New Roman" w:hAnsi="Arial" w:cs="Arial"/>
                <w:b/>
                <w:bCs/>
                <w:color w:val="0F0D29" w:themeColor="text1"/>
                <w:kern w:val="36"/>
                <w:sz w:val="24"/>
                <w:szCs w:val="24"/>
                <w:u w:val="none"/>
                <w:lang w:eastAsia="cs-CZ"/>
              </w:rPr>
              <w:pict w14:anchorId="7B76B7FF">
                <v:rect id="_x0000_i1036" style="width:0;height:1.5pt" o:hralign="center" o:hrstd="t" o:hr="t" fillcolor="#a0a0a0" stroked="f"/>
              </w:pict>
            </w:r>
          </w:p>
          <w:p w14:paraId="29E56190" w14:textId="03ED87D4" w:rsidR="0014703E" w:rsidRPr="005078C0" w:rsidRDefault="00995144" w:rsidP="008E3CAD">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Ústavní soud, sp. zn. II. ÚS 1587/2020</w:t>
            </w:r>
          </w:p>
          <w:p w14:paraId="5FDC88FC" w14:textId="77777777" w:rsidR="0014703E" w:rsidRPr="005078C0" w:rsidRDefault="0014703E" w:rsidP="008E3CAD">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101BDE7E" w14:textId="764727F1" w:rsidR="00995144" w:rsidRDefault="00995144"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Stěžovatelé se v řízení před obecnými soudy neúspěšně domáhali zřízení věcného břemene s právem chůze a jízdy, ve vlastnictví jiného vlastníka. Ohledně práva chůze však obecné soudy žalobu zamítly pro hrubou nedbalost stěžovatelů, kterou soud spatřoval v tom, že se stěžovatelé nepokusili zajistit si přístup k nemovitosti ještě před jejím nabytím.</w:t>
            </w:r>
          </w:p>
          <w:p w14:paraId="22D444A2" w14:textId="4459CCE6" w:rsidR="00995144" w:rsidRDefault="00995144"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416696C" w14:textId="7B7132B9" w:rsidR="00995144" w:rsidRPr="005078C0" w:rsidRDefault="0034183A"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K tomu Ústavní soud konstatoval, že stavby stojící na cizím pozemku – nezřídka bez dostatečného přístupu – jsou v ČR s ohledem na historický vývoj právní úpravy pozemkového vlastnictví velmi častým jevem. Za situace, kdy stát po desítky let toleroval vznik majetkových poměrů, se proto dle ÚS jeví nespravedlivé, jestliže nyní neproporcionálně odpírá vlastníkům nemovitostí s nedostatečným přístupem ochranu vlastnického práva prostřednictvím zřízení věcného břemene nezbytné cesty. Podle názoru Ústavního soudu by při určení výše náhrady obecnými soudy mohly být v plném rozsahu a spravedlivě zohledněny veškeré relevantní okolnosti, jako jsou například okolnosti nabytí nemovitosti, způsob nabytí spoluvlastnických podílů či zejména ekonomické souvislosti věci, tj. právě skutečnost, že majetkoprávní vztahy k nemovitostem a okolním pozemkům mohly mít vliv na tržní cenu nemovitosti.</w:t>
            </w:r>
          </w:p>
          <w:p w14:paraId="20692EE7"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391A46"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p>
          <w:p w14:paraId="4F697D7F" w14:textId="32C449A2" w:rsidR="000B43A3" w:rsidRDefault="000B43A3" w:rsidP="008E3CAD">
            <w:pPr>
              <w:pStyle w:val="Obsah"/>
              <w:rPr>
                <w:rFonts w:ascii="Arial" w:hAnsi="Arial" w:cs="Arial"/>
                <w:i/>
                <w:noProof/>
                <w:color w:val="0F0D29" w:themeColor="text1"/>
                <w:szCs w:val="28"/>
              </w:rPr>
            </w:pPr>
          </w:p>
          <w:p w14:paraId="73F68566" w14:textId="0C707241" w:rsidR="00433509" w:rsidRPr="005078C0" w:rsidRDefault="00433509" w:rsidP="00433509">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433509">
              <w:rPr>
                <w:rStyle w:val="Hypertextovodkaz"/>
                <w:rFonts w:ascii="Arial" w:eastAsia="Times New Roman" w:hAnsi="Arial" w:cs="Arial"/>
                <w:b/>
                <w:bCs/>
                <w:color w:val="0F0D29" w:themeColor="text1"/>
                <w:kern w:val="36"/>
                <w:sz w:val="24"/>
                <w:szCs w:val="20"/>
                <w:u w:val="none"/>
                <w:lang w:eastAsia="cs-CZ"/>
              </w:rPr>
              <w:t>Limitace výše náhrady škody způsobené zaměstnancem</w:t>
            </w:r>
            <w:r w:rsidR="00F21117">
              <w:rPr>
                <w:rStyle w:val="Hypertextovodkaz"/>
                <w:rFonts w:ascii="Arial" w:eastAsia="Times New Roman" w:hAnsi="Arial" w:cs="Arial"/>
                <w:b/>
                <w:bCs/>
                <w:color w:val="0F0D29" w:themeColor="text1"/>
                <w:kern w:val="36"/>
                <w:sz w:val="24"/>
                <w:szCs w:val="24"/>
                <w:u w:val="none"/>
                <w:lang w:eastAsia="cs-CZ"/>
              </w:rPr>
              <w:pict w14:anchorId="7454CAD7">
                <v:rect id="_x0000_i1037" style="width:0;height:1.5pt" o:hralign="center" o:hrstd="t" o:hr="t" fillcolor="#a0a0a0" stroked="f"/>
              </w:pict>
            </w:r>
          </w:p>
          <w:p w14:paraId="53689E74" w14:textId="3D72D3DE" w:rsidR="00433509" w:rsidRPr="005078C0" w:rsidRDefault="00433509" w:rsidP="00433509">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Ústavní soud, sp. zn. </w:t>
            </w:r>
            <w:r w:rsidRPr="00433509">
              <w:rPr>
                <w:rStyle w:val="Hypertextovodkaz"/>
                <w:rFonts w:ascii="Arial" w:eastAsia="Times New Roman" w:hAnsi="Arial" w:cs="Arial"/>
                <w:bCs/>
                <w:color w:val="0F0D29" w:themeColor="text1"/>
                <w:kern w:val="36"/>
                <w:sz w:val="20"/>
                <w:szCs w:val="20"/>
                <w:u w:val="none"/>
                <w:lang w:eastAsia="cs-CZ"/>
              </w:rPr>
              <w:t>II. ÚS 2600/20</w:t>
            </w:r>
          </w:p>
          <w:p w14:paraId="003C9533" w14:textId="760D0CF5"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Ústavní soud</w:t>
            </w:r>
            <w:r w:rsidRPr="00433509">
              <w:rPr>
                <w:rStyle w:val="Hypertextovodkaz"/>
                <w:rFonts w:ascii="Arial" w:eastAsia="Times New Roman" w:hAnsi="Arial" w:cs="Arial"/>
                <w:bCs/>
                <w:color w:val="0F0D29" w:themeColor="text1"/>
                <w:kern w:val="36"/>
                <w:sz w:val="20"/>
                <w:szCs w:val="20"/>
                <w:u w:val="none"/>
                <w:lang w:eastAsia="cs-CZ"/>
              </w:rPr>
              <w:t xml:space="preserve"> vyhověl ústavní stížnosti a zrušil </w:t>
            </w:r>
            <w:r>
              <w:rPr>
                <w:rStyle w:val="Hypertextovodkaz"/>
                <w:rFonts w:ascii="Arial" w:eastAsia="Times New Roman" w:hAnsi="Arial" w:cs="Arial"/>
                <w:bCs/>
                <w:color w:val="0F0D29" w:themeColor="text1"/>
                <w:kern w:val="36"/>
                <w:sz w:val="20"/>
                <w:szCs w:val="20"/>
                <w:u w:val="none"/>
                <w:lang w:eastAsia="cs-CZ"/>
              </w:rPr>
              <w:t>rozhodnutí Nejvyššího a Městského soudu.</w:t>
            </w:r>
          </w:p>
          <w:p w14:paraId="2F347CE7" w14:textId="77777777"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BA86651" w14:textId="55C49E6E"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33509">
              <w:rPr>
                <w:rStyle w:val="Hypertextovodkaz"/>
                <w:rFonts w:ascii="Arial" w:eastAsia="Times New Roman" w:hAnsi="Arial" w:cs="Arial"/>
                <w:bCs/>
                <w:color w:val="0F0D29" w:themeColor="text1"/>
                <w:kern w:val="36"/>
                <w:sz w:val="20"/>
                <w:szCs w:val="20"/>
                <w:u w:val="none"/>
                <w:lang w:eastAsia="cs-CZ"/>
              </w:rPr>
              <w:t>Stěžovatelka po nástupu do funkce ústřední ředitelky České obchodní inspekce (dále také „ČOI“) v roce 2007 přistoupila k organizační změně a k propuštění zaměstnanců, které v návaznosti na tuto změnu shledala nadbytečnými. Někteří zaměstnanci se proti výpovědi bránili žalobou, přičemž byli úspěšní, neboť soudy shledaly, že proklamovaný výpovědní důvod nebyl dán. To vyústilo v náklady pro ČOI, která je po stěžovatelce vymáhala jako škodu, již stěžovatelka měla způsobit zaviněným porušením povinností při plnění pracovních úkolů nebo v přímé souvislosti s ním. Škodu ČOI uplatňovala vícero samostatnými žalobami vztahujícími se vždy ke konkrétní výpovědi</w:t>
            </w:r>
            <w:r>
              <w:rPr>
                <w:rStyle w:val="Hypertextovodkaz"/>
                <w:rFonts w:ascii="Arial" w:eastAsia="Times New Roman" w:hAnsi="Arial" w:cs="Arial"/>
                <w:bCs/>
                <w:color w:val="0F0D29" w:themeColor="text1"/>
                <w:kern w:val="36"/>
                <w:sz w:val="20"/>
                <w:szCs w:val="20"/>
                <w:u w:val="none"/>
                <w:lang w:eastAsia="cs-CZ"/>
              </w:rPr>
              <w:t>.</w:t>
            </w:r>
          </w:p>
          <w:p w14:paraId="5669DC5C" w14:textId="77777777"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6379255" w14:textId="7E7E749E"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33509">
              <w:rPr>
                <w:rStyle w:val="Hypertextovodkaz"/>
                <w:rFonts w:ascii="Arial" w:eastAsia="Times New Roman" w:hAnsi="Arial" w:cs="Arial"/>
                <w:bCs/>
                <w:color w:val="0F0D29" w:themeColor="text1"/>
                <w:kern w:val="36"/>
                <w:sz w:val="20"/>
                <w:szCs w:val="20"/>
                <w:u w:val="none"/>
                <w:lang w:eastAsia="cs-CZ"/>
              </w:rPr>
              <w:t xml:space="preserve">Soudy žalobě vyhověly, přičemž konstatovaly, že stěžovatelka je za vzniklou škodu odpovědná, neboť tím, že dala neplatnou výpověď, zaviněně (ve formě vědomé nedbalosti) porušila svou povinnost dodržovat právní předpisy vztahující se k práci jí vykonávané. Škodní událostí tedy byla shledána samotná výpověď, nikoli organizační změna, která jí předcházela. V důsledku toho soudy jednak nepovažovaly za nezbytné spojovat jednotlivé žaloby ČOI ke společnému řízení, navíc to mělo vliv na aplikaci § 257 odst. 2 zákoníku práce, podle kterého výše požadované náhrady škody způsobené z nedbalosti nesmí přesáhnout částku rovnající se čtyřapůlnásobku měsíčního výdělku zaměstnance, který způsobil škodu. Limit v podobě čtyřapůlnásobku měsíčního výdělku se totiž tím pádem nevztahoval na veškerou škodu, kterou stěžovatelka výpověďmi </w:t>
            </w:r>
            <w:r w:rsidRPr="00433509">
              <w:rPr>
                <w:rStyle w:val="Hypertextovodkaz"/>
                <w:rFonts w:ascii="Arial" w:eastAsia="Times New Roman" w:hAnsi="Arial" w:cs="Arial"/>
                <w:bCs/>
                <w:color w:val="0F0D29" w:themeColor="text1"/>
                <w:kern w:val="36"/>
                <w:sz w:val="20"/>
                <w:szCs w:val="20"/>
                <w:u w:val="none"/>
                <w:lang w:eastAsia="cs-CZ"/>
              </w:rPr>
              <w:lastRenderedPageBreak/>
              <w:t xml:space="preserve">navazujícími na organizační změnu potenciálně způsobila, ale omezoval pouze výši náhrady škody požadované ve vztahu ke každé jednotlivé výpovědi. </w:t>
            </w:r>
          </w:p>
          <w:p w14:paraId="0CF5A9B6" w14:textId="77777777"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FF6B787" w14:textId="77777777"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33509">
              <w:rPr>
                <w:rStyle w:val="Hypertextovodkaz"/>
                <w:rFonts w:ascii="Arial" w:eastAsia="Times New Roman" w:hAnsi="Arial" w:cs="Arial"/>
                <w:bCs/>
                <w:color w:val="0F0D29" w:themeColor="text1"/>
                <w:kern w:val="36"/>
                <w:sz w:val="20"/>
                <w:szCs w:val="20"/>
                <w:u w:val="none"/>
                <w:lang w:eastAsia="cs-CZ"/>
              </w:rPr>
              <w:t xml:space="preserve">Ústavní soud dospěl k závěru, že ústavní stížnost je důvodná.  </w:t>
            </w:r>
          </w:p>
          <w:p w14:paraId="56EB8132" w14:textId="77777777"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3C83C20" w14:textId="77777777"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33509">
              <w:rPr>
                <w:rStyle w:val="Hypertextovodkaz"/>
                <w:rFonts w:ascii="Arial" w:eastAsia="Times New Roman" w:hAnsi="Arial" w:cs="Arial"/>
                <w:bCs/>
                <w:color w:val="0F0D29" w:themeColor="text1"/>
                <w:kern w:val="36"/>
                <w:sz w:val="20"/>
                <w:szCs w:val="20"/>
                <w:u w:val="none"/>
                <w:lang w:eastAsia="cs-CZ"/>
              </w:rPr>
              <w:t>Obecné soudy hodnotily pro účely § 257 odst. 2 zákoníku každou danou výpověď jako samostatnou škodní událost, avšak zavinění stěžovatelky vztáhly ani ne tak k těmto událostem, jako spíše k organizační změně, která je zastřešovala, když mimo jiné poukazovaly na její účelovost a stěžovatelce vyčítaly nedbalost při její přípravě. Dle názoru Ústavního soudu ovšem soudy musejí být ve svém výkladu důsledné. Je-li škodní událostí opravdu samotná výpověď, musí se i posouzení zavinění stěžovatelky vztahovat k této výpovědi, nikoli k organizační změně. Jinak řečeno, soudy musejí posoudit, zda stěžovatelka zaviněně porušila nějakou svou pracovní povinnost propuštěním zaměstnance v situaci, kdy již došlo k organizační změně ČOI a stěžovatelka musela reagovat na to, že některá dosud existující pracovní místa v nové struktuře minimálně formálně neexistují. Připustí-li soudy naopak, že skutečná podstata pochybení spočívala v uskutečněné organizační změně, a protiprávnost dané výpovědi je tak spíše jen důsledkem nedostatků souvisejících s přípravou a provedením této změny, pak se stěžovatelka dopustila jednoho pochybení a je nutné zajistit, aby ji v plném rozsahu chránil § 257 odst. 2 zákoníku práce. To znamená, že by náhrada škody způsobené tímto pochybením měla být limitována do výše čtyřapůlnásobku měsíčního výdělku stěžovatelky.</w:t>
            </w:r>
          </w:p>
          <w:p w14:paraId="53B74CC0" w14:textId="77777777" w:rsidR="00433509" w:rsidRPr="00433509" w:rsidRDefault="00433509" w:rsidP="0043350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632A4A7" w14:textId="373FEB39" w:rsidR="00433509" w:rsidRPr="005078C0" w:rsidRDefault="00433509" w:rsidP="00433509">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58396E">
              <w:rPr>
                <w:rStyle w:val="Hypertextovodkaz"/>
                <w:rFonts w:ascii="Arial" w:eastAsia="Times New Roman" w:hAnsi="Arial" w:cs="Arial"/>
                <w:bCs/>
                <w:i/>
                <w:color w:val="0F0D29" w:themeColor="text1"/>
                <w:kern w:val="36"/>
                <w:sz w:val="20"/>
                <w:szCs w:val="20"/>
                <w:u w:val="none"/>
                <w:lang w:eastAsia="cs-CZ"/>
              </w:rPr>
              <w:t xml:space="preserve"> a OŘLZ</w:t>
            </w:r>
            <w:r w:rsidRPr="005078C0">
              <w:rPr>
                <w:rStyle w:val="Hypertextovodkaz"/>
                <w:rFonts w:ascii="Arial" w:eastAsia="Times New Roman" w:hAnsi="Arial" w:cs="Arial"/>
                <w:bCs/>
                <w:i/>
                <w:color w:val="0F0D29" w:themeColor="text1"/>
                <w:kern w:val="36"/>
                <w:sz w:val="20"/>
                <w:szCs w:val="20"/>
                <w:u w:val="none"/>
                <w:lang w:eastAsia="cs-CZ"/>
              </w:rPr>
              <w:t>.</w:t>
            </w:r>
          </w:p>
          <w:p w14:paraId="2F498D31" w14:textId="33BA5343" w:rsidR="00433509" w:rsidRDefault="00433509" w:rsidP="008E3CAD">
            <w:pPr>
              <w:pStyle w:val="Obsah"/>
              <w:rPr>
                <w:rFonts w:ascii="Arial" w:hAnsi="Arial" w:cs="Arial"/>
                <w:i/>
                <w:noProof/>
                <w:color w:val="0F0D29" w:themeColor="text1"/>
                <w:szCs w:val="28"/>
              </w:rPr>
            </w:pPr>
          </w:p>
          <w:p w14:paraId="0E190F9A" w14:textId="77777777" w:rsidR="00433509" w:rsidRDefault="00433509" w:rsidP="008E3CAD">
            <w:pPr>
              <w:pStyle w:val="Obsah"/>
              <w:rPr>
                <w:rFonts w:ascii="Arial" w:hAnsi="Arial" w:cs="Arial"/>
                <w:i/>
                <w:noProof/>
                <w:color w:val="0F0D29" w:themeColor="text1"/>
                <w:szCs w:val="28"/>
              </w:rPr>
            </w:pPr>
          </w:p>
          <w:p w14:paraId="2ED06FED" w14:textId="6B635C09" w:rsidR="00F5617F" w:rsidRPr="00D56C4F" w:rsidRDefault="00E67A9D" w:rsidP="00F5617F">
            <w:pPr>
              <w:jc w:val="center"/>
              <w:rPr>
                <w:rStyle w:val="Hypertextovodkaz"/>
                <w:rFonts w:ascii="Arial" w:eastAsia="Times New Roman" w:hAnsi="Arial" w:cs="Arial"/>
                <w:bCs/>
                <w:color w:val="0F0D29" w:themeColor="text1"/>
                <w:kern w:val="36"/>
                <w:sz w:val="24"/>
                <w:szCs w:val="20"/>
                <w:u w:val="none"/>
                <w:lang w:eastAsia="cs-CZ"/>
              </w:rPr>
            </w:pPr>
            <w:r>
              <w:rPr>
                <w:rStyle w:val="Hypertextovodkaz"/>
                <w:rFonts w:ascii="Arial" w:eastAsia="Times New Roman" w:hAnsi="Arial" w:cs="Arial"/>
                <w:bCs/>
                <w:color w:val="0F0D29" w:themeColor="text1"/>
                <w:kern w:val="36"/>
                <w:sz w:val="24"/>
                <w:szCs w:val="20"/>
                <w:u w:val="none"/>
                <w:lang w:eastAsia="cs-CZ"/>
              </w:rPr>
              <w:t>Pokyny EBA k palivovým kartám</w:t>
            </w:r>
          </w:p>
          <w:p w14:paraId="0D629DC2" w14:textId="77777777" w:rsidR="00F5617F" w:rsidRDefault="00F21117" w:rsidP="00F5617F">
            <w:pPr>
              <w:jc w:val="center"/>
              <w:rPr>
                <w:rStyle w:val="Hypertextovodkaz"/>
                <w:rFonts w:eastAsia="Times New Roman"/>
                <w:bCs/>
                <w:color w:val="0F0D29" w:themeColor="text1"/>
                <w:kern w:val="36"/>
                <w:sz w:val="24"/>
                <w:szCs w:val="20"/>
                <w:u w:val="none"/>
                <w:lang w:eastAsia="cs-CZ"/>
              </w:rPr>
            </w:pPr>
            <w:r>
              <w:rPr>
                <w:rStyle w:val="Hypertextovodkaz"/>
                <w:rFonts w:ascii="Arial" w:eastAsia="Times New Roman" w:hAnsi="Arial" w:cs="Arial"/>
                <w:bCs/>
                <w:color w:val="0F0D29" w:themeColor="text1"/>
                <w:kern w:val="36"/>
                <w:sz w:val="24"/>
                <w:szCs w:val="24"/>
                <w:u w:val="none"/>
                <w:lang w:eastAsia="cs-CZ"/>
              </w:rPr>
              <w:pict w14:anchorId="1D0047D5">
                <v:rect id="_x0000_i1038" style="width:0;height:1.5pt" o:hralign="center" o:hrstd="t" o:hr="t" fillcolor="#a0a0a0" stroked="f"/>
              </w:pict>
            </w:r>
          </w:p>
          <w:p w14:paraId="7CD5FC60" w14:textId="77777777" w:rsidR="00F5617F" w:rsidRPr="000B43A3" w:rsidRDefault="00F5617F" w:rsidP="00F5617F">
            <w:pPr>
              <w:pStyle w:val="Odstavecseseznamem"/>
              <w:spacing w:line="360" w:lineRule="auto"/>
              <w:ind w:left="360"/>
              <w:jc w:val="right"/>
              <w:rPr>
                <w:rFonts w:ascii="Arial" w:hAnsi="Arial" w:cs="Arial"/>
                <w:noProof/>
                <w:color w:val="0F0D29" w:themeColor="text1"/>
                <w:sz w:val="20"/>
                <w:szCs w:val="20"/>
              </w:rPr>
            </w:pPr>
          </w:p>
          <w:p w14:paraId="383FF42C" w14:textId="4CEFBFF0" w:rsidR="00F5617F" w:rsidRDefault="007274B3" w:rsidP="00F5617F">
            <w:pPr>
              <w:spacing w:line="360" w:lineRule="auto"/>
              <w:jc w:val="both"/>
              <w:rPr>
                <w:rFonts w:ascii="Arial" w:hAnsi="Arial" w:cs="Arial"/>
                <w:b w:val="0"/>
                <w:noProof/>
                <w:color w:val="0F0D29" w:themeColor="text1"/>
                <w:sz w:val="20"/>
                <w:szCs w:val="20"/>
              </w:rPr>
            </w:pPr>
            <w:r>
              <w:rPr>
                <w:rFonts w:ascii="Arial" w:hAnsi="Arial" w:cs="Arial"/>
                <w:b w:val="0"/>
                <w:noProof/>
                <w:color w:val="0F0D29" w:themeColor="text1"/>
                <w:sz w:val="20"/>
                <w:szCs w:val="20"/>
              </w:rPr>
              <w:t xml:space="preserve">Evropský orgán pro bankovnictví (EBA) vydal </w:t>
            </w:r>
            <w:r w:rsidRPr="007274B3">
              <w:rPr>
                <w:rFonts w:ascii="Arial" w:hAnsi="Arial" w:cs="Arial"/>
                <w:b w:val="0"/>
                <w:noProof/>
                <w:color w:val="0F0D29" w:themeColor="text1"/>
                <w:sz w:val="20"/>
                <w:szCs w:val="20"/>
              </w:rPr>
              <w:t>finální verzi pokynů k výjimce ze směrnice</w:t>
            </w:r>
            <w:r w:rsidR="00285D32">
              <w:rPr>
                <w:rFonts w:ascii="Arial" w:hAnsi="Arial" w:cs="Arial"/>
                <w:b w:val="0"/>
                <w:noProof/>
                <w:color w:val="0F0D29" w:themeColor="text1"/>
                <w:sz w:val="20"/>
                <w:szCs w:val="20"/>
              </w:rPr>
              <w:t xml:space="preserve"> o platebníc službách</w:t>
            </w:r>
            <w:r w:rsidRPr="007274B3">
              <w:rPr>
                <w:rFonts w:ascii="Arial" w:hAnsi="Arial" w:cs="Arial"/>
                <w:b w:val="0"/>
                <w:noProof/>
                <w:color w:val="0F0D29" w:themeColor="text1"/>
                <w:sz w:val="20"/>
                <w:szCs w:val="20"/>
              </w:rPr>
              <w:t xml:space="preserve"> (a tedy i </w:t>
            </w:r>
            <w:r>
              <w:rPr>
                <w:rFonts w:ascii="Arial" w:hAnsi="Arial" w:cs="Arial"/>
                <w:b w:val="0"/>
                <w:noProof/>
                <w:color w:val="0F0D29" w:themeColor="text1"/>
                <w:sz w:val="20"/>
                <w:szCs w:val="20"/>
              </w:rPr>
              <w:t xml:space="preserve">českého </w:t>
            </w:r>
            <w:r w:rsidRPr="007274B3">
              <w:rPr>
                <w:rFonts w:ascii="Arial" w:hAnsi="Arial" w:cs="Arial"/>
                <w:b w:val="0"/>
                <w:noProof/>
                <w:color w:val="0F0D29" w:themeColor="text1"/>
                <w:sz w:val="20"/>
                <w:szCs w:val="20"/>
              </w:rPr>
              <w:t xml:space="preserve">zákona o platebním styku), která se aplikuje na omezené sítě, tj. i na palivové karty </w:t>
            </w:r>
            <w:r w:rsidR="00C02A22">
              <w:rPr>
                <w:rFonts w:ascii="Arial" w:hAnsi="Arial" w:cs="Arial"/>
                <w:b w:val="0"/>
                <w:noProof/>
                <w:color w:val="0F0D29" w:themeColor="text1"/>
                <w:sz w:val="20"/>
                <w:szCs w:val="20"/>
              </w:rPr>
              <w:t>EuroOil/Srdcovka</w:t>
            </w:r>
            <w:r w:rsidRPr="007274B3">
              <w:rPr>
                <w:rFonts w:ascii="Arial" w:hAnsi="Arial" w:cs="Arial"/>
                <w:b w:val="0"/>
                <w:noProof/>
                <w:color w:val="0F0D29" w:themeColor="text1"/>
                <w:sz w:val="20"/>
                <w:szCs w:val="20"/>
              </w:rPr>
              <w:t>.</w:t>
            </w:r>
          </w:p>
          <w:p w14:paraId="42FE5D48" w14:textId="334D777D" w:rsidR="00C02A22" w:rsidRDefault="00C02A22" w:rsidP="00F5617F">
            <w:pPr>
              <w:spacing w:line="360" w:lineRule="auto"/>
              <w:jc w:val="both"/>
              <w:rPr>
                <w:rFonts w:ascii="Arial" w:hAnsi="Arial" w:cs="Arial"/>
                <w:b w:val="0"/>
                <w:noProof/>
                <w:color w:val="0F0D29" w:themeColor="text1"/>
                <w:sz w:val="20"/>
                <w:szCs w:val="20"/>
              </w:rPr>
            </w:pPr>
          </w:p>
          <w:p w14:paraId="4D2E8F04" w14:textId="72E64148" w:rsidR="00285D32" w:rsidRPr="00285D32" w:rsidRDefault="00285D32" w:rsidP="00285D32">
            <w:pPr>
              <w:spacing w:line="360" w:lineRule="auto"/>
              <w:jc w:val="both"/>
              <w:rPr>
                <w:rFonts w:ascii="Arial" w:hAnsi="Arial" w:cs="Arial"/>
                <w:b w:val="0"/>
                <w:noProof/>
                <w:color w:val="0F0D29" w:themeColor="text1"/>
                <w:sz w:val="20"/>
                <w:szCs w:val="20"/>
              </w:rPr>
            </w:pPr>
            <w:r w:rsidRPr="00285D32">
              <w:rPr>
                <w:rFonts w:ascii="Arial" w:hAnsi="Arial" w:cs="Arial"/>
                <w:b w:val="0"/>
                <w:noProof/>
                <w:color w:val="0F0D29" w:themeColor="text1"/>
                <w:sz w:val="20"/>
                <w:szCs w:val="20"/>
              </w:rPr>
              <w:t xml:space="preserve">Tyto pokyny objasňují, jak by měly příslušné vnitrostátní orgány posuzovat, zda </w:t>
            </w:r>
            <w:r>
              <w:rPr>
                <w:rFonts w:ascii="Arial" w:hAnsi="Arial" w:cs="Arial"/>
                <w:b w:val="0"/>
                <w:noProof/>
                <w:color w:val="0F0D29" w:themeColor="text1"/>
                <w:sz w:val="20"/>
                <w:szCs w:val="20"/>
              </w:rPr>
              <w:t xml:space="preserve">lze </w:t>
            </w:r>
            <w:r w:rsidRPr="00285D32">
              <w:rPr>
                <w:rFonts w:ascii="Arial" w:hAnsi="Arial" w:cs="Arial"/>
                <w:b w:val="0"/>
                <w:noProof/>
                <w:color w:val="0F0D29" w:themeColor="text1"/>
                <w:sz w:val="20"/>
                <w:szCs w:val="20"/>
              </w:rPr>
              <w:t>síť považovat za „omezen</w:t>
            </w:r>
            <w:r>
              <w:rPr>
                <w:rFonts w:ascii="Arial" w:hAnsi="Arial" w:cs="Arial"/>
                <w:b w:val="0"/>
                <w:noProof/>
                <w:color w:val="0F0D29" w:themeColor="text1"/>
                <w:sz w:val="20"/>
                <w:szCs w:val="20"/>
              </w:rPr>
              <w:t>ou</w:t>
            </w:r>
            <w:r w:rsidRPr="00285D32">
              <w:rPr>
                <w:rFonts w:ascii="Arial" w:hAnsi="Arial" w:cs="Arial"/>
                <w:b w:val="0"/>
                <w:noProof/>
                <w:color w:val="0F0D29" w:themeColor="text1"/>
                <w:sz w:val="20"/>
                <w:szCs w:val="20"/>
              </w:rPr>
              <w:t xml:space="preserve">“, a proto se na ně směrnice nevztahuje. </w:t>
            </w:r>
          </w:p>
          <w:p w14:paraId="0E31615A" w14:textId="77777777" w:rsidR="00285D32" w:rsidRPr="00285D32" w:rsidRDefault="00285D32" w:rsidP="00285D32">
            <w:pPr>
              <w:spacing w:line="360" w:lineRule="auto"/>
              <w:jc w:val="both"/>
              <w:rPr>
                <w:rFonts w:ascii="Arial" w:hAnsi="Arial" w:cs="Arial"/>
                <w:b w:val="0"/>
                <w:noProof/>
                <w:color w:val="0F0D29" w:themeColor="text1"/>
                <w:sz w:val="20"/>
                <w:szCs w:val="20"/>
              </w:rPr>
            </w:pPr>
          </w:p>
          <w:p w14:paraId="17706575" w14:textId="77777777" w:rsidR="00285D32" w:rsidRPr="00285D32" w:rsidRDefault="00285D32" w:rsidP="00285D32">
            <w:pPr>
              <w:spacing w:line="360" w:lineRule="auto"/>
              <w:jc w:val="both"/>
              <w:rPr>
                <w:rFonts w:ascii="Arial" w:hAnsi="Arial" w:cs="Arial"/>
                <w:b w:val="0"/>
                <w:noProof/>
                <w:color w:val="0F0D29" w:themeColor="text1"/>
                <w:sz w:val="20"/>
                <w:szCs w:val="20"/>
              </w:rPr>
            </w:pPr>
            <w:r w:rsidRPr="00285D32">
              <w:rPr>
                <w:rFonts w:ascii="Arial" w:hAnsi="Arial" w:cs="Arial"/>
                <w:b w:val="0"/>
                <w:noProof/>
                <w:color w:val="0F0D29" w:themeColor="text1"/>
                <w:sz w:val="20"/>
                <w:szCs w:val="20"/>
              </w:rPr>
              <w:t>Pokyny zavádějí ustanovení a případně kritéria a ukazatele, jejichž cílem je zajistit, aby platební nástroje, které mohou mít prospěch z vyloučení, byly používány omezeným způsobem, čímž se sníží potenciální rizika, která mohou uživatelům takových nástrojů vzniknout.</w:t>
            </w:r>
          </w:p>
          <w:p w14:paraId="4DF0EFFA" w14:textId="77777777" w:rsidR="00285D32" w:rsidRPr="00285D32" w:rsidRDefault="00285D32" w:rsidP="00285D32">
            <w:pPr>
              <w:spacing w:line="360" w:lineRule="auto"/>
              <w:jc w:val="both"/>
              <w:rPr>
                <w:rFonts w:ascii="Arial" w:hAnsi="Arial" w:cs="Arial"/>
                <w:b w:val="0"/>
                <w:noProof/>
                <w:color w:val="0F0D29" w:themeColor="text1"/>
                <w:sz w:val="20"/>
                <w:szCs w:val="20"/>
              </w:rPr>
            </w:pPr>
          </w:p>
          <w:p w14:paraId="110421A3" w14:textId="1C772146" w:rsidR="00285D32" w:rsidRPr="00285D32" w:rsidRDefault="00285D32" w:rsidP="00285D32">
            <w:pPr>
              <w:spacing w:line="360" w:lineRule="auto"/>
              <w:jc w:val="both"/>
              <w:rPr>
                <w:rFonts w:ascii="Arial" w:hAnsi="Arial" w:cs="Arial"/>
                <w:b w:val="0"/>
                <w:noProof/>
                <w:color w:val="0F0D29" w:themeColor="text1"/>
                <w:sz w:val="20"/>
                <w:szCs w:val="20"/>
              </w:rPr>
            </w:pPr>
            <w:r w:rsidRPr="00285D32">
              <w:rPr>
                <w:rFonts w:ascii="Arial" w:hAnsi="Arial" w:cs="Arial"/>
                <w:b w:val="0"/>
                <w:noProof/>
                <w:color w:val="0F0D29" w:themeColor="text1"/>
                <w:sz w:val="20"/>
                <w:szCs w:val="20"/>
              </w:rPr>
              <w:t>Aby byla zajištěna transparentnost poskytování vyloučených služeb, pokyny objasňují výpočet prahových hodnot platební transakce, předklád</w:t>
            </w:r>
            <w:r>
              <w:rPr>
                <w:rFonts w:ascii="Arial" w:hAnsi="Arial" w:cs="Arial"/>
                <w:b w:val="0"/>
                <w:noProof/>
                <w:color w:val="0F0D29" w:themeColor="text1"/>
                <w:sz w:val="20"/>
                <w:szCs w:val="20"/>
              </w:rPr>
              <w:t>ají</w:t>
            </w:r>
            <w:r w:rsidRPr="00285D32">
              <w:rPr>
                <w:rFonts w:ascii="Arial" w:hAnsi="Arial" w:cs="Arial"/>
                <w:b w:val="0"/>
                <w:noProof/>
                <w:color w:val="0F0D29" w:themeColor="text1"/>
                <w:sz w:val="20"/>
                <w:szCs w:val="20"/>
              </w:rPr>
              <w:t xml:space="preserve"> související</w:t>
            </w:r>
            <w:r>
              <w:rPr>
                <w:rFonts w:ascii="Arial" w:hAnsi="Arial" w:cs="Arial"/>
                <w:b w:val="0"/>
                <w:noProof/>
                <w:color w:val="0F0D29" w:themeColor="text1"/>
                <w:sz w:val="20"/>
                <w:szCs w:val="20"/>
              </w:rPr>
              <w:t xml:space="preserve"> o</w:t>
            </w:r>
            <w:r w:rsidRPr="00285D32">
              <w:rPr>
                <w:rFonts w:ascii="Arial" w:hAnsi="Arial" w:cs="Arial"/>
                <w:b w:val="0"/>
                <w:noProof/>
                <w:color w:val="0F0D29" w:themeColor="text1"/>
                <w:sz w:val="20"/>
                <w:szCs w:val="20"/>
              </w:rPr>
              <w:t>známení příslušným vnitrostátním orgánům a informace, které mají být uvedeny v popisu vyloučených služeb</w:t>
            </w:r>
            <w:r>
              <w:rPr>
                <w:rFonts w:ascii="Arial" w:hAnsi="Arial" w:cs="Arial"/>
                <w:b w:val="0"/>
                <w:noProof/>
                <w:color w:val="0F0D29" w:themeColor="text1"/>
                <w:sz w:val="20"/>
                <w:szCs w:val="20"/>
              </w:rPr>
              <w:t xml:space="preserve"> </w:t>
            </w:r>
            <w:r w:rsidRPr="00285D32">
              <w:rPr>
                <w:rFonts w:ascii="Arial" w:hAnsi="Arial" w:cs="Arial"/>
                <w:b w:val="0"/>
                <w:noProof/>
                <w:color w:val="0F0D29" w:themeColor="text1"/>
                <w:sz w:val="20"/>
                <w:szCs w:val="20"/>
              </w:rPr>
              <w:t>ve vnitrostátním rejstříku a rejstříku EBA.</w:t>
            </w:r>
          </w:p>
          <w:p w14:paraId="668B22EF" w14:textId="77777777" w:rsidR="00285D32" w:rsidRPr="00285D32" w:rsidRDefault="00285D32" w:rsidP="00285D32">
            <w:pPr>
              <w:spacing w:line="360" w:lineRule="auto"/>
              <w:jc w:val="both"/>
              <w:rPr>
                <w:rFonts w:ascii="Arial" w:hAnsi="Arial" w:cs="Arial"/>
                <w:b w:val="0"/>
                <w:noProof/>
                <w:color w:val="0F0D29" w:themeColor="text1"/>
                <w:sz w:val="20"/>
                <w:szCs w:val="20"/>
              </w:rPr>
            </w:pPr>
          </w:p>
          <w:p w14:paraId="3DEDB234" w14:textId="40FE56FA" w:rsidR="00C02A22" w:rsidRDefault="00285D32" w:rsidP="00285D32">
            <w:pPr>
              <w:spacing w:line="360" w:lineRule="auto"/>
              <w:jc w:val="both"/>
              <w:rPr>
                <w:rFonts w:ascii="Arial" w:hAnsi="Arial" w:cs="Arial"/>
                <w:b w:val="0"/>
                <w:noProof/>
                <w:color w:val="0F0D29" w:themeColor="text1"/>
                <w:sz w:val="20"/>
                <w:szCs w:val="20"/>
              </w:rPr>
            </w:pPr>
            <w:r w:rsidRPr="00285D32">
              <w:rPr>
                <w:rFonts w:ascii="Arial" w:hAnsi="Arial" w:cs="Arial"/>
                <w:b w:val="0"/>
                <w:noProof/>
                <w:color w:val="0F0D29" w:themeColor="text1"/>
                <w:sz w:val="20"/>
                <w:szCs w:val="20"/>
              </w:rPr>
              <w:lastRenderedPageBreak/>
              <w:t xml:space="preserve">Pokyny se použijí od 1. června 2022 s dodatečným 3měsíčním přechodným obdobím pro </w:t>
            </w:r>
            <w:r>
              <w:rPr>
                <w:rFonts w:ascii="Arial" w:hAnsi="Arial" w:cs="Arial"/>
                <w:b w:val="0"/>
                <w:noProof/>
                <w:color w:val="0F0D29" w:themeColor="text1"/>
                <w:sz w:val="20"/>
                <w:szCs w:val="20"/>
              </w:rPr>
              <w:t>vydavatel</w:t>
            </w:r>
            <w:r w:rsidR="00B466F0">
              <w:rPr>
                <w:rFonts w:ascii="Arial" w:hAnsi="Arial" w:cs="Arial"/>
                <w:b w:val="0"/>
                <w:noProof/>
                <w:color w:val="0F0D29" w:themeColor="text1"/>
                <w:sz w:val="20"/>
                <w:szCs w:val="20"/>
              </w:rPr>
              <w:t>e</w:t>
            </w:r>
            <w:r w:rsidRPr="00285D32">
              <w:rPr>
                <w:rFonts w:ascii="Arial" w:hAnsi="Arial" w:cs="Arial"/>
                <w:b w:val="0"/>
                <w:noProof/>
                <w:color w:val="0F0D29" w:themeColor="text1"/>
                <w:sz w:val="20"/>
                <w:szCs w:val="20"/>
              </w:rPr>
              <w:t>, kteří již využívají vyloučení, aby předložili nové oznámení svému vnitrostátnímu příslušnému orgánu.</w:t>
            </w:r>
          </w:p>
          <w:p w14:paraId="08871B39" w14:textId="77777777" w:rsidR="00F5617F" w:rsidRDefault="00F5617F" w:rsidP="00F5617F">
            <w:pPr>
              <w:spacing w:line="360" w:lineRule="auto"/>
              <w:jc w:val="both"/>
              <w:rPr>
                <w:rFonts w:ascii="Arial" w:hAnsi="Arial" w:cs="Arial"/>
                <w:b w:val="0"/>
                <w:noProof/>
                <w:color w:val="0F0D29" w:themeColor="text1"/>
                <w:sz w:val="20"/>
                <w:szCs w:val="20"/>
              </w:rPr>
            </w:pPr>
          </w:p>
          <w:p w14:paraId="3A64618F" w14:textId="6CD9D306" w:rsidR="00285D32" w:rsidRPr="00285D32" w:rsidRDefault="00F5617F" w:rsidP="00285D32">
            <w:pPr>
              <w:pStyle w:val="Bezmezer"/>
              <w:shd w:val="clear" w:color="auto" w:fill="D9D9D9" w:themeFill="background1" w:themeFillShade="D9"/>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285D32">
              <w:t xml:space="preserve"> </w:t>
            </w:r>
            <w:r w:rsidR="00285D32" w:rsidRPr="00285D32">
              <w:rPr>
                <w:rStyle w:val="Hypertextovodkaz"/>
                <w:rFonts w:ascii="Arial" w:eastAsia="Times New Roman" w:hAnsi="Arial" w:cs="Arial"/>
                <w:bCs/>
                <w:i/>
                <w:color w:val="0F0D29" w:themeColor="text1"/>
                <w:kern w:val="36"/>
                <w:sz w:val="20"/>
                <w:szCs w:val="20"/>
                <w:u w:val="none"/>
                <w:lang w:eastAsia="cs-CZ"/>
              </w:rPr>
              <w:t>OPS provede věcnou analýzu dopadů a zpracuje případný návrh implementačních opatření do procesů společnosti.</w:t>
            </w:r>
            <w:r w:rsidR="00285D32">
              <w:rPr>
                <w:rStyle w:val="Hypertextovodkaz"/>
                <w:rFonts w:ascii="Arial" w:eastAsia="Times New Roman" w:hAnsi="Arial" w:cs="Arial"/>
                <w:bCs/>
                <w:i/>
                <w:color w:val="0F0D29" w:themeColor="text1"/>
                <w:kern w:val="36"/>
                <w:sz w:val="20"/>
                <w:szCs w:val="20"/>
                <w:u w:val="none"/>
                <w:lang w:eastAsia="cs-CZ"/>
              </w:rPr>
              <w:t xml:space="preserve"> Současně OPS zajistí aktualizaci oznámení</w:t>
            </w:r>
            <w:r w:rsidR="00021BDB">
              <w:rPr>
                <w:rStyle w:val="Hypertextovodkaz"/>
                <w:rFonts w:ascii="Arial" w:eastAsia="Times New Roman" w:hAnsi="Arial" w:cs="Arial"/>
                <w:bCs/>
                <w:i/>
                <w:color w:val="0F0D29" w:themeColor="text1"/>
                <w:kern w:val="36"/>
                <w:sz w:val="20"/>
                <w:szCs w:val="20"/>
                <w:u w:val="none"/>
                <w:lang w:eastAsia="cs-CZ"/>
              </w:rPr>
              <w:t xml:space="preserve"> pro ČNB.</w:t>
            </w:r>
            <w:r w:rsidR="00285D32" w:rsidRPr="00285D32">
              <w:rPr>
                <w:rStyle w:val="Hypertextovodkaz"/>
                <w:rFonts w:ascii="Arial" w:eastAsia="Times New Roman" w:hAnsi="Arial" w:cs="Arial"/>
                <w:bCs/>
                <w:i/>
                <w:color w:val="0F0D29" w:themeColor="text1"/>
                <w:kern w:val="36"/>
                <w:sz w:val="20"/>
                <w:szCs w:val="20"/>
                <w:u w:val="none"/>
                <w:lang w:eastAsia="cs-CZ"/>
              </w:rPr>
              <w:t xml:space="preserve"> Informaci o zhodnocení dopadů a o stavu implementace zašle na emailovou adresu legislativa@ceproas.cz.</w:t>
            </w:r>
          </w:p>
          <w:p w14:paraId="37FF7A39" w14:textId="77777777" w:rsidR="00285D32" w:rsidRPr="00285D32" w:rsidRDefault="00285D32" w:rsidP="00285D32">
            <w:pPr>
              <w:pStyle w:val="Bezmezer"/>
              <w:shd w:val="clear" w:color="auto" w:fill="D9D9D9" w:themeFill="background1" w:themeFillShade="D9"/>
              <w:jc w:val="both"/>
              <w:rPr>
                <w:rStyle w:val="Hypertextovodkaz"/>
                <w:rFonts w:ascii="Arial" w:eastAsia="Times New Roman" w:hAnsi="Arial" w:cs="Arial"/>
                <w:bCs/>
                <w:i/>
                <w:color w:val="0F0D29" w:themeColor="text1"/>
                <w:kern w:val="36"/>
                <w:sz w:val="20"/>
                <w:szCs w:val="20"/>
                <w:u w:val="none"/>
                <w:lang w:eastAsia="cs-CZ"/>
              </w:rPr>
            </w:pPr>
          </w:p>
          <w:p w14:paraId="422C0803" w14:textId="5F00BD4A" w:rsidR="00F5617F" w:rsidRPr="00F5617F" w:rsidRDefault="00285D32" w:rsidP="00285D32">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021BDB">
              <w:rPr>
                <w:rStyle w:val="Hypertextovodkaz"/>
                <w:rFonts w:ascii="Arial" w:eastAsia="Times New Roman" w:hAnsi="Arial" w:cs="Arial"/>
                <w:b/>
                <w:i/>
                <w:color w:val="0F0D29" w:themeColor="text1"/>
                <w:kern w:val="36"/>
                <w:sz w:val="20"/>
                <w:szCs w:val="20"/>
                <w:u w:val="none"/>
                <w:lang w:eastAsia="cs-CZ"/>
              </w:rPr>
              <w:t>Odpovědný útvar</w:t>
            </w:r>
            <w:r w:rsidRPr="00285D32">
              <w:rPr>
                <w:rStyle w:val="Hypertextovodkaz"/>
                <w:rFonts w:ascii="Arial" w:eastAsia="Times New Roman" w:hAnsi="Arial" w:cs="Arial"/>
                <w:bCs/>
                <w:i/>
                <w:color w:val="0F0D29" w:themeColor="text1"/>
                <w:kern w:val="36"/>
                <w:sz w:val="20"/>
                <w:szCs w:val="20"/>
                <w:u w:val="none"/>
                <w:lang w:eastAsia="cs-CZ"/>
              </w:rPr>
              <w:t>: OPS – Mgr. Pavel Císař Termín: 30. 6. 2022</w:t>
            </w:r>
          </w:p>
          <w:p w14:paraId="710E2DBD" w14:textId="1892B654" w:rsidR="00F5617F" w:rsidRPr="000B43A3" w:rsidRDefault="00F5617F" w:rsidP="008E3CAD">
            <w:pPr>
              <w:pStyle w:val="Obsah"/>
              <w:rPr>
                <w:rFonts w:ascii="Arial" w:hAnsi="Arial" w:cs="Arial"/>
                <w:i/>
                <w:noProof/>
                <w:color w:val="0F0D29" w:themeColor="text1"/>
                <w:szCs w:val="28"/>
              </w:rPr>
            </w:pPr>
          </w:p>
        </w:tc>
      </w:tr>
    </w:tbl>
    <w:p w14:paraId="598CBBA7" w14:textId="77777777" w:rsidR="007C7E90" w:rsidRDefault="007C7E90" w:rsidP="00D56C4F">
      <w:pPr>
        <w:jc w:val="center"/>
        <w:rPr>
          <w:rStyle w:val="Hypertextovodkaz"/>
          <w:rFonts w:ascii="Arial" w:eastAsia="Times New Roman" w:hAnsi="Arial" w:cs="Arial"/>
          <w:bCs/>
          <w:color w:val="0F0D29" w:themeColor="text1"/>
          <w:kern w:val="36"/>
          <w:sz w:val="24"/>
          <w:szCs w:val="20"/>
          <w:u w:val="none"/>
          <w:lang w:eastAsia="cs-CZ"/>
        </w:rPr>
      </w:pPr>
    </w:p>
    <w:sectPr w:rsidR="007C7E90" w:rsidSect="00AB02A7">
      <w:headerReference w:type="default" r:id="rId9"/>
      <w:footerReference w:type="default" r:id="rId1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BD43" w14:textId="77777777" w:rsidR="00F21117" w:rsidRDefault="00F21117">
      <w:r>
        <w:separator/>
      </w:r>
    </w:p>
    <w:p w14:paraId="29BA8623" w14:textId="77777777" w:rsidR="00F21117" w:rsidRDefault="00F21117"/>
  </w:endnote>
  <w:endnote w:type="continuationSeparator" w:id="0">
    <w:p w14:paraId="10FF7A46" w14:textId="77777777" w:rsidR="00F21117" w:rsidRDefault="00F21117">
      <w:r>
        <w:continuationSeparator/>
      </w:r>
    </w:p>
    <w:p w14:paraId="34027A84" w14:textId="77777777" w:rsidR="00F21117" w:rsidRDefault="00F21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77777777"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AB02A7" w:rsidRPr="00824CAE">
          <w:rPr>
            <w:rFonts w:ascii="Arial" w:hAnsi="Arial" w:cs="Arial"/>
            <w:b w:val="0"/>
            <w:bCs/>
            <w:noProof/>
            <w:color w:val="0F0D29" w:themeColor="text1"/>
            <w:sz w:val="20"/>
            <w:szCs w:val="20"/>
            <w:lang w:bidi="cs-CZ"/>
          </w:rPr>
          <w:t>2</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2958" w14:textId="77777777" w:rsidR="00F21117" w:rsidRDefault="00F21117">
      <w:r>
        <w:separator/>
      </w:r>
    </w:p>
    <w:p w14:paraId="38D2ECB6" w14:textId="77777777" w:rsidR="00F21117" w:rsidRDefault="00F21117"/>
  </w:footnote>
  <w:footnote w:type="continuationSeparator" w:id="0">
    <w:p w14:paraId="557E4B76" w14:textId="77777777" w:rsidR="00F21117" w:rsidRDefault="00F21117">
      <w:r>
        <w:continuationSeparator/>
      </w:r>
    </w:p>
    <w:p w14:paraId="6921D7F7" w14:textId="77777777" w:rsidR="00F21117" w:rsidRDefault="00F21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7" style="width:0;height:1.5pt" o:hralign="center" o:bullet="t" o:hrstd="t" o:hr="t" fillcolor="#a0a0a0" stroked="f"/>
    </w:pict>
  </w:numPicBullet>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0484290"/>
    <w:multiLevelType w:val="hybridMultilevel"/>
    <w:tmpl w:val="EC089B9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9"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9"/>
  </w:num>
  <w:num w:numId="5">
    <w:abstractNumId w:val="8"/>
  </w:num>
  <w:num w:numId="6">
    <w:abstractNumId w:val="2"/>
  </w:num>
  <w:num w:numId="7">
    <w:abstractNumId w:val="4"/>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52"/>
    <w:rsid w:val="00021BDB"/>
    <w:rsid w:val="0002482E"/>
    <w:rsid w:val="00045505"/>
    <w:rsid w:val="00050324"/>
    <w:rsid w:val="00080627"/>
    <w:rsid w:val="00090ADC"/>
    <w:rsid w:val="000954E9"/>
    <w:rsid w:val="000A0150"/>
    <w:rsid w:val="000B43A3"/>
    <w:rsid w:val="000E2BBE"/>
    <w:rsid w:val="000E63C9"/>
    <w:rsid w:val="00130E9D"/>
    <w:rsid w:val="0014703E"/>
    <w:rsid w:val="00150A6D"/>
    <w:rsid w:val="001559DF"/>
    <w:rsid w:val="00160DC8"/>
    <w:rsid w:val="001822B6"/>
    <w:rsid w:val="00185B35"/>
    <w:rsid w:val="00196F8A"/>
    <w:rsid w:val="001F081B"/>
    <w:rsid w:val="001F2BC8"/>
    <w:rsid w:val="001F5F6B"/>
    <w:rsid w:val="0022100C"/>
    <w:rsid w:val="00240052"/>
    <w:rsid w:val="002419B4"/>
    <w:rsid w:val="00243EBC"/>
    <w:rsid w:val="00246A35"/>
    <w:rsid w:val="00283722"/>
    <w:rsid w:val="00284348"/>
    <w:rsid w:val="00285D32"/>
    <w:rsid w:val="002E61AB"/>
    <w:rsid w:val="002F51F5"/>
    <w:rsid w:val="00312137"/>
    <w:rsid w:val="00330359"/>
    <w:rsid w:val="0033762F"/>
    <w:rsid w:val="0034183A"/>
    <w:rsid w:val="00360494"/>
    <w:rsid w:val="00366C7E"/>
    <w:rsid w:val="00384EA3"/>
    <w:rsid w:val="003A39A1"/>
    <w:rsid w:val="003C2191"/>
    <w:rsid w:val="003C4763"/>
    <w:rsid w:val="003D3863"/>
    <w:rsid w:val="003D5145"/>
    <w:rsid w:val="004110DE"/>
    <w:rsid w:val="004325C8"/>
    <w:rsid w:val="00433509"/>
    <w:rsid w:val="0044085A"/>
    <w:rsid w:val="00475E5C"/>
    <w:rsid w:val="004974BF"/>
    <w:rsid w:val="0049783A"/>
    <w:rsid w:val="004B21A5"/>
    <w:rsid w:val="005037F0"/>
    <w:rsid w:val="005078C0"/>
    <w:rsid w:val="00516A86"/>
    <w:rsid w:val="00521069"/>
    <w:rsid w:val="0052653B"/>
    <w:rsid w:val="005275F6"/>
    <w:rsid w:val="00532EB6"/>
    <w:rsid w:val="005412CE"/>
    <w:rsid w:val="00560334"/>
    <w:rsid w:val="00572102"/>
    <w:rsid w:val="0058396E"/>
    <w:rsid w:val="005D3817"/>
    <w:rsid w:val="005E4904"/>
    <w:rsid w:val="005F1BB0"/>
    <w:rsid w:val="00656C4D"/>
    <w:rsid w:val="00657864"/>
    <w:rsid w:val="00694EBE"/>
    <w:rsid w:val="006E5716"/>
    <w:rsid w:val="006E79ED"/>
    <w:rsid w:val="006F3D1A"/>
    <w:rsid w:val="006F41EA"/>
    <w:rsid w:val="007055E5"/>
    <w:rsid w:val="00706AC0"/>
    <w:rsid w:val="007274B3"/>
    <w:rsid w:val="007302B3"/>
    <w:rsid w:val="00730733"/>
    <w:rsid w:val="00730E3A"/>
    <w:rsid w:val="00736AAF"/>
    <w:rsid w:val="00765B2A"/>
    <w:rsid w:val="00782B2D"/>
    <w:rsid w:val="00783A34"/>
    <w:rsid w:val="007A5D12"/>
    <w:rsid w:val="007C6B52"/>
    <w:rsid w:val="007C7E90"/>
    <w:rsid w:val="007D16C5"/>
    <w:rsid w:val="00810E13"/>
    <w:rsid w:val="00815900"/>
    <w:rsid w:val="00824CAE"/>
    <w:rsid w:val="00834F4E"/>
    <w:rsid w:val="00862FE4"/>
    <w:rsid w:val="0086389A"/>
    <w:rsid w:val="0087605E"/>
    <w:rsid w:val="00886540"/>
    <w:rsid w:val="008B1FEE"/>
    <w:rsid w:val="008E3CAD"/>
    <w:rsid w:val="00903C32"/>
    <w:rsid w:val="00911671"/>
    <w:rsid w:val="00916B16"/>
    <w:rsid w:val="009173B9"/>
    <w:rsid w:val="0092437E"/>
    <w:rsid w:val="0093335D"/>
    <w:rsid w:val="0093613E"/>
    <w:rsid w:val="00943026"/>
    <w:rsid w:val="0096395A"/>
    <w:rsid w:val="00966B81"/>
    <w:rsid w:val="0098645D"/>
    <w:rsid w:val="00995144"/>
    <w:rsid w:val="009C7720"/>
    <w:rsid w:val="009D44EB"/>
    <w:rsid w:val="009E5DD7"/>
    <w:rsid w:val="009F2434"/>
    <w:rsid w:val="00A23AFA"/>
    <w:rsid w:val="00A31B3E"/>
    <w:rsid w:val="00A532F3"/>
    <w:rsid w:val="00A76167"/>
    <w:rsid w:val="00A83FFF"/>
    <w:rsid w:val="00A8489E"/>
    <w:rsid w:val="00AB02A7"/>
    <w:rsid w:val="00AB3435"/>
    <w:rsid w:val="00AC29F3"/>
    <w:rsid w:val="00AF4FA4"/>
    <w:rsid w:val="00B10A54"/>
    <w:rsid w:val="00B231E5"/>
    <w:rsid w:val="00B261E4"/>
    <w:rsid w:val="00B466F0"/>
    <w:rsid w:val="00BA34E1"/>
    <w:rsid w:val="00BF3627"/>
    <w:rsid w:val="00C02A22"/>
    <w:rsid w:val="00C02B87"/>
    <w:rsid w:val="00C26E3C"/>
    <w:rsid w:val="00C4086D"/>
    <w:rsid w:val="00C6736C"/>
    <w:rsid w:val="00CA1896"/>
    <w:rsid w:val="00CB5B28"/>
    <w:rsid w:val="00CC5DA6"/>
    <w:rsid w:val="00CD40D6"/>
    <w:rsid w:val="00CF5371"/>
    <w:rsid w:val="00D0323A"/>
    <w:rsid w:val="00D0559F"/>
    <w:rsid w:val="00D077E9"/>
    <w:rsid w:val="00D300B4"/>
    <w:rsid w:val="00D42CB7"/>
    <w:rsid w:val="00D5413D"/>
    <w:rsid w:val="00D5608D"/>
    <w:rsid w:val="00D56C4F"/>
    <w:rsid w:val="00D570A9"/>
    <w:rsid w:val="00D67219"/>
    <w:rsid w:val="00D70D02"/>
    <w:rsid w:val="00D770C7"/>
    <w:rsid w:val="00D86945"/>
    <w:rsid w:val="00D90290"/>
    <w:rsid w:val="00D95647"/>
    <w:rsid w:val="00DB5CE9"/>
    <w:rsid w:val="00DC4089"/>
    <w:rsid w:val="00DD152F"/>
    <w:rsid w:val="00DE0025"/>
    <w:rsid w:val="00DE213F"/>
    <w:rsid w:val="00DF027C"/>
    <w:rsid w:val="00E00A32"/>
    <w:rsid w:val="00E03770"/>
    <w:rsid w:val="00E12896"/>
    <w:rsid w:val="00E14283"/>
    <w:rsid w:val="00E22ACD"/>
    <w:rsid w:val="00E36A71"/>
    <w:rsid w:val="00E620B0"/>
    <w:rsid w:val="00E678E1"/>
    <w:rsid w:val="00E67A9D"/>
    <w:rsid w:val="00E81B40"/>
    <w:rsid w:val="00EF2EA3"/>
    <w:rsid w:val="00EF555B"/>
    <w:rsid w:val="00F027BB"/>
    <w:rsid w:val="00F11DCF"/>
    <w:rsid w:val="00F162EA"/>
    <w:rsid w:val="00F21117"/>
    <w:rsid w:val="00F33158"/>
    <w:rsid w:val="00F3526A"/>
    <w:rsid w:val="00F4796C"/>
    <w:rsid w:val="00F52D27"/>
    <w:rsid w:val="00F5617F"/>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DB"/>
    <w:rsid w:val="00150B01"/>
    <w:rsid w:val="0089316A"/>
    <w:rsid w:val="008C16DB"/>
    <w:rsid w:val="008D5E86"/>
    <w:rsid w:val="009A171D"/>
    <w:rsid w:val="00AD338E"/>
    <w:rsid w:val="00BB2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197</TotalTime>
  <Pages>11</Pages>
  <Words>3196</Words>
  <Characters>18858</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37</cp:revision>
  <cp:lastPrinted>2006-08-01T17:47:00Z</cp:lastPrinted>
  <dcterms:created xsi:type="dcterms:W3CDTF">2022-02-16T21:14:00Z</dcterms:created>
  <dcterms:modified xsi:type="dcterms:W3CDTF">2022-03-25T09:57:00Z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