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02F4C0D8" wp14:editId="0296D40C">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733E2B"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AE1BEE">
        <w:rPr>
          <w:rFonts w:ascii="Tahoma" w:hAnsi="Tahoma" w:cs="Tahoma"/>
          <w:b/>
          <w:color w:val="000000" w:themeColor="text1"/>
          <w:sz w:val="32"/>
          <w:szCs w:val="20"/>
        </w:rPr>
        <w:t>EC</w:t>
      </w:r>
      <w:r w:rsidR="004D60BB">
        <w:rPr>
          <w:rFonts w:ascii="Tahoma" w:hAnsi="Tahoma" w:cs="Tahoma"/>
          <w:b/>
          <w:color w:val="000000" w:themeColor="text1"/>
          <w:sz w:val="32"/>
          <w:szCs w:val="20"/>
        </w:rPr>
        <w:t xml:space="preserve"> 2021</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AE1BEE" w:rsidRDefault="00AE1BEE" w:rsidP="00AE1BEE">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Zákon č. 286/2021 Sb., </w:t>
      </w:r>
      <w:r w:rsidRPr="00AE1BEE">
        <w:rPr>
          <w:rFonts w:ascii="Tahoma" w:hAnsi="Tahoma" w:cs="Tahoma"/>
          <w:color w:val="000000" w:themeColor="text1"/>
          <w:sz w:val="18"/>
          <w:szCs w:val="18"/>
        </w:rPr>
        <w:t>kterým se mění zákon č. 99/1963 Sb., občanský soudní řád, ve znění pozdějších předpisů, zákon č. 120/2001 Sb., o soudních exekutorech a exekuční činnosti (exekuční řád) a o změně dalších zákonů</w:t>
      </w:r>
    </w:p>
    <w:p w:rsidR="00AE1BEE" w:rsidRDefault="00AE1BEE" w:rsidP="00AE1BEE">
      <w:pPr>
        <w:pStyle w:val="Bezmezer"/>
        <w:numPr>
          <w:ilvl w:val="0"/>
          <w:numId w:val="1"/>
        </w:numPr>
        <w:spacing w:line="360" w:lineRule="auto"/>
        <w:jc w:val="both"/>
        <w:rPr>
          <w:rFonts w:ascii="Tahoma" w:hAnsi="Tahoma" w:cs="Tahoma"/>
          <w:color w:val="000000" w:themeColor="text1"/>
          <w:sz w:val="18"/>
          <w:szCs w:val="18"/>
        </w:rPr>
      </w:pPr>
      <w:r w:rsidRPr="00AE1BEE">
        <w:rPr>
          <w:rFonts w:ascii="Tahoma" w:hAnsi="Tahoma" w:cs="Tahoma"/>
          <w:color w:val="000000" w:themeColor="text1"/>
          <w:sz w:val="18"/>
          <w:szCs w:val="18"/>
        </w:rPr>
        <w:t>Zákon č. 283/2021 Sb.</w:t>
      </w:r>
      <w:r>
        <w:rPr>
          <w:rFonts w:ascii="Tahoma" w:hAnsi="Tahoma" w:cs="Tahoma"/>
          <w:color w:val="000000" w:themeColor="text1"/>
          <w:sz w:val="18"/>
          <w:szCs w:val="18"/>
        </w:rPr>
        <w:t xml:space="preserve">, </w:t>
      </w:r>
      <w:r w:rsidRPr="00AE1BEE">
        <w:rPr>
          <w:rFonts w:ascii="Tahoma" w:hAnsi="Tahoma" w:cs="Tahoma"/>
          <w:color w:val="000000" w:themeColor="text1"/>
          <w:sz w:val="18"/>
          <w:szCs w:val="18"/>
        </w:rPr>
        <w:t>stavební zákon</w:t>
      </w:r>
    </w:p>
    <w:p w:rsidR="00AE1BEE" w:rsidRPr="00AE1BEE" w:rsidRDefault="00AE1BEE" w:rsidP="00AE1BEE">
      <w:pPr>
        <w:pStyle w:val="Bezmezer"/>
        <w:numPr>
          <w:ilvl w:val="0"/>
          <w:numId w:val="1"/>
        </w:numPr>
        <w:spacing w:line="360" w:lineRule="auto"/>
        <w:jc w:val="both"/>
        <w:rPr>
          <w:rFonts w:ascii="Tahoma" w:hAnsi="Tahoma" w:cs="Tahoma"/>
          <w:color w:val="000000" w:themeColor="text1"/>
          <w:sz w:val="18"/>
          <w:szCs w:val="18"/>
        </w:rPr>
      </w:pPr>
      <w:r w:rsidRPr="00AE1BEE">
        <w:rPr>
          <w:rFonts w:ascii="Tahoma" w:hAnsi="Tahoma" w:cs="Tahoma"/>
          <w:color w:val="000000" w:themeColor="text1"/>
          <w:sz w:val="18"/>
          <w:szCs w:val="18"/>
        </w:rPr>
        <w:t>Zákon č. 284/2021 Sb.</w:t>
      </w:r>
      <w:r>
        <w:rPr>
          <w:rFonts w:ascii="Tahoma" w:hAnsi="Tahoma" w:cs="Tahoma"/>
          <w:color w:val="000000" w:themeColor="text1"/>
          <w:sz w:val="18"/>
          <w:szCs w:val="18"/>
        </w:rPr>
        <w:t xml:space="preserve">, </w:t>
      </w:r>
      <w:r w:rsidRPr="00AE1BEE">
        <w:rPr>
          <w:rFonts w:ascii="Tahoma" w:hAnsi="Tahoma" w:cs="Tahoma"/>
          <w:color w:val="000000" w:themeColor="text1"/>
          <w:sz w:val="18"/>
          <w:szCs w:val="18"/>
        </w:rPr>
        <w:t>kterým se mění některé zákony v souvislosti s přijetím stavebního zákona</w:t>
      </w:r>
    </w:p>
    <w:p w:rsidR="00877097" w:rsidRPr="00877097" w:rsidRDefault="00877097" w:rsidP="00877097">
      <w:pPr>
        <w:pStyle w:val="Bezmezer"/>
        <w:spacing w:line="360" w:lineRule="auto"/>
        <w:ind w:left="786"/>
        <w:jc w:val="both"/>
        <w:rPr>
          <w:rFonts w:ascii="Tahoma" w:hAnsi="Tahoma" w:cs="Tahoma"/>
          <w:i/>
          <w:color w:val="000000" w:themeColor="text1"/>
          <w:sz w:val="18"/>
          <w:szCs w:val="18"/>
        </w:rPr>
      </w:pPr>
    </w:p>
    <w:p w:rsidR="008D5292" w:rsidRPr="002C4C4F" w:rsidRDefault="002C4C4F" w:rsidP="00EE156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EE1562">
      <w:pPr>
        <w:pStyle w:val="Bezmezer"/>
        <w:spacing w:line="360" w:lineRule="auto"/>
        <w:ind w:left="1070"/>
        <w:jc w:val="both"/>
        <w:rPr>
          <w:rFonts w:ascii="Tahoma" w:hAnsi="Tahoma" w:cs="Tahoma"/>
          <w:color w:val="000000" w:themeColor="text1"/>
          <w:sz w:val="18"/>
          <w:szCs w:val="18"/>
        </w:rPr>
      </w:pPr>
    </w:p>
    <w:p w:rsidR="00661CF8" w:rsidRPr="005E6591" w:rsidRDefault="00661CF8" w:rsidP="00EE1562">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E267E1" w:rsidRDefault="00E267E1" w:rsidP="00877097">
      <w:pPr>
        <w:pStyle w:val="Odstavecseseznamem"/>
        <w:spacing w:line="360" w:lineRule="auto"/>
        <w:ind w:left="786"/>
        <w:jc w:val="both"/>
        <w:rPr>
          <w:rFonts w:ascii="Tahoma" w:hAnsi="Tahoma" w:cs="Tahoma"/>
          <w:color w:val="000000" w:themeColor="text1"/>
          <w:sz w:val="18"/>
          <w:szCs w:val="18"/>
        </w:rPr>
      </w:pPr>
    </w:p>
    <w:p w:rsidR="00877097" w:rsidRPr="00384A12" w:rsidRDefault="00877097" w:rsidP="00877097">
      <w:pPr>
        <w:pStyle w:val="Odstavecseseznamem"/>
        <w:spacing w:line="360" w:lineRule="auto"/>
        <w:ind w:left="786"/>
        <w:jc w:val="both"/>
        <w:rPr>
          <w:rFonts w:ascii="Tahoma" w:hAnsi="Tahoma" w:cs="Tahoma"/>
          <w:color w:val="000000" w:themeColor="text1"/>
          <w:sz w:val="18"/>
          <w:szCs w:val="18"/>
        </w:rPr>
      </w:pPr>
      <w:r>
        <w:rPr>
          <w:rFonts w:ascii="Tahoma" w:hAnsi="Tahoma" w:cs="Tahoma"/>
          <w:color w:val="000000" w:themeColor="text1"/>
          <w:sz w:val="18"/>
          <w:szCs w:val="18"/>
        </w:rPr>
        <w:t xml:space="preserve">Ve sledovaném období nebyly předloženy žádné výstupy s dopadem do procesů společnosti. </w:t>
      </w:r>
    </w:p>
    <w:p w:rsidR="004A3DCA" w:rsidRPr="008A3723" w:rsidRDefault="004A3DCA" w:rsidP="00EE1562">
      <w:pPr>
        <w:pStyle w:val="Bezmezer"/>
        <w:numPr>
          <w:ilvl w:val="0"/>
          <w:numId w:val="26"/>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877097" w:rsidRDefault="00AE1BEE" w:rsidP="00AE1BEE">
      <w:pPr>
        <w:pStyle w:val="Bezmezer"/>
        <w:numPr>
          <w:ilvl w:val="0"/>
          <w:numId w:val="1"/>
        </w:numPr>
        <w:spacing w:line="360" w:lineRule="auto"/>
        <w:jc w:val="both"/>
        <w:rPr>
          <w:rFonts w:ascii="Tahoma" w:hAnsi="Tahoma" w:cs="Tahoma"/>
          <w:color w:val="000000" w:themeColor="text1"/>
          <w:sz w:val="20"/>
          <w:szCs w:val="20"/>
        </w:rPr>
      </w:pPr>
      <w:r w:rsidRPr="00AE1BEE">
        <w:rPr>
          <w:rFonts w:ascii="Tahoma" w:hAnsi="Tahoma" w:cs="Tahoma"/>
          <w:color w:val="000000" w:themeColor="text1"/>
          <w:sz w:val="20"/>
          <w:szCs w:val="20"/>
        </w:rPr>
        <w:t>Směrnice EU o podávání zpráv podniků o udržitelnosti</w:t>
      </w:r>
    </w:p>
    <w:p w:rsidR="005201EC" w:rsidRDefault="005201EC" w:rsidP="00AE1BEE">
      <w:pPr>
        <w:pStyle w:val="Bezmezer"/>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zákona č. 155/1995 Sb., o důchodovém pojištění</w:t>
      </w:r>
    </w:p>
    <w:p w:rsidR="00AE1BEE" w:rsidRPr="00877097" w:rsidRDefault="00AE1BEE" w:rsidP="00AE1BEE">
      <w:pPr>
        <w:pStyle w:val="Bezmezer"/>
        <w:spacing w:line="360" w:lineRule="auto"/>
        <w:ind w:left="786"/>
        <w:jc w:val="both"/>
        <w:rPr>
          <w:rFonts w:ascii="Tahoma" w:hAnsi="Tahoma" w:cs="Tahoma"/>
          <w:color w:val="000000" w:themeColor="text1"/>
          <w:sz w:val="20"/>
          <w:szCs w:val="20"/>
        </w:rPr>
      </w:pPr>
    </w:p>
    <w:p w:rsidR="00020DD5" w:rsidRPr="00733E2B" w:rsidRDefault="00B57B76" w:rsidP="00733E2B">
      <w:pPr>
        <w:spacing w:line="360" w:lineRule="auto"/>
        <w:jc w:val="both"/>
        <w:rPr>
          <w:rFonts w:ascii="Tahoma" w:hAnsi="Tahoma" w:cs="Tahoma"/>
          <w:b/>
          <w:color w:val="000000" w:themeColor="text1"/>
          <w:sz w:val="20"/>
          <w:szCs w:val="20"/>
        </w:rPr>
      </w:pPr>
      <w:r w:rsidRPr="00733E2B">
        <w:rPr>
          <w:rFonts w:ascii="Tahoma" w:hAnsi="Tahoma" w:cs="Tahoma"/>
          <w:b/>
          <w:color w:val="000000" w:themeColor="text1"/>
          <w:sz w:val="20"/>
          <w:szCs w:val="20"/>
        </w:rPr>
        <w:t>III. Judikatura a stanoviska</w:t>
      </w:r>
    </w:p>
    <w:p w:rsidR="0030349B" w:rsidRPr="00AE1BEE" w:rsidRDefault="00AE1BEE" w:rsidP="00AE1BEE">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K námitce</w:t>
      </w:r>
      <w:r w:rsidRPr="00AE1BEE">
        <w:rPr>
          <w:rFonts w:ascii="Tahoma" w:hAnsi="Tahoma" w:cs="Tahoma"/>
          <w:color w:val="000000" w:themeColor="text1"/>
          <w:sz w:val="18"/>
          <w:szCs w:val="18"/>
        </w:rPr>
        <w:t xml:space="preserve"> promlčení nároku z neplatné spotřebitelské smlouvy</w:t>
      </w:r>
    </w:p>
    <w:p w:rsidR="00AE1BEE" w:rsidRPr="001F627B" w:rsidRDefault="00AE1BEE" w:rsidP="00AE1BEE">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Zrušení pracovního poměru ve zkušební době a nárok na vyplacení 12násobku průměrného výdělku</w:t>
      </w:r>
    </w:p>
    <w:p w:rsidR="001F627B" w:rsidRPr="001F627B" w:rsidRDefault="001F627B" w:rsidP="00AE1BEE">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K pandemii onemocnění COVID-19 jako důvodu hodného zvláštního zřetele při zrušení zadávacího řízení</w:t>
      </w:r>
    </w:p>
    <w:p w:rsidR="001F627B" w:rsidRPr="00AE1BEE" w:rsidRDefault="001F627B" w:rsidP="00AE1BEE">
      <w:pPr>
        <w:pStyle w:val="Odstavecseseznamem"/>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18"/>
          <w:szCs w:val="18"/>
        </w:rPr>
        <w:t>K požadavku na pracovněprávní poměr osob podílejících se na plnění veřejné zakázky</w:t>
      </w:r>
    </w:p>
    <w:p w:rsidR="00020DD5" w:rsidRDefault="00020DD5" w:rsidP="00FD66FD">
      <w:pPr>
        <w:pStyle w:val="Bezmezer"/>
        <w:spacing w:line="360" w:lineRule="auto"/>
        <w:jc w:val="both"/>
        <w:rPr>
          <w:rFonts w:ascii="Tahoma" w:hAnsi="Tahoma" w:cs="Tahoma"/>
          <w:color w:val="000000" w:themeColor="text1"/>
          <w:sz w:val="20"/>
          <w:szCs w:val="20"/>
        </w:rPr>
      </w:pPr>
    </w:p>
    <w:p w:rsidR="00020DD5" w:rsidRDefault="00020DD5" w:rsidP="00FD66FD">
      <w:pPr>
        <w:pStyle w:val="Bezmezer"/>
        <w:spacing w:line="360" w:lineRule="auto"/>
        <w:jc w:val="both"/>
        <w:rPr>
          <w:rFonts w:ascii="Tahoma" w:hAnsi="Tahoma" w:cs="Tahoma"/>
          <w:color w:val="000000" w:themeColor="text1"/>
          <w:sz w:val="20"/>
          <w:szCs w:val="20"/>
        </w:rPr>
      </w:pPr>
    </w:p>
    <w:p w:rsidR="00877097" w:rsidRDefault="00877097" w:rsidP="00FD66FD">
      <w:pPr>
        <w:pStyle w:val="Bezmezer"/>
        <w:spacing w:line="360" w:lineRule="auto"/>
        <w:jc w:val="both"/>
        <w:rPr>
          <w:rFonts w:ascii="Tahoma" w:hAnsi="Tahoma" w:cs="Tahoma"/>
          <w:color w:val="000000" w:themeColor="text1"/>
          <w:sz w:val="20"/>
          <w:szCs w:val="20"/>
        </w:rPr>
      </w:pPr>
    </w:p>
    <w:p w:rsidR="00407E45" w:rsidRDefault="00407E45" w:rsidP="00FD66FD">
      <w:pPr>
        <w:pStyle w:val="Bezmezer"/>
        <w:spacing w:line="360" w:lineRule="auto"/>
        <w:jc w:val="both"/>
        <w:rPr>
          <w:rFonts w:ascii="Tahoma" w:hAnsi="Tahoma" w:cs="Tahoma"/>
          <w:color w:val="000000" w:themeColor="text1"/>
          <w:sz w:val="20"/>
          <w:szCs w:val="20"/>
        </w:rPr>
      </w:pPr>
    </w:p>
    <w:p w:rsidR="00877097" w:rsidRDefault="00877097" w:rsidP="00FD66FD">
      <w:pPr>
        <w:pStyle w:val="Bezmezer"/>
        <w:spacing w:line="360" w:lineRule="auto"/>
        <w:jc w:val="both"/>
        <w:rPr>
          <w:rFonts w:ascii="Tahoma" w:hAnsi="Tahoma" w:cs="Tahoma"/>
          <w:color w:val="000000" w:themeColor="text1"/>
          <w:sz w:val="20"/>
          <w:szCs w:val="20"/>
        </w:rPr>
      </w:pPr>
    </w:p>
    <w:p w:rsidR="00AE1BEE" w:rsidRDefault="00AE1BEE" w:rsidP="00FD66FD">
      <w:pPr>
        <w:pStyle w:val="Bezmezer"/>
        <w:spacing w:line="360" w:lineRule="auto"/>
        <w:jc w:val="both"/>
        <w:rPr>
          <w:rFonts w:ascii="Tahoma" w:hAnsi="Tahoma" w:cs="Tahoma"/>
          <w:color w:val="000000" w:themeColor="text1"/>
          <w:sz w:val="20"/>
          <w:szCs w:val="20"/>
        </w:rPr>
      </w:pPr>
    </w:p>
    <w:p w:rsidR="008378A9" w:rsidRDefault="008378A9" w:rsidP="00FD66FD">
      <w:pPr>
        <w:pStyle w:val="Bezmezer"/>
        <w:spacing w:line="360" w:lineRule="auto"/>
        <w:jc w:val="both"/>
        <w:rPr>
          <w:rFonts w:ascii="Tahoma" w:hAnsi="Tahoma" w:cs="Tahoma"/>
          <w:color w:val="000000" w:themeColor="text1"/>
          <w:sz w:val="20"/>
          <w:szCs w:val="20"/>
        </w:rPr>
      </w:pPr>
    </w:p>
    <w:p w:rsidR="00AE1BEE" w:rsidRDefault="00AE1BEE" w:rsidP="00FD66FD">
      <w:pPr>
        <w:pStyle w:val="Bezmezer"/>
        <w:spacing w:line="360" w:lineRule="auto"/>
        <w:jc w:val="both"/>
        <w:rPr>
          <w:rFonts w:ascii="Tahoma" w:hAnsi="Tahoma" w:cs="Tahoma"/>
          <w:color w:val="000000" w:themeColor="text1"/>
          <w:sz w:val="20"/>
          <w:szCs w:val="20"/>
        </w:rPr>
      </w:pPr>
    </w:p>
    <w:p w:rsidR="00AE1BEE" w:rsidRDefault="00AE1BEE" w:rsidP="00FD66FD">
      <w:pPr>
        <w:pStyle w:val="Bezmezer"/>
        <w:spacing w:line="360" w:lineRule="auto"/>
        <w:jc w:val="both"/>
        <w:rPr>
          <w:rFonts w:ascii="Tahoma" w:hAnsi="Tahoma" w:cs="Tahoma"/>
          <w:color w:val="000000" w:themeColor="text1"/>
          <w:sz w:val="20"/>
          <w:szCs w:val="20"/>
        </w:rPr>
      </w:pPr>
    </w:p>
    <w:p w:rsidR="00865AA6" w:rsidRDefault="00865AA6" w:rsidP="00185FC5">
      <w:pPr>
        <w:pStyle w:val="Bezmezer"/>
        <w:numPr>
          <w:ilvl w:val="0"/>
          <w:numId w:val="29"/>
        </w:numPr>
        <w:shd w:val="clear" w:color="auto" w:fill="CCFFCC"/>
        <w:spacing w:line="360" w:lineRule="auto"/>
        <w:jc w:val="center"/>
        <w:rPr>
          <w:rFonts w:ascii="Tahoma" w:hAnsi="Tahoma" w:cs="Tahoma"/>
          <w:b/>
          <w:sz w:val="28"/>
          <w:szCs w:val="20"/>
        </w:rPr>
      </w:pPr>
      <w:r>
        <w:rPr>
          <w:rFonts w:ascii="Tahoma" w:hAnsi="Tahoma" w:cs="Tahoma"/>
          <w:b/>
          <w:sz w:val="28"/>
          <w:szCs w:val="20"/>
        </w:rPr>
        <w:t>Platné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865AA6" w:rsidRPr="009C449E" w:rsidRDefault="00AE1BEE" w:rsidP="00865AA6">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E1BEE">
        <w:rPr>
          <w:rStyle w:val="Hypertextovodkaz"/>
          <w:rFonts w:ascii="Tahoma" w:eastAsia="Times New Roman" w:hAnsi="Tahoma" w:cs="Tahoma"/>
          <w:b/>
          <w:bCs/>
          <w:color w:val="000000" w:themeColor="text1"/>
          <w:kern w:val="36"/>
          <w:sz w:val="24"/>
          <w:szCs w:val="24"/>
          <w:u w:val="none"/>
          <w:lang w:eastAsia="cs-CZ"/>
        </w:rPr>
        <w:t>Zákon č. 286/2021 Sb., kterým se mění zákon č. 99/1963 Sb., občanský soudní řád, ve znění pozdějších předpisů, zákon č. 120/2001 Sb., o soudních exekutorech a exekuční činnosti (exekuční řád) a o změně dalších zákonů</w:t>
      </w:r>
      <w:r w:rsidR="005201EC">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865AA6" w:rsidRDefault="00EE1562"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r w:rsidR="00AE1BEE">
        <w:rPr>
          <w:rStyle w:val="Hypertextovodkaz"/>
          <w:rFonts w:ascii="Tahoma" w:eastAsia="Times New Roman" w:hAnsi="Tahoma" w:cs="Tahoma"/>
          <w:bCs/>
          <w:color w:val="000000" w:themeColor="text1"/>
          <w:kern w:val="36"/>
          <w:sz w:val="20"/>
          <w:szCs w:val="20"/>
          <w:u w:val="none"/>
          <w:lang w:eastAsia="cs-CZ"/>
        </w:rPr>
        <w:t>1.1.2022 (s výjimkami)</w:t>
      </w:r>
    </w:p>
    <w:p w:rsidR="00EF6F9B" w:rsidRDefault="00EF6F9B" w:rsidP="00865AA6">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w:t>
      </w:r>
      <w:r w:rsidR="00877097">
        <w:rPr>
          <w:rStyle w:val="Hypertextovodkaz"/>
          <w:rFonts w:ascii="Tahoma" w:eastAsia="Times New Roman" w:hAnsi="Tahoma" w:cs="Tahoma"/>
          <w:bCs/>
          <w:color w:val="000000" w:themeColor="text1"/>
          <w:kern w:val="36"/>
          <w:sz w:val="20"/>
          <w:szCs w:val="20"/>
          <w:u w:val="none"/>
          <w:lang w:eastAsia="cs-CZ"/>
        </w:rPr>
        <w:t xml:space="preserve">30. </w:t>
      </w:r>
      <w:r w:rsidR="00157FD8">
        <w:rPr>
          <w:rStyle w:val="Hypertextovodkaz"/>
          <w:rFonts w:ascii="Tahoma" w:eastAsia="Times New Roman" w:hAnsi="Tahoma" w:cs="Tahoma"/>
          <w:bCs/>
          <w:color w:val="000000" w:themeColor="text1"/>
          <w:kern w:val="36"/>
          <w:sz w:val="20"/>
          <w:szCs w:val="20"/>
          <w:u w:val="none"/>
          <w:lang w:eastAsia="cs-CZ"/>
        </w:rPr>
        <w:t>7</w:t>
      </w:r>
      <w:r w:rsidR="00877097">
        <w:rPr>
          <w:rStyle w:val="Hypertextovodkaz"/>
          <w:rFonts w:ascii="Tahoma" w:eastAsia="Times New Roman" w:hAnsi="Tahoma" w:cs="Tahoma"/>
          <w:bCs/>
          <w:color w:val="000000" w:themeColor="text1"/>
          <w:kern w:val="36"/>
          <w:sz w:val="20"/>
          <w:szCs w:val="20"/>
          <w:u w:val="none"/>
          <w:lang w:eastAsia="cs-CZ"/>
        </w:rPr>
        <w:t xml:space="preserve">. </w:t>
      </w:r>
      <w:r w:rsidR="00EE1562">
        <w:rPr>
          <w:rStyle w:val="Hypertextovodkaz"/>
          <w:rFonts w:ascii="Tahoma" w:eastAsia="Times New Roman" w:hAnsi="Tahoma" w:cs="Tahoma"/>
          <w:bCs/>
          <w:color w:val="000000" w:themeColor="text1"/>
          <w:kern w:val="36"/>
          <w:sz w:val="20"/>
          <w:szCs w:val="20"/>
          <w:u w:val="none"/>
          <w:lang w:eastAsia="cs-CZ"/>
        </w:rPr>
        <w:t>2021</w:t>
      </w:r>
      <w:r>
        <w:rPr>
          <w:rStyle w:val="Hypertextovodkaz"/>
          <w:rFonts w:ascii="Tahoma" w:eastAsia="Times New Roman" w:hAnsi="Tahoma" w:cs="Tahoma"/>
          <w:bCs/>
          <w:color w:val="000000" w:themeColor="text1"/>
          <w:kern w:val="36"/>
          <w:sz w:val="20"/>
          <w:szCs w:val="20"/>
          <w:u w:val="none"/>
          <w:lang w:eastAsia="cs-CZ"/>
        </w:rPr>
        <w:t xml:space="preserve"> byl</w:t>
      </w:r>
      <w:r w:rsidR="00877097">
        <w:rPr>
          <w:rStyle w:val="Hypertextovodkaz"/>
          <w:rFonts w:ascii="Tahoma" w:eastAsia="Times New Roman" w:hAnsi="Tahoma" w:cs="Tahoma"/>
          <w:bCs/>
          <w:color w:val="000000" w:themeColor="text1"/>
          <w:kern w:val="36"/>
          <w:sz w:val="20"/>
          <w:szCs w:val="20"/>
          <w:u w:val="none"/>
          <w:lang w:eastAsia="cs-CZ"/>
        </w:rPr>
        <w:t>a</w:t>
      </w:r>
      <w:r>
        <w:rPr>
          <w:rStyle w:val="Hypertextovodkaz"/>
          <w:rFonts w:ascii="Tahoma" w:eastAsia="Times New Roman" w:hAnsi="Tahoma" w:cs="Tahoma"/>
          <w:bCs/>
          <w:color w:val="000000" w:themeColor="text1"/>
          <w:kern w:val="36"/>
          <w:sz w:val="20"/>
          <w:szCs w:val="20"/>
          <w:u w:val="none"/>
          <w:lang w:eastAsia="cs-CZ"/>
        </w:rPr>
        <w:t xml:space="preserve"> ve sbírce publikován</w:t>
      </w:r>
      <w:r w:rsidR="00877097">
        <w:rPr>
          <w:rStyle w:val="Hypertextovodkaz"/>
          <w:rFonts w:ascii="Tahoma" w:eastAsia="Times New Roman" w:hAnsi="Tahoma" w:cs="Tahoma"/>
          <w:bCs/>
          <w:color w:val="000000" w:themeColor="text1"/>
          <w:kern w:val="36"/>
          <w:sz w:val="20"/>
          <w:szCs w:val="20"/>
          <w:u w:val="none"/>
          <w:lang w:eastAsia="cs-CZ"/>
        </w:rPr>
        <w:t xml:space="preserve">a novela </w:t>
      </w:r>
      <w:r w:rsidR="00157FD8" w:rsidRPr="00157FD8">
        <w:rPr>
          <w:rStyle w:val="Hypertextovodkaz"/>
          <w:rFonts w:ascii="Tahoma" w:eastAsia="Times New Roman" w:hAnsi="Tahoma" w:cs="Tahoma"/>
          <w:bCs/>
          <w:color w:val="000000" w:themeColor="text1"/>
          <w:kern w:val="36"/>
          <w:sz w:val="20"/>
          <w:szCs w:val="20"/>
          <w:u w:val="none"/>
          <w:lang w:eastAsia="cs-CZ"/>
        </w:rPr>
        <w:t>č. 286/2021 Sb.</w:t>
      </w:r>
      <w:r w:rsidR="00877097">
        <w:rPr>
          <w:rStyle w:val="Hypertextovodkaz"/>
          <w:rFonts w:ascii="Tahoma" w:eastAsia="Times New Roman" w:hAnsi="Tahoma" w:cs="Tahoma"/>
          <w:bCs/>
          <w:color w:val="000000" w:themeColor="text1"/>
          <w:kern w:val="36"/>
          <w:sz w:val="20"/>
          <w:szCs w:val="20"/>
          <w:u w:val="none"/>
          <w:lang w:eastAsia="cs-CZ"/>
        </w:rPr>
        <w:t xml:space="preserve">, kterou se mění </w:t>
      </w:r>
      <w:r w:rsidR="00877097" w:rsidRPr="00877097">
        <w:rPr>
          <w:rStyle w:val="Hypertextovodkaz"/>
          <w:rFonts w:ascii="Tahoma" w:eastAsia="Times New Roman" w:hAnsi="Tahoma" w:cs="Tahoma"/>
          <w:bCs/>
          <w:color w:val="000000" w:themeColor="text1"/>
          <w:kern w:val="36"/>
          <w:sz w:val="20"/>
          <w:szCs w:val="20"/>
          <w:u w:val="none"/>
          <w:lang w:eastAsia="cs-CZ"/>
        </w:rPr>
        <w:t xml:space="preserve">zákon č. </w:t>
      </w:r>
      <w:r w:rsidR="00157FD8" w:rsidRPr="00157FD8">
        <w:rPr>
          <w:rStyle w:val="Hypertextovodkaz"/>
          <w:rFonts w:ascii="Tahoma" w:eastAsia="Times New Roman" w:hAnsi="Tahoma" w:cs="Tahoma"/>
          <w:bCs/>
          <w:color w:val="000000" w:themeColor="text1"/>
          <w:kern w:val="36"/>
          <w:sz w:val="20"/>
          <w:szCs w:val="20"/>
          <w:u w:val="none"/>
          <w:lang w:eastAsia="cs-CZ"/>
        </w:rPr>
        <w:t>zákon č. 99/1963 Sb., občanský soudní řád, ve znění pozdějších předpisů, zákon č. 120/2001 Sb., o soudních exekutorech a exekuční činnosti (exekuční řád) a o změně dalších zákonů</w:t>
      </w:r>
      <w:r w:rsidR="00157FD8">
        <w:rPr>
          <w:rStyle w:val="Hypertextovodkaz"/>
          <w:rFonts w:ascii="Tahoma" w:eastAsia="Times New Roman" w:hAnsi="Tahoma" w:cs="Tahoma"/>
          <w:bCs/>
          <w:color w:val="000000" w:themeColor="text1"/>
          <w:kern w:val="36"/>
          <w:sz w:val="20"/>
          <w:szCs w:val="20"/>
          <w:u w:val="none"/>
          <w:lang w:eastAsia="cs-CZ"/>
        </w:rPr>
        <w:t>.</w:t>
      </w:r>
    </w:p>
    <w:p w:rsidR="00157FD8" w:rsidRDefault="00157FD8"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57FD8" w:rsidRPr="00157FD8" w:rsidRDefault="00157FD8" w:rsidP="00157FD8">
      <w:pPr>
        <w:pStyle w:val="Bezmezer"/>
        <w:jc w:val="both"/>
        <w:rPr>
          <w:rStyle w:val="Hypertextovodkaz"/>
          <w:rFonts w:ascii="Tahoma" w:eastAsia="Times New Roman" w:hAnsi="Tahoma" w:cs="Tahoma"/>
          <w:bCs/>
          <w:color w:val="000000" w:themeColor="text1"/>
          <w:kern w:val="36"/>
          <w:sz w:val="20"/>
          <w:szCs w:val="20"/>
          <w:u w:val="none"/>
          <w:lang w:eastAsia="cs-CZ"/>
        </w:rPr>
      </w:pPr>
      <w:r w:rsidRPr="00157FD8">
        <w:rPr>
          <w:rStyle w:val="Hypertextovodkaz"/>
          <w:rFonts w:ascii="Tahoma" w:eastAsia="Times New Roman" w:hAnsi="Tahoma" w:cs="Tahoma"/>
          <w:bCs/>
          <w:color w:val="000000" w:themeColor="text1"/>
          <w:kern w:val="36"/>
          <w:sz w:val="20"/>
          <w:szCs w:val="20"/>
          <w:u w:val="none"/>
          <w:lang w:eastAsia="cs-CZ"/>
        </w:rPr>
        <w:t>Novela exekučního řádu přináší tyto hlavní změny:</w:t>
      </w:r>
    </w:p>
    <w:p w:rsidR="00157FD8" w:rsidRPr="00157FD8" w:rsidRDefault="00157FD8" w:rsidP="00157FD8">
      <w:pPr>
        <w:pStyle w:val="Bezmezer"/>
        <w:jc w:val="both"/>
        <w:rPr>
          <w:rStyle w:val="Hypertextovodkaz"/>
          <w:rFonts w:ascii="Tahoma" w:eastAsia="Times New Roman" w:hAnsi="Tahoma" w:cs="Tahoma"/>
          <w:bCs/>
          <w:color w:val="000000" w:themeColor="text1"/>
          <w:kern w:val="36"/>
          <w:sz w:val="20"/>
          <w:szCs w:val="20"/>
          <w:u w:val="none"/>
          <w:lang w:eastAsia="cs-CZ"/>
        </w:rPr>
      </w:pPr>
    </w:p>
    <w:p w:rsidR="00157FD8" w:rsidRDefault="00157FD8" w:rsidP="009D3BF0">
      <w:pPr>
        <w:pStyle w:val="Bezmezer"/>
        <w:numPr>
          <w:ilvl w:val="0"/>
          <w:numId w:val="46"/>
        </w:numPr>
        <w:jc w:val="both"/>
        <w:rPr>
          <w:rStyle w:val="Hypertextovodkaz"/>
          <w:rFonts w:ascii="Tahoma" w:eastAsia="Times New Roman" w:hAnsi="Tahoma" w:cs="Tahoma"/>
          <w:b/>
          <w:bCs/>
          <w:color w:val="000000" w:themeColor="text1"/>
          <w:kern w:val="36"/>
          <w:sz w:val="20"/>
          <w:szCs w:val="20"/>
          <w:u w:val="none"/>
          <w:lang w:eastAsia="cs-CZ"/>
        </w:rPr>
      </w:pPr>
      <w:r w:rsidRPr="00157FD8">
        <w:rPr>
          <w:rStyle w:val="Hypertextovodkaz"/>
          <w:rFonts w:ascii="Tahoma" w:eastAsia="Times New Roman" w:hAnsi="Tahoma" w:cs="Tahoma"/>
          <w:b/>
          <w:bCs/>
          <w:color w:val="000000" w:themeColor="text1"/>
          <w:kern w:val="36"/>
          <w:sz w:val="20"/>
          <w:szCs w:val="20"/>
          <w:u w:val="none"/>
          <w:lang w:eastAsia="cs-CZ"/>
        </w:rPr>
        <w:t xml:space="preserve">Automatické zastavení exekucí </w:t>
      </w:r>
      <w:r>
        <w:rPr>
          <w:rStyle w:val="Hypertextovodkaz"/>
          <w:rFonts w:ascii="Tahoma" w:eastAsia="Times New Roman" w:hAnsi="Tahoma" w:cs="Tahoma"/>
          <w:b/>
          <w:bCs/>
          <w:color w:val="000000" w:themeColor="text1"/>
          <w:kern w:val="36"/>
          <w:sz w:val="20"/>
          <w:szCs w:val="20"/>
          <w:u w:val="none"/>
          <w:lang w:eastAsia="cs-CZ"/>
        </w:rPr>
        <w:t>(</w:t>
      </w:r>
      <w:r w:rsidR="009D3BF0">
        <w:rPr>
          <w:rStyle w:val="Hypertextovodkaz"/>
          <w:rFonts w:ascii="Tahoma" w:eastAsia="Times New Roman" w:hAnsi="Tahoma" w:cs="Tahoma"/>
          <w:b/>
          <w:bCs/>
          <w:color w:val="000000" w:themeColor="text1"/>
          <w:kern w:val="36"/>
          <w:sz w:val="20"/>
          <w:szCs w:val="20"/>
          <w:u w:val="none"/>
          <w:lang w:eastAsia="cs-CZ"/>
        </w:rPr>
        <w:t>bez návrhu a bez souhlasu věřitele</w:t>
      </w:r>
      <w:r>
        <w:rPr>
          <w:rStyle w:val="Hypertextovodkaz"/>
          <w:rFonts w:ascii="Tahoma" w:eastAsia="Times New Roman" w:hAnsi="Tahoma" w:cs="Tahoma"/>
          <w:b/>
          <w:bCs/>
          <w:color w:val="000000" w:themeColor="text1"/>
          <w:kern w:val="36"/>
          <w:sz w:val="20"/>
          <w:szCs w:val="20"/>
          <w:u w:val="none"/>
          <w:lang w:eastAsia="cs-CZ"/>
        </w:rPr>
        <w:t xml:space="preserve">) </w:t>
      </w:r>
      <w:r w:rsidRPr="00157FD8">
        <w:rPr>
          <w:rStyle w:val="Hypertextovodkaz"/>
          <w:rFonts w:ascii="Tahoma" w:eastAsia="Times New Roman" w:hAnsi="Tahoma" w:cs="Tahoma"/>
          <w:b/>
          <w:bCs/>
          <w:color w:val="000000" w:themeColor="text1"/>
          <w:kern w:val="36"/>
          <w:sz w:val="20"/>
          <w:szCs w:val="20"/>
          <w:u w:val="none"/>
          <w:lang w:eastAsia="cs-CZ"/>
        </w:rPr>
        <w:t xml:space="preserve">zahájených vybranými věřiteli (především státní orgány, veřejné zdravotní pojišťovny, obce a kraje, ale i státní podniky a </w:t>
      </w:r>
      <w:r w:rsidRPr="00157FD8">
        <w:rPr>
          <w:rStyle w:val="Hypertextovodkaz"/>
          <w:rFonts w:ascii="Tahoma" w:eastAsia="Times New Roman" w:hAnsi="Tahoma" w:cs="Tahoma"/>
          <w:b/>
          <w:bCs/>
          <w:color w:val="000000" w:themeColor="text1"/>
          <w:kern w:val="36"/>
          <w:sz w:val="20"/>
          <w:szCs w:val="20"/>
          <w:lang w:eastAsia="cs-CZ"/>
        </w:rPr>
        <w:t>obchodní korporace, v niž má stát většinovou majetkovou účast – tj. i ČEPRO, a.s.</w:t>
      </w:r>
      <w:r>
        <w:rPr>
          <w:rStyle w:val="Hypertextovodkaz"/>
          <w:rFonts w:ascii="Tahoma" w:eastAsia="Times New Roman" w:hAnsi="Tahoma" w:cs="Tahoma"/>
          <w:b/>
          <w:bCs/>
          <w:color w:val="000000" w:themeColor="text1"/>
          <w:kern w:val="36"/>
          <w:sz w:val="20"/>
          <w:szCs w:val="20"/>
          <w:u w:val="none"/>
          <w:lang w:eastAsia="cs-CZ"/>
        </w:rPr>
        <w:t>), a to tehdy, p</w:t>
      </w:r>
      <w:r w:rsidRPr="00157FD8">
        <w:rPr>
          <w:rStyle w:val="Hypertextovodkaz"/>
          <w:rFonts w:ascii="Tahoma" w:eastAsia="Times New Roman" w:hAnsi="Tahoma" w:cs="Tahoma"/>
          <w:b/>
          <w:bCs/>
          <w:color w:val="000000" w:themeColor="text1"/>
          <w:kern w:val="36"/>
          <w:sz w:val="20"/>
          <w:szCs w:val="20"/>
          <w:u w:val="none"/>
          <w:lang w:eastAsia="cs-CZ"/>
        </w:rPr>
        <w:t xml:space="preserve">okud dlužník </w:t>
      </w:r>
      <w:r>
        <w:rPr>
          <w:rStyle w:val="Hypertextovodkaz"/>
          <w:rFonts w:ascii="Tahoma" w:eastAsia="Times New Roman" w:hAnsi="Tahoma" w:cs="Tahoma"/>
          <w:b/>
          <w:bCs/>
          <w:color w:val="000000" w:themeColor="text1"/>
          <w:kern w:val="36"/>
          <w:sz w:val="20"/>
          <w:szCs w:val="20"/>
          <w:u w:val="none"/>
          <w:lang w:eastAsia="cs-CZ"/>
        </w:rPr>
        <w:t>:</w:t>
      </w:r>
    </w:p>
    <w:p w:rsidR="00157FD8" w:rsidRPr="009D3BF0" w:rsidRDefault="00157FD8" w:rsidP="00157FD8">
      <w:pPr>
        <w:pStyle w:val="Bezmezer"/>
        <w:numPr>
          <w:ilvl w:val="0"/>
          <w:numId w:val="45"/>
        </w:numPr>
        <w:jc w:val="both"/>
        <w:rPr>
          <w:rStyle w:val="Hypertextovodkaz"/>
          <w:rFonts w:ascii="Tahoma" w:eastAsia="Times New Roman" w:hAnsi="Tahoma" w:cs="Tahoma"/>
          <w:bCs/>
          <w:color w:val="000000" w:themeColor="text1"/>
          <w:kern w:val="36"/>
          <w:sz w:val="20"/>
          <w:szCs w:val="20"/>
          <w:u w:val="none"/>
          <w:lang w:eastAsia="cs-CZ"/>
        </w:rPr>
      </w:pPr>
      <w:r w:rsidRPr="009D3BF0">
        <w:rPr>
          <w:rStyle w:val="Hypertextovodkaz"/>
          <w:rFonts w:ascii="Tahoma" w:eastAsia="Times New Roman" w:hAnsi="Tahoma" w:cs="Tahoma"/>
          <w:bCs/>
          <w:color w:val="000000" w:themeColor="text1"/>
          <w:kern w:val="36"/>
          <w:sz w:val="20"/>
          <w:szCs w:val="20"/>
          <w:u w:val="none"/>
          <w:lang w:eastAsia="cs-CZ"/>
        </w:rPr>
        <w:t xml:space="preserve">uhradí do tří měsíců ode dne nabytí účinnosti tohoto zákona nezaplacenou nebo jinak nezaniklou jistinu vymáhanou v exekučním řízení a na nákladech exekuce částku 750 Kč </w:t>
      </w:r>
    </w:p>
    <w:p w:rsidR="00157FD8" w:rsidRPr="009D3BF0" w:rsidRDefault="00157FD8" w:rsidP="00157FD8">
      <w:pPr>
        <w:pStyle w:val="Bezmezer"/>
        <w:ind w:left="1080"/>
        <w:jc w:val="both"/>
        <w:rPr>
          <w:rStyle w:val="Hypertextovodkaz"/>
          <w:rFonts w:ascii="Tahoma" w:eastAsia="Times New Roman" w:hAnsi="Tahoma" w:cs="Tahoma"/>
          <w:bCs/>
          <w:color w:val="000000" w:themeColor="text1"/>
          <w:kern w:val="36"/>
          <w:sz w:val="20"/>
          <w:szCs w:val="20"/>
          <w:u w:val="none"/>
          <w:lang w:eastAsia="cs-CZ"/>
        </w:rPr>
      </w:pPr>
    </w:p>
    <w:p w:rsidR="00157FD8" w:rsidRPr="009D3BF0" w:rsidRDefault="00157FD8" w:rsidP="00157FD8">
      <w:pPr>
        <w:pStyle w:val="Bezmezer"/>
        <w:ind w:left="1080"/>
        <w:jc w:val="both"/>
        <w:rPr>
          <w:rStyle w:val="Hypertextovodkaz"/>
          <w:rFonts w:ascii="Tahoma" w:eastAsia="Times New Roman" w:hAnsi="Tahoma" w:cs="Tahoma"/>
          <w:bCs/>
          <w:color w:val="000000" w:themeColor="text1"/>
          <w:kern w:val="36"/>
          <w:sz w:val="20"/>
          <w:szCs w:val="20"/>
          <w:u w:val="none"/>
          <w:lang w:eastAsia="cs-CZ"/>
        </w:rPr>
      </w:pPr>
      <w:r w:rsidRPr="009D3BF0">
        <w:rPr>
          <w:rStyle w:val="Hypertextovodkaz"/>
          <w:rFonts w:ascii="Tahoma" w:eastAsia="Times New Roman" w:hAnsi="Tahoma" w:cs="Tahoma"/>
          <w:bCs/>
          <w:color w:val="000000" w:themeColor="text1"/>
          <w:kern w:val="36"/>
          <w:sz w:val="20"/>
          <w:szCs w:val="20"/>
          <w:u w:val="none"/>
          <w:lang w:eastAsia="cs-CZ"/>
        </w:rPr>
        <w:t>nebo</w:t>
      </w:r>
    </w:p>
    <w:p w:rsidR="00157FD8" w:rsidRPr="009D3BF0" w:rsidRDefault="00157FD8" w:rsidP="00157FD8">
      <w:pPr>
        <w:pStyle w:val="Bezmezer"/>
        <w:ind w:left="1080"/>
        <w:jc w:val="both"/>
        <w:rPr>
          <w:rStyle w:val="Hypertextovodkaz"/>
          <w:rFonts w:ascii="Tahoma" w:eastAsia="Times New Roman" w:hAnsi="Tahoma" w:cs="Tahoma"/>
          <w:bCs/>
          <w:color w:val="000000" w:themeColor="text1"/>
          <w:kern w:val="36"/>
          <w:sz w:val="20"/>
          <w:szCs w:val="20"/>
          <w:u w:val="none"/>
          <w:lang w:eastAsia="cs-CZ"/>
        </w:rPr>
      </w:pPr>
    </w:p>
    <w:p w:rsidR="009D3BF0" w:rsidRPr="009D3BF0" w:rsidRDefault="00157FD8" w:rsidP="00157FD8">
      <w:pPr>
        <w:pStyle w:val="Bezmezer"/>
        <w:numPr>
          <w:ilvl w:val="0"/>
          <w:numId w:val="45"/>
        </w:numPr>
        <w:jc w:val="both"/>
        <w:rPr>
          <w:rStyle w:val="Hypertextovodkaz"/>
          <w:rFonts w:ascii="Tahoma" w:eastAsia="Times New Roman" w:hAnsi="Tahoma" w:cs="Tahoma"/>
          <w:bCs/>
          <w:color w:val="000000" w:themeColor="text1"/>
          <w:kern w:val="36"/>
          <w:sz w:val="20"/>
          <w:szCs w:val="20"/>
          <w:u w:val="none"/>
          <w:lang w:eastAsia="cs-CZ"/>
        </w:rPr>
      </w:pPr>
      <w:r w:rsidRPr="009D3BF0">
        <w:rPr>
          <w:rStyle w:val="Hypertextovodkaz"/>
          <w:rFonts w:ascii="Tahoma" w:eastAsia="Times New Roman" w:hAnsi="Tahoma" w:cs="Tahoma"/>
          <w:bCs/>
          <w:color w:val="000000" w:themeColor="text1"/>
          <w:kern w:val="36"/>
          <w:sz w:val="20"/>
          <w:szCs w:val="20"/>
          <w:u w:val="none"/>
          <w:lang w:eastAsia="cs-CZ"/>
        </w:rPr>
        <w:t>byla ke dni nabytí účinnosti tohoto zákona v exekučním řízení vymožena nejméně celá vymáhaná jistina a 750 Kč.</w:t>
      </w:r>
    </w:p>
    <w:p w:rsidR="009D3BF0" w:rsidRPr="009D3BF0" w:rsidRDefault="009D3BF0" w:rsidP="009D3BF0">
      <w:pPr>
        <w:pStyle w:val="Bezmezer"/>
        <w:ind w:left="1080"/>
        <w:jc w:val="both"/>
        <w:rPr>
          <w:rStyle w:val="Hypertextovodkaz"/>
          <w:rFonts w:ascii="Tahoma" w:eastAsia="Times New Roman" w:hAnsi="Tahoma" w:cs="Tahoma"/>
          <w:bCs/>
          <w:color w:val="000000" w:themeColor="text1"/>
          <w:kern w:val="36"/>
          <w:sz w:val="20"/>
          <w:szCs w:val="20"/>
          <w:u w:val="none"/>
          <w:lang w:eastAsia="cs-CZ"/>
        </w:rPr>
      </w:pPr>
    </w:p>
    <w:p w:rsidR="00157FD8" w:rsidRPr="009D3BF0" w:rsidRDefault="00157FD8" w:rsidP="009D3BF0">
      <w:pPr>
        <w:pStyle w:val="Bezmezer"/>
        <w:ind w:left="1080"/>
        <w:jc w:val="both"/>
        <w:rPr>
          <w:rStyle w:val="Hypertextovodkaz"/>
          <w:rFonts w:ascii="Tahoma" w:eastAsia="Times New Roman" w:hAnsi="Tahoma" w:cs="Tahoma"/>
          <w:bCs/>
          <w:color w:val="000000" w:themeColor="text1"/>
          <w:kern w:val="36"/>
          <w:sz w:val="20"/>
          <w:szCs w:val="20"/>
          <w:u w:val="none"/>
          <w:lang w:eastAsia="cs-CZ"/>
        </w:rPr>
      </w:pPr>
      <w:r w:rsidRPr="009D3BF0">
        <w:rPr>
          <w:rStyle w:val="Hypertextovodkaz"/>
          <w:rFonts w:ascii="Tahoma" w:eastAsia="Times New Roman" w:hAnsi="Tahoma" w:cs="Tahoma"/>
          <w:bCs/>
          <w:color w:val="000000" w:themeColor="text1"/>
          <w:kern w:val="36"/>
          <w:sz w:val="20"/>
          <w:szCs w:val="20"/>
          <w:u w:val="none"/>
          <w:lang w:eastAsia="cs-CZ"/>
        </w:rPr>
        <w:t xml:space="preserve">Nebyla-li exekuce ještě nařízena, exekutor zastaví exekuční řízení. Je-li exekuce vedena jen pro část jistiny, postupuje se podle ustanovení tohoto bodu přiměřeně a povinný může doplatit pouze nezaplacenou nebo jinak nezaniklou část jistiny vymáhané v exekučním řízení a na nákladech exekuce částku 750 Kč. Je-li exekuce vedena jen pro vymožení příslušenství vzniklého podle hmotného práva, má se za to, že celá jistina byla vymožena a postupuje se podle ustanovení tohoto bodu přiměřeně. </w:t>
      </w:r>
    </w:p>
    <w:p w:rsidR="009D3BF0" w:rsidRPr="00157FD8" w:rsidRDefault="009D3BF0" w:rsidP="009D3BF0">
      <w:pPr>
        <w:pStyle w:val="Bezmezer"/>
        <w:ind w:left="1080"/>
        <w:jc w:val="both"/>
        <w:rPr>
          <w:rStyle w:val="Hypertextovodkaz"/>
          <w:rFonts w:ascii="Tahoma" w:eastAsia="Times New Roman" w:hAnsi="Tahoma" w:cs="Tahoma"/>
          <w:b/>
          <w:bCs/>
          <w:color w:val="000000" w:themeColor="text1"/>
          <w:kern w:val="36"/>
          <w:sz w:val="20"/>
          <w:szCs w:val="20"/>
          <w:u w:val="none"/>
          <w:lang w:eastAsia="cs-CZ"/>
        </w:rPr>
      </w:pPr>
    </w:p>
    <w:p w:rsidR="00157FD8" w:rsidRDefault="00157FD8" w:rsidP="009D3BF0">
      <w:pPr>
        <w:pStyle w:val="Bezmezer"/>
        <w:numPr>
          <w:ilvl w:val="0"/>
          <w:numId w:val="46"/>
        </w:numPr>
        <w:jc w:val="both"/>
        <w:rPr>
          <w:rStyle w:val="Hypertextovodkaz"/>
          <w:rFonts w:ascii="Tahoma" w:eastAsia="Times New Roman" w:hAnsi="Tahoma" w:cs="Tahoma"/>
          <w:bCs/>
          <w:color w:val="000000" w:themeColor="text1"/>
          <w:kern w:val="36"/>
          <w:sz w:val="20"/>
          <w:szCs w:val="20"/>
          <w:u w:val="none"/>
          <w:lang w:eastAsia="cs-CZ"/>
        </w:rPr>
      </w:pPr>
      <w:r w:rsidRPr="00157FD8">
        <w:rPr>
          <w:rStyle w:val="Hypertextovodkaz"/>
          <w:rFonts w:ascii="Tahoma" w:eastAsia="Times New Roman" w:hAnsi="Tahoma" w:cs="Tahoma"/>
          <w:bCs/>
          <w:color w:val="000000" w:themeColor="text1"/>
          <w:kern w:val="36"/>
          <w:sz w:val="20"/>
          <w:szCs w:val="20"/>
          <w:u w:val="none"/>
          <w:lang w:eastAsia="cs-CZ"/>
        </w:rPr>
        <w:t>Umožní od 1. ledna 2022 zastavit exekuce, kde byl původní dluh maximálně 1500 korun a které dlužník nebyl schopen minimálně šest let splácet</w:t>
      </w:r>
      <w:r w:rsidR="00852DC1">
        <w:rPr>
          <w:rStyle w:val="Hypertextovodkaz"/>
          <w:rFonts w:ascii="Tahoma" w:eastAsia="Times New Roman" w:hAnsi="Tahoma" w:cs="Tahoma"/>
          <w:bCs/>
          <w:color w:val="000000" w:themeColor="text1"/>
          <w:kern w:val="36"/>
          <w:sz w:val="20"/>
          <w:szCs w:val="20"/>
          <w:u w:val="none"/>
          <w:lang w:eastAsia="cs-CZ"/>
        </w:rPr>
        <w:t xml:space="preserve"> (v návaznosti na požadavek věřitele bude možné prodloužit maximálně na 12 let)</w:t>
      </w:r>
      <w:r w:rsidRPr="00157FD8">
        <w:rPr>
          <w:rStyle w:val="Hypertextovodkaz"/>
          <w:rFonts w:ascii="Tahoma" w:eastAsia="Times New Roman" w:hAnsi="Tahoma" w:cs="Tahoma"/>
          <w:bCs/>
          <w:color w:val="000000" w:themeColor="text1"/>
          <w:kern w:val="36"/>
          <w:sz w:val="20"/>
          <w:szCs w:val="20"/>
          <w:u w:val="none"/>
          <w:lang w:eastAsia="cs-CZ"/>
        </w:rPr>
        <w:t xml:space="preserve">. Opatření bude platit se zpětnou účinností. A od ledna 2023 by se mohly zastavit i exekuce, kde byl původní dluh nad 1500 korun. V budoucnu by to tak mohlo zastavit skoro dva miliony exekucí ze současných 4,3 milionu. </w:t>
      </w:r>
    </w:p>
    <w:p w:rsidR="009D3BF0" w:rsidRDefault="009D3BF0" w:rsidP="009D3BF0">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9D3BF0" w:rsidRDefault="00157FD8" w:rsidP="00157FD8">
      <w:pPr>
        <w:pStyle w:val="Bezmezer"/>
        <w:numPr>
          <w:ilvl w:val="0"/>
          <w:numId w:val="46"/>
        </w:numPr>
        <w:jc w:val="both"/>
        <w:rPr>
          <w:rStyle w:val="Hypertextovodkaz"/>
          <w:rFonts w:ascii="Tahoma" w:eastAsia="Times New Roman" w:hAnsi="Tahoma" w:cs="Tahoma"/>
          <w:bCs/>
          <w:color w:val="000000" w:themeColor="text1"/>
          <w:kern w:val="36"/>
          <w:sz w:val="20"/>
          <w:szCs w:val="20"/>
          <w:u w:val="none"/>
          <w:lang w:eastAsia="cs-CZ"/>
        </w:rPr>
      </w:pPr>
      <w:r w:rsidRPr="00157FD8">
        <w:rPr>
          <w:rStyle w:val="Hypertextovodkaz"/>
          <w:rFonts w:ascii="Tahoma" w:eastAsia="Times New Roman" w:hAnsi="Tahoma" w:cs="Tahoma"/>
          <w:bCs/>
          <w:color w:val="000000" w:themeColor="text1"/>
          <w:kern w:val="36"/>
          <w:sz w:val="20"/>
          <w:szCs w:val="20"/>
          <w:u w:val="none"/>
          <w:lang w:eastAsia="cs-CZ"/>
        </w:rPr>
        <w:t>Dlužník bude moci přednost</w:t>
      </w:r>
      <w:r>
        <w:rPr>
          <w:rStyle w:val="Hypertextovodkaz"/>
          <w:rFonts w:ascii="Tahoma" w:eastAsia="Times New Roman" w:hAnsi="Tahoma" w:cs="Tahoma"/>
          <w:bCs/>
          <w:color w:val="000000" w:themeColor="text1"/>
          <w:kern w:val="36"/>
          <w:sz w:val="20"/>
          <w:szCs w:val="20"/>
          <w:u w:val="none"/>
          <w:lang w:eastAsia="cs-CZ"/>
        </w:rPr>
        <w:t>ně splácet svůj původní dluh.</w:t>
      </w:r>
      <w:r w:rsidRPr="00157FD8">
        <w:rPr>
          <w:rStyle w:val="Hypertextovodkaz"/>
          <w:rFonts w:ascii="Tahoma" w:eastAsia="Times New Roman" w:hAnsi="Tahoma" w:cs="Tahoma"/>
          <w:bCs/>
          <w:color w:val="000000" w:themeColor="text1"/>
          <w:kern w:val="36"/>
          <w:sz w:val="20"/>
          <w:szCs w:val="20"/>
          <w:u w:val="none"/>
          <w:lang w:eastAsia="cs-CZ"/>
        </w:rPr>
        <w:t xml:space="preserve"> Doposud jsou splátky dlužníků v exekuci započteny nejdříve na příslušenství dluhu, tedy na úroky, penále a náklady, a až poté na samotnou jistinu. </w:t>
      </w:r>
    </w:p>
    <w:p w:rsidR="009D3BF0" w:rsidRDefault="009D3BF0" w:rsidP="009D3BF0">
      <w:pPr>
        <w:pStyle w:val="Odstavecseseznamem"/>
        <w:rPr>
          <w:rStyle w:val="Hypertextovodkaz"/>
          <w:rFonts w:ascii="Tahoma" w:eastAsia="Times New Roman" w:hAnsi="Tahoma" w:cs="Tahoma"/>
          <w:bCs/>
          <w:color w:val="000000" w:themeColor="text1"/>
          <w:kern w:val="36"/>
          <w:sz w:val="20"/>
          <w:szCs w:val="20"/>
          <w:u w:val="none"/>
          <w:lang w:eastAsia="cs-CZ"/>
        </w:rPr>
      </w:pPr>
    </w:p>
    <w:p w:rsidR="00157FD8" w:rsidRDefault="009D3BF0" w:rsidP="00157FD8">
      <w:pPr>
        <w:pStyle w:val="Bezmezer"/>
        <w:numPr>
          <w:ilvl w:val="0"/>
          <w:numId w:val="46"/>
        </w:num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Ke změně dochází také v případě m</w:t>
      </w:r>
      <w:r w:rsidR="00157FD8" w:rsidRPr="009D3BF0">
        <w:rPr>
          <w:rStyle w:val="Hypertextovodkaz"/>
          <w:rFonts w:ascii="Tahoma" w:eastAsia="Times New Roman" w:hAnsi="Tahoma" w:cs="Tahoma"/>
          <w:bCs/>
          <w:color w:val="000000" w:themeColor="text1"/>
          <w:kern w:val="36"/>
          <w:sz w:val="20"/>
          <w:szCs w:val="20"/>
          <w:u w:val="none"/>
          <w:lang w:eastAsia="cs-CZ"/>
        </w:rPr>
        <w:t>obiliární</w:t>
      </w:r>
      <w:r>
        <w:rPr>
          <w:rStyle w:val="Hypertextovodkaz"/>
          <w:rFonts w:ascii="Tahoma" w:eastAsia="Times New Roman" w:hAnsi="Tahoma" w:cs="Tahoma"/>
          <w:bCs/>
          <w:color w:val="000000" w:themeColor="text1"/>
          <w:kern w:val="36"/>
          <w:sz w:val="20"/>
          <w:szCs w:val="20"/>
          <w:u w:val="none"/>
          <w:lang w:eastAsia="cs-CZ"/>
        </w:rPr>
        <w:t xml:space="preserve">ch exekucí, kdy dlužníkem je fyzická osoba. </w:t>
      </w:r>
      <w:r w:rsidR="00157FD8" w:rsidRPr="009D3BF0">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Dlužník může</w:t>
      </w:r>
      <w:r w:rsidR="00157FD8" w:rsidRPr="009D3BF0">
        <w:rPr>
          <w:rStyle w:val="Hypertextovodkaz"/>
          <w:rFonts w:ascii="Tahoma" w:eastAsia="Times New Roman" w:hAnsi="Tahoma" w:cs="Tahoma"/>
          <w:bCs/>
          <w:color w:val="000000" w:themeColor="text1"/>
          <w:kern w:val="36"/>
          <w:sz w:val="20"/>
          <w:szCs w:val="20"/>
          <w:u w:val="none"/>
          <w:lang w:eastAsia="cs-CZ"/>
        </w:rPr>
        <w:t xml:space="preserve"> odvrátit prodej movitých věcí v případě, že by nad rámec zákonných srážek z příjmu, kterými dluh </w:t>
      </w:r>
      <w:r>
        <w:rPr>
          <w:rStyle w:val="Hypertextovodkaz"/>
          <w:rFonts w:ascii="Tahoma" w:eastAsia="Times New Roman" w:hAnsi="Tahoma" w:cs="Tahoma"/>
          <w:bCs/>
          <w:color w:val="000000" w:themeColor="text1"/>
          <w:kern w:val="36"/>
          <w:sz w:val="20"/>
          <w:szCs w:val="20"/>
          <w:u w:val="none"/>
          <w:lang w:eastAsia="cs-CZ"/>
        </w:rPr>
        <w:t>umořuje, dobrovolně hradí</w:t>
      </w:r>
      <w:r w:rsidR="00157FD8" w:rsidRPr="009D3BF0">
        <w:rPr>
          <w:rStyle w:val="Hypertextovodkaz"/>
          <w:rFonts w:ascii="Tahoma" w:eastAsia="Times New Roman" w:hAnsi="Tahoma" w:cs="Tahoma"/>
          <w:bCs/>
          <w:color w:val="000000" w:themeColor="text1"/>
          <w:kern w:val="36"/>
          <w:sz w:val="20"/>
          <w:szCs w:val="20"/>
          <w:u w:val="none"/>
          <w:lang w:eastAsia="cs-CZ"/>
        </w:rPr>
        <w:t xml:space="preserve"> peníze navíc, a to od 1500 </w:t>
      </w:r>
      <w:r>
        <w:rPr>
          <w:rStyle w:val="Hypertextovodkaz"/>
          <w:rFonts w:ascii="Tahoma" w:eastAsia="Times New Roman" w:hAnsi="Tahoma" w:cs="Tahoma"/>
          <w:bCs/>
          <w:color w:val="000000" w:themeColor="text1"/>
          <w:kern w:val="36"/>
          <w:sz w:val="20"/>
          <w:szCs w:val="20"/>
          <w:u w:val="none"/>
          <w:lang w:eastAsia="cs-CZ"/>
        </w:rPr>
        <w:t>Kč.</w:t>
      </w:r>
    </w:p>
    <w:p w:rsidR="009D3BF0" w:rsidRDefault="009D3BF0" w:rsidP="009D3BF0">
      <w:pPr>
        <w:ind w:left="360"/>
        <w:rPr>
          <w:rStyle w:val="Hypertextovodkaz"/>
          <w:rFonts w:ascii="Tahoma" w:eastAsia="Times New Roman" w:hAnsi="Tahoma" w:cs="Tahoma"/>
          <w:bCs/>
          <w:color w:val="000000" w:themeColor="text1"/>
          <w:kern w:val="36"/>
          <w:sz w:val="20"/>
          <w:szCs w:val="20"/>
          <w:u w:val="none"/>
          <w:lang w:eastAsia="cs-CZ"/>
        </w:rPr>
      </w:pPr>
    </w:p>
    <w:p w:rsidR="009D3BF0" w:rsidRPr="009D3BF0" w:rsidRDefault="009D3BF0" w:rsidP="009D3BF0">
      <w:pPr>
        <w:ind w:left="360"/>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byla blíže předmětem monitoringu v květnu a srpnu 2019. V mezidobí však došlo k jejímu podstatnému přepracování. Exekutorská komora plánuje novelu napadnout u Ústavního soudu.</w:t>
      </w:r>
    </w:p>
    <w:p w:rsidR="009D3BF0" w:rsidRPr="009D3BF0" w:rsidRDefault="009D3BF0" w:rsidP="009D3BF0">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1D2881">
        <w:rPr>
          <w:rStyle w:val="Hypertextovodkaz"/>
          <w:rFonts w:ascii="Tahoma" w:eastAsia="Times New Roman" w:hAnsi="Tahoma" w:cs="Tahoma"/>
          <w:bCs/>
          <w:i/>
          <w:color w:val="000000" w:themeColor="text1"/>
          <w:kern w:val="36"/>
          <w:sz w:val="20"/>
          <w:szCs w:val="20"/>
          <w:u w:val="none"/>
          <w:lang w:eastAsia="cs-CZ"/>
        </w:rPr>
        <w:t xml:space="preserve">Na vědomí </w:t>
      </w:r>
      <w:r w:rsidR="002C7186">
        <w:rPr>
          <w:rStyle w:val="Hypertextovodkaz"/>
          <w:rFonts w:ascii="Tahoma" w:eastAsia="Times New Roman" w:hAnsi="Tahoma" w:cs="Tahoma"/>
          <w:bCs/>
          <w:i/>
          <w:color w:val="000000" w:themeColor="text1"/>
          <w:kern w:val="36"/>
          <w:sz w:val="20"/>
          <w:szCs w:val="20"/>
          <w:u w:val="none"/>
          <w:lang w:eastAsia="cs-CZ"/>
        </w:rPr>
        <w:t>POŘ</w:t>
      </w:r>
      <w:r w:rsidR="008F1158">
        <w:rPr>
          <w:rStyle w:val="Hypertextovodkaz"/>
          <w:rFonts w:ascii="Tahoma" w:eastAsia="Times New Roman" w:hAnsi="Tahoma" w:cs="Tahoma"/>
          <w:bCs/>
          <w:i/>
          <w:color w:val="000000" w:themeColor="text1"/>
          <w:kern w:val="36"/>
          <w:sz w:val="20"/>
          <w:szCs w:val="20"/>
          <w:u w:val="none"/>
          <w:lang w:eastAsia="cs-CZ"/>
        </w:rPr>
        <w:t>, OPS</w:t>
      </w:r>
      <w:r w:rsidR="002C7186">
        <w:rPr>
          <w:rStyle w:val="Hypertextovodkaz"/>
          <w:rFonts w:ascii="Tahoma" w:eastAsia="Times New Roman" w:hAnsi="Tahoma" w:cs="Tahoma"/>
          <w:bCs/>
          <w:i/>
          <w:color w:val="000000" w:themeColor="text1"/>
          <w:kern w:val="36"/>
          <w:sz w:val="20"/>
          <w:szCs w:val="20"/>
          <w:u w:val="none"/>
          <w:lang w:eastAsia="cs-CZ"/>
        </w:rPr>
        <w:t xml:space="preserve"> </w:t>
      </w:r>
      <w:r w:rsidR="009D3BF0">
        <w:rPr>
          <w:rStyle w:val="Hypertextovodkaz"/>
          <w:rFonts w:ascii="Tahoma" w:eastAsia="Times New Roman" w:hAnsi="Tahoma" w:cs="Tahoma"/>
          <w:bCs/>
          <w:i/>
          <w:color w:val="000000" w:themeColor="text1"/>
          <w:kern w:val="36"/>
          <w:sz w:val="20"/>
          <w:szCs w:val="20"/>
          <w:u w:val="none"/>
          <w:lang w:eastAsia="cs-CZ"/>
        </w:rPr>
        <w:t xml:space="preserve">a kreditnímu výboru. </w:t>
      </w:r>
    </w:p>
    <w:p w:rsidR="00EF6F9B" w:rsidRDefault="00EF6F9B" w:rsidP="00EF6F9B">
      <w:pPr>
        <w:rPr>
          <w:rFonts w:ascii="Arial" w:hAnsi="Arial" w:cs="Arial"/>
          <w:color w:val="1F497D"/>
        </w:rPr>
      </w:pPr>
    </w:p>
    <w:p w:rsidR="0056735F" w:rsidRPr="009C449E" w:rsidRDefault="009D3BF0" w:rsidP="0056735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D3BF0">
        <w:rPr>
          <w:rStyle w:val="Hypertextovodkaz"/>
          <w:rFonts w:ascii="Tahoma" w:eastAsia="Times New Roman" w:hAnsi="Tahoma" w:cs="Tahoma"/>
          <w:b/>
          <w:bCs/>
          <w:color w:val="000000" w:themeColor="text1"/>
          <w:kern w:val="36"/>
          <w:sz w:val="24"/>
          <w:szCs w:val="24"/>
          <w:u w:val="none"/>
          <w:lang w:eastAsia="cs-CZ"/>
        </w:rPr>
        <w:t>Zákon č. 283/2021 Sb., stavební zákon</w:t>
      </w:r>
      <w:r w:rsidR="00852DC1">
        <w:rPr>
          <w:rStyle w:val="Hypertextovodkaz"/>
          <w:rFonts w:ascii="Tahoma" w:eastAsia="Times New Roman" w:hAnsi="Tahoma" w:cs="Tahoma"/>
          <w:b/>
          <w:bCs/>
          <w:color w:val="000000" w:themeColor="text1"/>
          <w:kern w:val="36"/>
          <w:sz w:val="24"/>
          <w:szCs w:val="24"/>
          <w:u w:val="none"/>
          <w:lang w:eastAsia="cs-CZ"/>
        </w:rPr>
        <w:t xml:space="preserve"> a z</w:t>
      </w:r>
      <w:r w:rsidR="00852DC1" w:rsidRPr="00852DC1">
        <w:rPr>
          <w:rStyle w:val="Hypertextovodkaz"/>
          <w:rFonts w:ascii="Tahoma" w:eastAsia="Times New Roman" w:hAnsi="Tahoma" w:cs="Tahoma"/>
          <w:b/>
          <w:bCs/>
          <w:color w:val="000000" w:themeColor="text1"/>
          <w:kern w:val="36"/>
          <w:sz w:val="24"/>
          <w:szCs w:val="24"/>
          <w:u w:val="none"/>
          <w:lang w:eastAsia="cs-CZ"/>
        </w:rPr>
        <w:t>ákon č. 284/2021 Sb., kterým se mění některé zákony v souvislosti s přijetím stavebního zákona</w:t>
      </w:r>
      <w:r w:rsidR="005201EC">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Účinnost </w:t>
      </w:r>
      <w:r w:rsidR="007C2913">
        <w:rPr>
          <w:rStyle w:val="Hypertextovodkaz"/>
          <w:rFonts w:ascii="Tahoma" w:eastAsia="Times New Roman" w:hAnsi="Tahoma" w:cs="Tahoma"/>
          <w:bCs/>
          <w:color w:val="000000" w:themeColor="text1"/>
          <w:kern w:val="36"/>
          <w:sz w:val="20"/>
          <w:szCs w:val="20"/>
          <w:u w:val="none"/>
          <w:lang w:eastAsia="cs-CZ"/>
        </w:rPr>
        <w:t xml:space="preserve">1. 7. </w:t>
      </w:r>
      <w:r w:rsidR="009D3BF0">
        <w:rPr>
          <w:rStyle w:val="Hypertextovodkaz"/>
          <w:rFonts w:ascii="Tahoma" w:eastAsia="Times New Roman" w:hAnsi="Tahoma" w:cs="Tahoma"/>
          <w:bCs/>
          <w:color w:val="000000" w:themeColor="text1"/>
          <w:kern w:val="36"/>
          <w:sz w:val="20"/>
          <w:szCs w:val="20"/>
          <w:u w:val="none"/>
          <w:lang w:eastAsia="cs-CZ"/>
        </w:rPr>
        <w:t>2023</w:t>
      </w:r>
    </w:p>
    <w:p w:rsidR="0056735F" w:rsidRDefault="0056735F" w:rsidP="0056735F">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Dne 13. 7. 2021 Poslanecká sněmovna setrvala na vládním návrhu stavebního zákona a vládním návrhu změnového zákona, které dne 7. 7. 2021 zamítnul Senát.</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Návrh nového stavebního zákona byl schválen ve znění komplexního pozměňovacího návrhu hospodářského výboru.</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Dojde k vytvoření nové soustavy státní stavební správy, která je inspirována soustavou finanční správy. Ústředním správním úřadem bude Nejvyšší stavební úřad se sídlem v Ostravě, který bude nadřízeným správním orgánem Specializovaného a odvolacího stavebního úřadu.</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Specializovaný a odvolací stavební úřad bude vykonávat působnost stavebního úřadu ve věcech vyhrazených staveb (tj. dálnic, drah, významných energetických zařízení atd.) a staveb souvisejících s vyhrazenými stavbami a stavbami tvořícími s nimi soubor staveb, jež by jinak byly v působnosti krajského stavebního úřadu, a kontrolu ve věcech stavebního řádu. Specializovaný a odvolací stavební úřad bude nadřízeným správním orgánem krajských stavebních úřadů.</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Krajské stavební úřady budou vykonávat působnost prvoinstančního stavebního úřadu ve věcech staveb, u kterých nevykonává působnost Specializovaný a odvolací stavební úřad nebo jiný stavební úřad (Ministerstvo obrany, Ministerstvo vnitra a Ministerstvo spravedlnosti).</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Oproti původnímu vládnímu návrhu působnost ve věcech stavebního řádu nebudou nadále vykonávat obecní úřady obcí s rozšířenou působností.</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Návrhy usilují o integraci významné části dosavadních dotčených orgánů do stavebních úřadů. U většiny neintegrovaných dotčených orgánů se má změnit forma jejich závazného stanoviska na vyjádření. Velké množství povolovacích procesů se sloučí do jediného řízení o povolení stavby. Dojde tak ke zrušení duality územního a stavebního řízení.</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Má dojít ke komplexní digitalizaci stavební agendy od územně plánovacích dokumentací, přes digitální technickou mapu, projektové dokumentace staveb až po elektronický spis stavebních úřadů.</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V odvolacím řízení se zavádí apelační princip (nadřízený orgán rozhodnutí sám změní, nebude ho pouze rušit a věc vracet).</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Současný model výkonu působnosti v oblasti územního plánován zůstává zachován.</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Hlavní město Praha, statutární město Brno a statutární město Ostrava budou moci v přenesené působnosti vydat vlastní městské stavební předpisy (podrobné požadavky na vymezování pozemků, požadavky na umisťování staveb a technické požadavky na stavby).</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lastRenderedPageBreak/>
        <w:t>Význam nástrojů územního plánování má být posílen (oproti původnímu záměru se nemění forma územně plánovací dokumentace coby opatření obecné povahy na právní předpis). Vznikne územní rozvojový plán pro celé území státu.</w:t>
      </w:r>
    </w:p>
    <w:p w:rsidR="00852DC1" w:rsidRP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OPS průběžně monitorovalo legislativní proces kolem nového stavebního zákona. V návaznosti na implementované pozměňovací návrhy provede finální analýzu dopadů zákona do procesů společnosti. </w:t>
      </w:r>
    </w:p>
    <w:p w:rsidR="00852DC1" w:rsidRPr="0056735F" w:rsidRDefault="00852DC1" w:rsidP="00852DC1">
      <w:pPr>
        <w:pStyle w:val="Bezmezer"/>
        <w:jc w:val="both"/>
        <w:rPr>
          <w:rStyle w:val="Hypertextovodkaz"/>
          <w:rFonts w:ascii="Tahoma" w:eastAsia="Times New Roman" w:hAnsi="Tahoma" w:cs="Tahoma"/>
          <w:bCs/>
          <w:color w:val="000000" w:themeColor="text1"/>
          <w:kern w:val="36"/>
          <w:sz w:val="20"/>
          <w:szCs w:val="20"/>
          <w:u w:val="none"/>
          <w:lang w:eastAsia="cs-CZ"/>
        </w:rPr>
      </w:pPr>
    </w:p>
    <w:p w:rsidR="00852DC1" w:rsidRDefault="00852DC1" w:rsidP="00852DC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 xml:space="preserve">OPS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852DC1" w:rsidRDefault="00852DC1" w:rsidP="00852DC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852DC1" w:rsidRDefault="00852DC1" w:rsidP="00852DC1">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852DC1" w:rsidRPr="003F7FFC" w:rsidRDefault="00852DC1" w:rsidP="00852DC1">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Pr>
          <w:rStyle w:val="Hypertextovodkaz"/>
          <w:rFonts w:ascii="Tahoma" w:eastAsia="Times New Roman" w:hAnsi="Tahoma" w:cs="Tahoma"/>
          <w:bCs/>
          <w:i/>
          <w:color w:val="000000" w:themeColor="text1"/>
          <w:kern w:val="36"/>
          <w:sz w:val="20"/>
          <w:szCs w:val="20"/>
          <w:u w:val="none"/>
          <w:lang w:eastAsia="cs-CZ"/>
        </w:rPr>
        <w:t xml:space="preserve">OPS – Mgr. Pavel Císař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bookmarkStart w:id="0" w:name="_GoBack"/>
      <w:bookmarkEnd w:id="0"/>
      <w:proofErr w:type="gramStart"/>
      <w:r w:rsidR="008F1158" w:rsidRPr="005201EC">
        <w:rPr>
          <w:rStyle w:val="Hypertextovodkaz"/>
          <w:rFonts w:ascii="Tahoma" w:eastAsia="Times New Roman" w:hAnsi="Tahoma" w:cs="Tahoma"/>
          <w:b/>
          <w:bCs/>
          <w:i/>
          <w:color w:val="000000" w:themeColor="text1"/>
          <w:kern w:val="36"/>
          <w:sz w:val="20"/>
          <w:szCs w:val="20"/>
          <w:u w:val="none"/>
          <w:lang w:eastAsia="cs-CZ"/>
        </w:rPr>
        <w:t>31.10.2021</w:t>
      </w:r>
      <w:proofErr w:type="gramEnd"/>
    </w:p>
    <w:p w:rsidR="0056735F" w:rsidRDefault="0056735F" w:rsidP="0056735F">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EF6F9B" w:rsidRDefault="00EF6F9B" w:rsidP="00EF6F9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865AA6" w:rsidRPr="007F577D" w:rsidRDefault="00865AA6"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rsidR="00DD4232" w:rsidRDefault="00DD4232" w:rsidP="00185FC5">
      <w:pPr>
        <w:pStyle w:val="Bezmezer"/>
        <w:numPr>
          <w:ilvl w:val="0"/>
          <w:numId w:val="27"/>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384A12" w:rsidRPr="00384A12" w:rsidRDefault="007C2913" w:rsidP="007C2913">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7C2913">
        <w:rPr>
          <w:rStyle w:val="Hypertextovodkaz"/>
          <w:rFonts w:ascii="Tahoma" w:eastAsia="Times New Roman" w:hAnsi="Tahoma" w:cs="Tahoma"/>
          <w:bCs/>
          <w:color w:val="000000" w:themeColor="text1"/>
          <w:kern w:val="36"/>
          <w:sz w:val="20"/>
          <w:szCs w:val="20"/>
          <w:u w:val="none"/>
          <w:lang w:eastAsia="cs-CZ"/>
        </w:rPr>
        <w:t>Ve sledovaném období nebyly předloženy žádné výstupy s dopadem do procesů společnosti.</w:t>
      </w:r>
    </w:p>
    <w:p w:rsidR="00777425" w:rsidRPr="00384A12" w:rsidRDefault="00777425" w:rsidP="00217FEC">
      <w:pPr>
        <w:pStyle w:val="Bezmezer"/>
        <w:spacing w:line="276" w:lineRule="auto"/>
        <w:jc w:val="both"/>
        <w:rPr>
          <w:rStyle w:val="Hypertextovodkaz"/>
          <w:rFonts w:ascii="Tahoma" w:eastAsia="Times New Roman" w:hAnsi="Tahoma" w:cs="Tahoma"/>
          <w:b/>
          <w:bCs/>
          <w:color w:val="000000" w:themeColor="text1"/>
          <w:kern w:val="36"/>
          <w:sz w:val="20"/>
          <w:szCs w:val="20"/>
          <w:u w:val="none"/>
          <w:lang w:eastAsia="cs-CZ"/>
        </w:rPr>
      </w:pPr>
    </w:p>
    <w:p w:rsidR="004168DB" w:rsidRDefault="004168DB" w:rsidP="004B7992">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4168DB" w:rsidRPr="00DB40CC" w:rsidRDefault="004168DB" w:rsidP="004168DB">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 zadání</w:t>
      </w:r>
    </w:p>
    <w:p w:rsidR="00777425" w:rsidRDefault="00777425"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85FC5" w:rsidRDefault="00852DC1" w:rsidP="004168DB">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852DC1">
        <w:rPr>
          <w:rStyle w:val="Hypertextovodkaz"/>
          <w:rFonts w:ascii="Tahoma" w:eastAsia="Times New Roman" w:hAnsi="Tahoma" w:cs="Tahoma"/>
          <w:b/>
          <w:bCs/>
          <w:color w:val="000000" w:themeColor="text1"/>
          <w:kern w:val="36"/>
          <w:sz w:val="24"/>
          <w:szCs w:val="24"/>
          <w:u w:val="none"/>
          <w:lang w:eastAsia="cs-CZ"/>
        </w:rPr>
        <w:t>Směrnice EU o podávání zpráv podniků o udržitelnosti</w:t>
      </w:r>
      <w:r w:rsidR="005201EC">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185FC5" w:rsidRDefault="00185FC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tab/>
      </w:r>
      <w:r w:rsidRPr="00185FC5">
        <w:rPr>
          <w:rStyle w:val="Hypertextovodkaz"/>
          <w:rFonts w:ascii="Tahoma" w:eastAsia="Times New Roman" w:hAnsi="Tahoma" w:cs="Tahoma"/>
          <w:b/>
          <w:bCs/>
          <w:color w:val="000000" w:themeColor="text1"/>
          <w:kern w:val="36"/>
          <w:sz w:val="20"/>
          <w:szCs w:val="20"/>
          <w:u w:val="none"/>
          <w:lang w:eastAsia="cs-CZ"/>
        </w:rPr>
        <w:tab/>
      </w:r>
      <w:r w:rsidR="00852DC1" w:rsidRPr="00852DC1">
        <w:rPr>
          <w:rStyle w:val="Hypertextovodkaz"/>
          <w:rFonts w:ascii="Tahoma" w:eastAsia="Times New Roman" w:hAnsi="Tahoma" w:cs="Tahoma"/>
          <w:bCs/>
          <w:color w:val="000000" w:themeColor="text1"/>
          <w:kern w:val="36"/>
          <w:sz w:val="20"/>
          <w:szCs w:val="20"/>
          <w:u w:val="none"/>
          <w:lang w:eastAsia="cs-CZ"/>
        </w:rPr>
        <w:t>Document 52021PC0189</w:t>
      </w:r>
    </w:p>
    <w:p w:rsidR="00852DC1" w:rsidRPr="00185FC5" w:rsidRDefault="00852DC1"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852DC1">
        <w:rPr>
          <w:rStyle w:val="Hypertextovodkaz"/>
          <w:rFonts w:ascii="Tahoma" w:eastAsia="Times New Roman" w:hAnsi="Tahoma" w:cs="Tahoma"/>
          <w:bCs/>
          <w:color w:val="000000" w:themeColor="text1"/>
          <w:kern w:val="36"/>
          <w:sz w:val="20"/>
          <w:szCs w:val="20"/>
          <w:u w:val="none"/>
          <w:lang w:eastAsia="cs-CZ"/>
        </w:rPr>
        <w:t>Procedure 2021/0104/COD</w:t>
      </w:r>
    </w:p>
    <w:p w:rsidR="00185FC5" w:rsidRDefault="00852DC1"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přijat Evropskou komisí, postoupeno do legislativního procesu EU</w:t>
      </w:r>
    </w:p>
    <w:p w:rsidR="00852DC1" w:rsidRDefault="00852DC1"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07E45" w:rsidRDefault="00407E45" w:rsidP="00185FC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07E45" w:rsidRP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w:t>
      </w:r>
      <w:r w:rsidRPr="00407E45">
        <w:rPr>
          <w:rStyle w:val="Hypertextovodkaz"/>
          <w:rFonts w:ascii="Tahoma" w:eastAsia="Times New Roman" w:hAnsi="Tahoma" w:cs="Tahoma"/>
          <w:bCs/>
          <w:color w:val="000000" w:themeColor="text1"/>
          <w:kern w:val="36"/>
          <w:sz w:val="20"/>
          <w:szCs w:val="20"/>
          <w:u w:val="none"/>
          <w:lang w:eastAsia="cs-CZ"/>
        </w:rPr>
        <w:t xml:space="preserve">vropská komise představila návrh směrnice upravující povinnost firem reportovat data týkající se udržitelnosti - Corporate Sustainability Reporting Directive (CSRD). Tato směrnice by měla nahradit Směrnici o nefinančním reportingu z roku 2014 (Směrnice 2014/95/EU - NFRD). Ta je v současné době zohledněna v zákoně o účetnictví a zákoně o podnikání na kapitálovém trhu, kde jsou definovány požadavky na reportování nefinančních údajů, jako je například dopad na životní prostředí či sociální a zaměstnanecké otázky. </w:t>
      </w:r>
    </w:p>
    <w:p w:rsidR="00407E45" w:rsidRP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p>
    <w:p w:rsidR="00407E45" w:rsidRP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r w:rsidRPr="00407E45">
        <w:rPr>
          <w:rStyle w:val="Hypertextovodkaz"/>
          <w:rFonts w:ascii="Tahoma" w:eastAsia="Times New Roman" w:hAnsi="Tahoma" w:cs="Tahoma"/>
          <w:bCs/>
          <w:color w:val="000000" w:themeColor="text1"/>
          <w:kern w:val="36"/>
          <w:sz w:val="20"/>
          <w:szCs w:val="20"/>
          <w:u w:val="none"/>
          <w:lang w:eastAsia="cs-CZ"/>
        </w:rPr>
        <w:t>Povinnost</w:t>
      </w:r>
      <w:r>
        <w:rPr>
          <w:rStyle w:val="Hypertextovodkaz"/>
          <w:rFonts w:ascii="Tahoma" w:eastAsia="Times New Roman" w:hAnsi="Tahoma" w:cs="Tahoma"/>
          <w:bCs/>
          <w:color w:val="000000" w:themeColor="text1"/>
          <w:kern w:val="36"/>
          <w:sz w:val="20"/>
          <w:szCs w:val="20"/>
          <w:u w:val="none"/>
          <w:lang w:eastAsia="cs-CZ"/>
        </w:rPr>
        <w:t xml:space="preserve"> ohledně nefinančního reportingu v případě schválení dopadne na více společnosti. </w:t>
      </w:r>
      <w:r w:rsidRPr="00407E45">
        <w:rPr>
          <w:rStyle w:val="Hypertextovodkaz"/>
          <w:rFonts w:ascii="Tahoma" w:eastAsia="Times New Roman" w:hAnsi="Tahoma" w:cs="Tahoma"/>
          <w:bCs/>
          <w:color w:val="000000" w:themeColor="text1"/>
          <w:kern w:val="36"/>
          <w:sz w:val="20"/>
          <w:szCs w:val="20"/>
          <w:u w:val="none"/>
          <w:lang w:eastAsia="cs-CZ"/>
        </w:rPr>
        <w:t xml:space="preserve"> Půjde například o data o dopadech, strategiích a cílech s ohledem na dekarbonizaci ekonomiky.</w:t>
      </w:r>
    </w:p>
    <w:p w:rsidR="00407E45" w:rsidRP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p>
    <w:p w:rsid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Směrnice přinese konkrétně tyto změny:</w:t>
      </w:r>
    </w:p>
    <w:p w:rsid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p>
    <w:p w:rsidR="00407E45" w:rsidRPr="00407E45" w:rsidRDefault="00407E45" w:rsidP="00407E45">
      <w:pPr>
        <w:pStyle w:val="Odstavecseseznamem"/>
        <w:numPr>
          <w:ilvl w:val="0"/>
          <w:numId w:val="48"/>
        </w:numPr>
        <w:spacing w:after="0" w:line="240" w:lineRule="auto"/>
        <w:jc w:val="both"/>
        <w:textAlignment w:val="baseline"/>
        <w:rPr>
          <w:rFonts w:ascii="Tahoma" w:eastAsia="Times New Roman" w:hAnsi="Tahoma" w:cs="Tahoma"/>
          <w:color w:val="3A3A3A"/>
          <w:sz w:val="20"/>
          <w:szCs w:val="20"/>
          <w:lang w:eastAsia="cs-CZ"/>
        </w:rPr>
      </w:pPr>
      <w:r w:rsidRPr="00407E45">
        <w:rPr>
          <w:rFonts w:ascii="Tahoma" w:eastAsia="Times New Roman" w:hAnsi="Tahoma" w:cs="Tahoma"/>
          <w:color w:val="3A3A3A"/>
          <w:sz w:val="20"/>
          <w:szCs w:val="20"/>
          <w:lang w:eastAsia="cs-CZ"/>
        </w:rPr>
        <w:t>Působnost směrnice je rozšířena na velké společnosti nad 250 zaměstnanců. Ze stávajících 25 korporací v Česku, kterých se povinnost týkala, naroste po reformě jejich počet na více než tisíc.</w:t>
      </w:r>
    </w:p>
    <w:p w:rsidR="00407E45" w:rsidRPr="00407E45" w:rsidRDefault="00407E45" w:rsidP="00407E45">
      <w:pPr>
        <w:pStyle w:val="Odstavecseseznamem"/>
        <w:numPr>
          <w:ilvl w:val="0"/>
          <w:numId w:val="48"/>
        </w:numPr>
        <w:spacing w:after="0" w:line="240" w:lineRule="auto"/>
        <w:jc w:val="both"/>
        <w:textAlignment w:val="baseline"/>
        <w:rPr>
          <w:rFonts w:ascii="Tahoma" w:eastAsia="Times New Roman" w:hAnsi="Tahoma" w:cs="Tahoma"/>
          <w:color w:val="3A3A3A"/>
          <w:sz w:val="20"/>
          <w:szCs w:val="20"/>
          <w:lang w:eastAsia="cs-CZ"/>
        </w:rPr>
      </w:pPr>
      <w:r w:rsidRPr="00407E45">
        <w:rPr>
          <w:rFonts w:ascii="Tahoma" w:eastAsia="Times New Roman" w:hAnsi="Tahoma" w:cs="Tahoma"/>
          <w:b/>
          <w:bCs/>
          <w:color w:val="3A3A3A"/>
          <w:sz w:val="20"/>
          <w:szCs w:val="20"/>
          <w:bdr w:val="none" w:sz="0" w:space="0" w:color="auto" w:frame="1"/>
          <w:lang w:eastAsia="cs-CZ"/>
        </w:rPr>
        <w:t> </w:t>
      </w:r>
      <w:r w:rsidRPr="00407E45">
        <w:rPr>
          <w:rFonts w:ascii="Tahoma" w:eastAsia="Times New Roman" w:hAnsi="Tahoma" w:cs="Tahoma"/>
          <w:color w:val="3A3A3A"/>
          <w:sz w:val="20"/>
          <w:szCs w:val="20"/>
          <w:lang w:eastAsia="cs-CZ"/>
        </w:rPr>
        <w:t xml:space="preserve">Dochází k detailnějšímu vyjasnění klíčových oblastí pro reporting a zásadních dat. Jde například o kritéria pro zveřejňování tzv. “forward-looking information”, tedy informací o posouzení dlouhodobých rizik  a nastavení strategií a cílů pro jejich řešení a to zejména v </w:t>
      </w:r>
      <w:r w:rsidRPr="00407E45">
        <w:rPr>
          <w:rFonts w:ascii="Tahoma" w:eastAsia="Times New Roman" w:hAnsi="Tahoma" w:cs="Tahoma"/>
          <w:color w:val="3A3A3A"/>
          <w:sz w:val="20"/>
          <w:szCs w:val="20"/>
          <w:lang w:eastAsia="cs-CZ"/>
        </w:rPr>
        <w:lastRenderedPageBreak/>
        <w:t>oblasti změny klimatu. Bude také vyžadován popis, jak je udržitelnost řízena a integrována do obchodní strategie.</w:t>
      </w:r>
    </w:p>
    <w:p w:rsidR="00407E45" w:rsidRPr="00407E45" w:rsidRDefault="00407E45" w:rsidP="00407E45">
      <w:pPr>
        <w:pStyle w:val="Odstavecseseznamem"/>
        <w:numPr>
          <w:ilvl w:val="0"/>
          <w:numId w:val="48"/>
        </w:numPr>
        <w:spacing w:after="0" w:line="240" w:lineRule="auto"/>
        <w:jc w:val="both"/>
        <w:textAlignment w:val="baseline"/>
        <w:rPr>
          <w:rFonts w:ascii="Tahoma" w:eastAsia="Times New Roman" w:hAnsi="Tahoma" w:cs="Tahoma"/>
          <w:color w:val="3A3A3A"/>
          <w:sz w:val="20"/>
          <w:szCs w:val="20"/>
          <w:lang w:eastAsia="cs-CZ"/>
        </w:rPr>
      </w:pPr>
      <w:r w:rsidRPr="00407E45">
        <w:rPr>
          <w:rFonts w:ascii="Tahoma" w:eastAsia="Times New Roman" w:hAnsi="Tahoma" w:cs="Tahoma"/>
          <w:color w:val="3A3A3A"/>
          <w:sz w:val="20"/>
          <w:szCs w:val="20"/>
          <w:lang w:eastAsia="cs-CZ"/>
        </w:rPr>
        <w:t>Směrnice také zakotvuje vytvoření EU standardů reportingu pro firmy, které by měly zajistit jasná vodítka pro zveřejňování klíčových informací. To sníží nynější administrativní zátěž firem.</w:t>
      </w:r>
    </w:p>
    <w:p w:rsidR="00407E45" w:rsidRPr="00407E45" w:rsidRDefault="00407E45" w:rsidP="00407E45">
      <w:pPr>
        <w:spacing w:after="0" w:line="240" w:lineRule="auto"/>
        <w:jc w:val="both"/>
        <w:textAlignment w:val="baseline"/>
        <w:rPr>
          <w:rFonts w:ascii="Tahoma" w:eastAsia="Times New Roman" w:hAnsi="Tahoma" w:cs="Tahoma"/>
          <w:color w:val="3A3A3A"/>
          <w:sz w:val="20"/>
          <w:szCs w:val="20"/>
          <w:lang w:eastAsia="cs-CZ"/>
        </w:rPr>
      </w:pPr>
    </w:p>
    <w:p w:rsidR="00407E45" w:rsidRPr="00407E45" w:rsidRDefault="00407E45" w:rsidP="00407E45">
      <w:pPr>
        <w:spacing w:after="0" w:line="240" w:lineRule="auto"/>
        <w:jc w:val="both"/>
        <w:textAlignment w:val="baseline"/>
        <w:rPr>
          <w:rFonts w:ascii="Tahoma" w:eastAsia="Times New Roman" w:hAnsi="Tahoma" w:cs="Tahoma"/>
          <w:color w:val="3A3A3A"/>
          <w:sz w:val="20"/>
          <w:szCs w:val="20"/>
          <w:lang w:eastAsia="cs-CZ"/>
        </w:rPr>
      </w:pPr>
      <w:r w:rsidRPr="00407E45">
        <w:rPr>
          <w:rFonts w:ascii="Tahoma" w:eastAsia="Times New Roman" w:hAnsi="Tahoma" w:cs="Tahoma"/>
          <w:color w:val="3A3A3A"/>
          <w:sz w:val="20"/>
          <w:szCs w:val="20"/>
          <w:lang w:eastAsia="cs-CZ"/>
        </w:rPr>
        <w:t>K návrhu směrnice se nyní budou vyjadřovat členské státy a Evropský parlament. Její přijetí se očekává </w:t>
      </w:r>
      <w:r w:rsidR="008F1158">
        <w:rPr>
          <w:rFonts w:ascii="Tahoma" w:eastAsia="Times New Roman" w:hAnsi="Tahoma" w:cs="Tahoma"/>
          <w:b/>
          <w:bCs/>
          <w:color w:val="3A3A3A"/>
          <w:sz w:val="20"/>
          <w:szCs w:val="20"/>
          <w:bdr w:val="none" w:sz="0" w:space="0" w:color="auto" w:frame="1"/>
          <w:lang w:eastAsia="cs-CZ"/>
        </w:rPr>
        <w:t>v první polovině roku 202</w:t>
      </w:r>
      <w:r w:rsidRPr="00407E45">
        <w:rPr>
          <w:rFonts w:ascii="Tahoma" w:eastAsia="Times New Roman" w:hAnsi="Tahoma" w:cs="Tahoma"/>
          <w:b/>
          <w:bCs/>
          <w:color w:val="3A3A3A"/>
          <w:sz w:val="20"/>
          <w:szCs w:val="20"/>
          <w:bdr w:val="none" w:sz="0" w:space="0" w:color="auto" w:frame="1"/>
          <w:lang w:eastAsia="cs-CZ"/>
        </w:rPr>
        <w:t>2</w:t>
      </w:r>
      <w:r w:rsidRPr="00407E45">
        <w:rPr>
          <w:rFonts w:ascii="Tahoma" w:eastAsia="Times New Roman" w:hAnsi="Tahoma" w:cs="Tahoma"/>
          <w:color w:val="3A3A3A"/>
          <w:sz w:val="20"/>
          <w:szCs w:val="20"/>
          <w:lang w:eastAsia="cs-CZ"/>
        </w:rPr>
        <w:t>. Firmy by se podle nových pravidel měly řídit při zpracovávání reportů za rok 2023.</w:t>
      </w:r>
    </w:p>
    <w:p w:rsidR="00407E45" w:rsidRPr="00407E45" w:rsidRDefault="00407E45" w:rsidP="00407E45">
      <w:pPr>
        <w:pStyle w:val="Bezmezer"/>
        <w:jc w:val="both"/>
        <w:rPr>
          <w:rStyle w:val="Hypertextovodkaz"/>
          <w:rFonts w:ascii="Tahoma" w:eastAsia="Times New Roman" w:hAnsi="Tahoma" w:cs="Tahoma"/>
          <w:bCs/>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407E45">
        <w:rPr>
          <w:rStyle w:val="Hypertextovodkaz"/>
          <w:rFonts w:ascii="Tahoma" w:eastAsia="Times New Roman" w:hAnsi="Tahoma" w:cs="Tahoma"/>
          <w:bCs/>
          <w:i/>
          <w:color w:val="000000" w:themeColor="text1"/>
          <w:kern w:val="36"/>
          <w:sz w:val="20"/>
          <w:szCs w:val="20"/>
          <w:u w:val="none"/>
          <w:lang w:eastAsia="cs-CZ"/>
        </w:rPr>
        <w:t xml:space="preserve">OPS bude sledovat legislativní proces v EU. Po finálním schválení směrnice provede analýzu implementace směrnice do české právní úpravy. </w:t>
      </w:r>
      <w:r>
        <w:rPr>
          <w:rStyle w:val="Hypertextovodkaz"/>
          <w:rFonts w:ascii="Tahoma" w:eastAsia="Times New Roman" w:hAnsi="Tahoma" w:cs="Tahoma"/>
          <w:bCs/>
          <w:i/>
          <w:color w:val="000000" w:themeColor="text1"/>
          <w:kern w:val="36"/>
          <w:sz w:val="20"/>
          <w:szCs w:val="20"/>
          <w:u w:val="none"/>
          <w:lang w:eastAsia="cs-CZ"/>
        </w:rPr>
        <w:t xml:space="preserve"> </w:t>
      </w: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Default="000959B4" w:rsidP="000959B4">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0959B4" w:rsidRPr="003F7FFC" w:rsidRDefault="000959B4" w:rsidP="000959B4">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r w:rsidR="00407E45">
        <w:rPr>
          <w:rStyle w:val="Hypertextovodkaz"/>
          <w:rFonts w:ascii="Tahoma" w:eastAsia="Times New Roman" w:hAnsi="Tahoma" w:cs="Tahoma"/>
          <w:bCs/>
          <w:i/>
          <w:color w:val="000000" w:themeColor="text1"/>
          <w:kern w:val="36"/>
          <w:sz w:val="20"/>
          <w:szCs w:val="20"/>
          <w:u w:val="none"/>
          <w:lang w:eastAsia="cs-CZ"/>
        </w:rPr>
        <w:t>OPS – Mgr. Pavel Císař</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sidR="00407E45">
        <w:rPr>
          <w:rStyle w:val="Hypertextovodkaz"/>
          <w:rFonts w:ascii="Tahoma" w:eastAsia="Times New Roman" w:hAnsi="Tahoma" w:cs="Tahoma"/>
          <w:b/>
          <w:bCs/>
          <w:i/>
          <w:color w:val="000000" w:themeColor="text1"/>
          <w:kern w:val="36"/>
          <w:sz w:val="20"/>
          <w:szCs w:val="20"/>
          <w:u w:val="none"/>
          <w:lang w:eastAsia="cs-CZ"/>
        </w:rPr>
        <w:t>31. 12. 2021</w:t>
      </w:r>
    </w:p>
    <w:p w:rsidR="00976DB0" w:rsidRDefault="00976DB0" w:rsidP="00185FC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5201EC">
      <w:pPr>
        <w:pStyle w:val="Bezmezer"/>
        <w:spacing w:line="360" w:lineRule="auto"/>
        <w:jc w:val="both"/>
        <w:rPr>
          <w:rFonts w:ascii="Tahoma" w:hAnsi="Tahoma" w:cs="Tahoma"/>
          <w:color w:val="000000" w:themeColor="text1"/>
          <w:sz w:val="20"/>
          <w:szCs w:val="20"/>
        </w:rPr>
      </w:pPr>
    </w:p>
    <w:p w:rsidR="005201EC" w:rsidRDefault="005201EC" w:rsidP="005201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5201EC">
        <w:rPr>
          <w:rStyle w:val="Hypertextovodkaz"/>
          <w:rFonts w:ascii="Tahoma" w:eastAsia="Times New Roman" w:hAnsi="Tahoma" w:cs="Tahoma"/>
          <w:b/>
          <w:bCs/>
          <w:color w:val="000000" w:themeColor="text1"/>
          <w:kern w:val="36"/>
          <w:sz w:val="24"/>
          <w:szCs w:val="24"/>
          <w:u w:val="none"/>
          <w:lang w:eastAsia="cs-CZ"/>
        </w:rPr>
        <w:t>Novela zákona č. 155/1995 Sb., o důchodovém pojištění</w:t>
      </w:r>
    </w:p>
    <w:p w:rsidR="005201EC" w:rsidRDefault="005201EC" w:rsidP="005201E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4" style="width:0;height:1.5pt" o:hralign="center" o:hrstd="t" o:hr="t" fillcolor="#a0a0a0" stroked="f"/>
        </w:pict>
      </w:r>
    </w:p>
    <w:p w:rsidR="005201EC" w:rsidRDefault="005201EC"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Sněmovní tisk 1230</w:t>
      </w:r>
    </w:p>
    <w:p w:rsidR="005201EC" w:rsidRDefault="005201EC"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Postoupeno Senátu</w:t>
      </w:r>
    </w:p>
    <w:p w:rsidR="005201EC" w:rsidRDefault="005201EC" w:rsidP="005201E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5201EC">
        <w:rPr>
          <w:rStyle w:val="Hypertextovodkaz"/>
          <w:rFonts w:ascii="Tahoma" w:eastAsia="Times New Roman" w:hAnsi="Tahoma" w:cs="Tahoma"/>
          <w:bCs/>
          <w:color w:val="000000" w:themeColor="text1"/>
          <w:kern w:val="36"/>
          <w:sz w:val="20"/>
          <w:szCs w:val="24"/>
          <w:u w:val="none"/>
          <w:lang w:eastAsia="cs-CZ"/>
        </w:rPr>
        <w:t xml:space="preserve">Poslanecká sněmovna </w:t>
      </w:r>
      <w:r>
        <w:rPr>
          <w:rStyle w:val="Hypertextovodkaz"/>
          <w:rFonts w:ascii="Tahoma" w:eastAsia="Times New Roman" w:hAnsi="Tahoma" w:cs="Tahoma"/>
          <w:bCs/>
          <w:color w:val="000000" w:themeColor="text1"/>
          <w:kern w:val="36"/>
          <w:sz w:val="20"/>
          <w:szCs w:val="24"/>
          <w:u w:val="none"/>
          <w:lang w:eastAsia="cs-CZ"/>
        </w:rPr>
        <w:t xml:space="preserve">30. 7. 2021 schválila novelu zákona o důchodovém pojištění, která nad rámec zákonné valorizace zvyšuje důchod o 300 Kč. </w:t>
      </w:r>
      <w:r w:rsidRPr="005201EC">
        <w:rPr>
          <w:rStyle w:val="Hypertextovodkaz"/>
          <w:rFonts w:ascii="Tahoma" w:eastAsia="Times New Roman" w:hAnsi="Tahoma" w:cs="Tahoma"/>
          <w:bCs/>
          <w:color w:val="000000" w:themeColor="text1"/>
          <w:kern w:val="36"/>
          <w:sz w:val="20"/>
          <w:szCs w:val="24"/>
          <w:u w:val="none"/>
          <w:lang w:eastAsia="cs-CZ"/>
        </w:rPr>
        <w:t xml:space="preserve"> </w:t>
      </w:r>
    </w:p>
    <w:p w:rsidR="005201EC" w:rsidRP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1EC" w:rsidRP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5201EC">
        <w:rPr>
          <w:rStyle w:val="Hypertextovodkaz"/>
          <w:rFonts w:ascii="Tahoma" w:eastAsia="Times New Roman" w:hAnsi="Tahoma" w:cs="Tahoma"/>
          <w:bCs/>
          <w:color w:val="000000" w:themeColor="text1"/>
          <w:kern w:val="36"/>
          <w:sz w:val="20"/>
          <w:szCs w:val="24"/>
          <w:u w:val="none"/>
          <w:lang w:eastAsia="cs-CZ"/>
        </w:rPr>
        <w:t>Poslanci schválili také pozměňovací návrh zástu</w:t>
      </w:r>
      <w:r>
        <w:rPr>
          <w:rStyle w:val="Hypertextovodkaz"/>
          <w:rFonts w:ascii="Tahoma" w:eastAsia="Times New Roman" w:hAnsi="Tahoma" w:cs="Tahoma"/>
          <w:bCs/>
          <w:color w:val="000000" w:themeColor="text1"/>
          <w:kern w:val="36"/>
          <w:sz w:val="20"/>
          <w:szCs w:val="24"/>
          <w:u w:val="none"/>
          <w:lang w:eastAsia="cs-CZ"/>
        </w:rPr>
        <w:t xml:space="preserve">pce ČSSD na tzv. výchovné. Všem </w:t>
      </w:r>
      <w:r w:rsidRPr="005201EC">
        <w:rPr>
          <w:rStyle w:val="Hypertextovodkaz"/>
          <w:rFonts w:ascii="Tahoma" w:eastAsia="Times New Roman" w:hAnsi="Tahoma" w:cs="Tahoma"/>
          <w:bCs/>
          <w:color w:val="000000" w:themeColor="text1"/>
          <w:kern w:val="36"/>
          <w:sz w:val="20"/>
          <w:szCs w:val="24"/>
          <w:u w:val="none"/>
          <w:lang w:eastAsia="cs-CZ"/>
        </w:rPr>
        <w:t>primárně pečujícím o děti by se podle návrhu měl důchod zvýšit</w:t>
      </w:r>
      <w:r>
        <w:rPr>
          <w:rStyle w:val="Hypertextovodkaz"/>
          <w:rFonts w:ascii="Tahoma" w:eastAsia="Times New Roman" w:hAnsi="Tahoma" w:cs="Tahoma"/>
          <w:bCs/>
          <w:color w:val="000000" w:themeColor="text1"/>
          <w:kern w:val="36"/>
          <w:sz w:val="20"/>
          <w:szCs w:val="24"/>
          <w:u w:val="none"/>
          <w:lang w:eastAsia="cs-CZ"/>
        </w:rPr>
        <w:t xml:space="preserve"> o 500 Kč za každé vychované dítě. </w:t>
      </w: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1EC" w:rsidRDefault="005201EC" w:rsidP="005201EC">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r w:rsidRPr="005201EC">
        <w:rPr>
          <w:rStyle w:val="Hypertextovodkaz"/>
          <w:rFonts w:ascii="Tahoma" w:eastAsia="Times New Roman" w:hAnsi="Tahoma" w:cs="Tahoma"/>
          <w:b/>
          <w:bCs/>
          <w:color w:val="000000" w:themeColor="text1"/>
          <w:kern w:val="36"/>
          <w:sz w:val="20"/>
          <w:szCs w:val="24"/>
          <w:u w:val="none"/>
          <w:lang w:eastAsia="cs-CZ"/>
        </w:rPr>
        <w:t>Sněmovna rovněž podpořila pozměňovací návrh na předčasné odchody do penze pro pracovníky integrovaného záchranného systému</w:t>
      </w:r>
      <w:r>
        <w:rPr>
          <w:rStyle w:val="Hypertextovodkaz"/>
          <w:rFonts w:ascii="Tahoma" w:eastAsia="Times New Roman" w:hAnsi="Tahoma" w:cs="Tahoma"/>
          <w:b/>
          <w:bCs/>
          <w:color w:val="000000" w:themeColor="text1"/>
          <w:kern w:val="36"/>
          <w:sz w:val="20"/>
          <w:szCs w:val="24"/>
          <w:u w:val="none"/>
          <w:lang w:eastAsia="cs-CZ"/>
        </w:rPr>
        <w:t xml:space="preserve"> bez vlivu na snížení důchodu</w:t>
      </w:r>
      <w:r w:rsidRPr="005201EC">
        <w:rPr>
          <w:rStyle w:val="Hypertextovodkaz"/>
          <w:rFonts w:ascii="Tahoma" w:eastAsia="Times New Roman" w:hAnsi="Tahoma" w:cs="Tahoma"/>
          <w:b/>
          <w:bCs/>
          <w:color w:val="000000" w:themeColor="text1"/>
          <w:kern w:val="36"/>
          <w:sz w:val="20"/>
          <w:szCs w:val="24"/>
          <w:u w:val="none"/>
          <w:lang w:eastAsia="cs-CZ"/>
        </w:rPr>
        <w:t>. V tomto bodě se však ještě očekává úprava v Senátu, neboť dle vyjádření Ministryně práce a sociálních věcí není z předlohy zřejmý přesný okruh pojištěnců, na které by se měl vztahovat.</w:t>
      </w:r>
    </w:p>
    <w:p w:rsidR="005201EC" w:rsidRDefault="005201EC" w:rsidP="005201EC">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5201EC" w:rsidRDefault="005201EC" w:rsidP="005201EC">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OŘLZ</w:t>
      </w:r>
      <w:r>
        <w:rPr>
          <w:rStyle w:val="Hypertextovodkaz"/>
          <w:rFonts w:ascii="Tahoma" w:eastAsia="Times New Roman" w:hAnsi="Tahoma" w:cs="Tahoma"/>
          <w:bCs/>
          <w:i/>
          <w:color w:val="000000" w:themeColor="text1"/>
          <w:kern w:val="36"/>
          <w:sz w:val="20"/>
          <w:szCs w:val="20"/>
          <w:u w:val="none"/>
          <w:lang w:eastAsia="cs-CZ"/>
        </w:rPr>
        <w:t xml:space="preserve"> </w:t>
      </w:r>
      <w:r w:rsidRPr="00FE2CDB">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w:t>
      </w:r>
      <w:r>
        <w:rPr>
          <w:rStyle w:val="Hypertextovodkaz"/>
          <w:rFonts w:ascii="Tahoma" w:eastAsia="Times New Roman" w:hAnsi="Tahoma" w:cs="Tahoma"/>
          <w:bCs/>
          <w:i/>
          <w:color w:val="000000" w:themeColor="text1"/>
          <w:kern w:val="36"/>
          <w:sz w:val="20"/>
          <w:szCs w:val="20"/>
          <w:u w:val="none"/>
          <w:lang w:eastAsia="cs-CZ"/>
        </w:rPr>
        <w:t xml:space="preserve"> </w:t>
      </w:r>
      <w:r w:rsidRPr="003F7FFC">
        <w:rPr>
          <w:rStyle w:val="Hypertextovodkaz"/>
          <w:rFonts w:ascii="Tahoma" w:eastAsia="Times New Roman" w:hAnsi="Tahoma" w:cs="Tahoma"/>
          <w:bCs/>
          <w:i/>
          <w:color w:val="000000" w:themeColor="text1"/>
          <w:kern w:val="36"/>
          <w:sz w:val="20"/>
          <w:szCs w:val="20"/>
          <w:u w:val="none"/>
          <w:lang w:eastAsia="cs-CZ"/>
        </w:rPr>
        <w:t>Informaci o zhodnocení dopadů a o stavu implementace zašle na emailovou adresu legislativa@ceproas.cz.</w:t>
      </w:r>
    </w:p>
    <w:p w:rsidR="005201EC" w:rsidRDefault="005201EC" w:rsidP="005201EC">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01EC" w:rsidRPr="003F7FFC" w:rsidRDefault="005201EC" w:rsidP="005201EC">
      <w:pPr>
        <w:pStyle w:val="Bezmezer"/>
        <w:shd w:val="clear" w:color="auto" w:fill="D9D9D9" w:themeFill="background1" w:themeFillShade="D9"/>
        <w:spacing w:line="276" w:lineRule="auto"/>
        <w:rPr>
          <w:rStyle w:val="Hypertextovodkaz"/>
          <w:rFonts w:ascii="Tahoma" w:eastAsia="Times New Roman" w:hAnsi="Tahoma" w:cs="Tahoma"/>
          <w:b/>
          <w:bCs/>
          <w:i/>
          <w:color w:val="FF0000"/>
          <w:kern w:val="36"/>
          <w:sz w:val="20"/>
          <w:szCs w:val="20"/>
          <w:u w:val="none"/>
          <w:lang w:eastAsia="cs-CZ"/>
        </w:rPr>
      </w:pPr>
      <w:r w:rsidRPr="00B16A80">
        <w:rPr>
          <w:rStyle w:val="Hypertextovodkaz"/>
          <w:rFonts w:ascii="Tahoma" w:eastAsia="Times New Roman" w:hAnsi="Tahoma" w:cs="Tahoma"/>
          <w:b/>
          <w:bCs/>
          <w:i/>
          <w:color w:val="000000" w:themeColor="text1"/>
          <w:kern w:val="36"/>
          <w:sz w:val="20"/>
          <w:szCs w:val="20"/>
          <w:u w:val="none"/>
          <w:lang w:eastAsia="cs-CZ"/>
        </w:rPr>
        <w:t xml:space="preserve">Odpovědný útvar: </w:t>
      </w:r>
      <w:proofErr w:type="gramStart"/>
      <w:r>
        <w:rPr>
          <w:rStyle w:val="Hypertextovodkaz"/>
          <w:rFonts w:ascii="Tahoma" w:eastAsia="Times New Roman" w:hAnsi="Tahoma" w:cs="Tahoma"/>
          <w:bCs/>
          <w:i/>
          <w:color w:val="000000" w:themeColor="text1"/>
          <w:kern w:val="36"/>
          <w:sz w:val="20"/>
          <w:szCs w:val="20"/>
          <w:u w:val="none"/>
          <w:lang w:eastAsia="cs-CZ"/>
        </w:rPr>
        <w:t>OŘLZ</w:t>
      </w:r>
      <w:proofErr w:type="gramEnd"/>
      <w:r>
        <w:rPr>
          <w:rStyle w:val="Hypertextovodkaz"/>
          <w:rFonts w:ascii="Tahoma" w:eastAsia="Times New Roman" w:hAnsi="Tahoma" w:cs="Tahoma"/>
          <w:bCs/>
          <w:i/>
          <w:color w:val="000000" w:themeColor="text1"/>
          <w:kern w:val="36"/>
          <w:sz w:val="20"/>
          <w:szCs w:val="20"/>
          <w:u w:val="none"/>
          <w:lang w:eastAsia="cs-CZ"/>
        </w:rPr>
        <w:t xml:space="preserve">– </w:t>
      </w:r>
      <w:proofErr w:type="gramStart"/>
      <w:r>
        <w:rPr>
          <w:rStyle w:val="Hypertextovodkaz"/>
          <w:rFonts w:ascii="Tahoma" w:eastAsia="Times New Roman" w:hAnsi="Tahoma" w:cs="Tahoma"/>
          <w:bCs/>
          <w:i/>
          <w:color w:val="000000" w:themeColor="text1"/>
          <w:kern w:val="36"/>
          <w:sz w:val="20"/>
          <w:szCs w:val="20"/>
          <w:u w:val="none"/>
          <w:lang w:eastAsia="cs-CZ"/>
        </w:rPr>
        <w:t>Mgr.</w:t>
      </w:r>
      <w:proofErr w:type="gramEnd"/>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Šárka Šolcová</w:t>
      </w:r>
      <w:r>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ab/>
      </w:r>
      <w:r w:rsidRPr="00B16A80">
        <w:rPr>
          <w:rStyle w:val="Hypertextovodkaz"/>
          <w:rFonts w:ascii="Tahoma" w:eastAsia="Times New Roman" w:hAnsi="Tahoma" w:cs="Tahoma"/>
          <w:b/>
          <w:bCs/>
          <w:i/>
          <w:color w:val="000000" w:themeColor="text1"/>
          <w:kern w:val="36"/>
          <w:sz w:val="20"/>
          <w:szCs w:val="20"/>
          <w:u w:val="none"/>
          <w:lang w:eastAsia="cs-CZ"/>
        </w:rPr>
        <w:t>Termín:</w:t>
      </w:r>
      <w:r w:rsidRPr="00B16A80">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
          <w:bCs/>
          <w:i/>
          <w:color w:val="000000" w:themeColor="text1"/>
          <w:kern w:val="36"/>
          <w:sz w:val="20"/>
          <w:szCs w:val="20"/>
          <w:u w:val="none"/>
          <w:lang w:eastAsia="cs-CZ"/>
        </w:rPr>
        <w:t xml:space="preserve">31. </w:t>
      </w:r>
      <w:r>
        <w:rPr>
          <w:rStyle w:val="Hypertextovodkaz"/>
          <w:rFonts w:ascii="Tahoma" w:eastAsia="Times New Roman" w:hAnsi="Tahoma" w:cs="Tahoma"/>
          <w:b/>
          <w:bCs/>
          <w:i/>
          <w:color w:val="000000" w:themeColor="text1"/>
          <w:kern w:val="36"/>
          <w:sz w:val="20"/>
          <w:szCs w:val="20"/>
          <w:u w:val="none"/>
          <w:lang w:eastAsia="cs-CZ"/>
        </w:rPr>
        <w:t>8. 2021</w:t>
      </w:r>
    </w:p>
    <w:p w:rsidR="005201EC" w:rsidRPr="005201EC" w:rsidRDefault="005201EC" w:rsidP="005201EC">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5201EC" w:rsidRPr="005201EC" w:rsidRDefault="005201EC" w:rsidP="005201E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0F7651" w:rsidRDefault="000F7651"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C35CC0" w:rsidRDefault="00C35CC0" w:rsidP="00C35CC0">
      <w:pPr>
        <w:pStyle w:val="Bezmezer"/>
        <w:numPr>
          <w:ilvl w:val="0"/>
          <w:numId w:val="39"/>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Stanoviska a judikatura</w:t>
      </w:r>
    </w:p>
    <w:p w:rsidR="00C35CC0"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3D045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3D0450" w:rsidRDefault="00407E45" w:rsidP="00407E4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407E45">
        <w:rPr>
          <w:rStyle w:val="Hypertextovodkaz"/>
          <w:rFonts w:ascii="Tahoma" w:eastAsia="Times New Roman" w:hAnsi="Tahoma" w:cs="Tahoma"/>
          <w:b/>
          <w:bCs/>
          <w:color w:val="000000" w:themeColor="text1"/>
          <w:kern w:val="36"/>
          <w:sz w:val="24"/>
          <w:szCs w:val="24"/>
          <w:u w:val="none"/>
          <w:lang w:eastAsia="cs-CZ"/>
        </w:rPr>
        <w:t>K námitce promlčení nároku z neplatné spotřebitelské smlouvy</w:t>
      </w:r>
      <w:r w:rsidR="005201EC">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751F5F" w:rsidRDefault="00407E45"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 soud, </w:t>
      </w:r>
      <w:r w:rsidRPr="00407E45">
        <w:rPr>
          <w:rStyle w:val="Hypertextovodkaz"/>
          <w:rFonts w:ascii="Tahoma" w:eastAsia="Times New Roman" w:hAnsi="Tahoma" w:cs="Tahoma"/>
          <w:bCs/>
          <w:color w:val="000000" w:themeColor="text1"/>
          <w:kern w:val="36"/>
          <w:sz w:val="20"/>
          <w:szCs w:val="20"/>
          <w:u w:val="none"/>
          <w:lang w:eastAsia="cs-CZ"/>
        </w:rPr>
        <w:t>III. ÚS 3358/20</w:t>
      </w:r>
    </w:p>
    <w:p w:rsidR="00407E45" w:rsidRDefault="00407E45"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07E45" w:rsidRPr="000F7651" w:rsidRDefault="00407E45" w:rsidP="003D045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Ústavní soud se vyjádřil k otázce uplatnění </w:t>
      </w:r>
    </w:p>
    <w:p w:rsidR="002D6912" w:rsidRDefault="002D6912" w:rsidP="00407E45">
      <w:pPr>
        <w:jc w:val="both"/>
        <w:rPr>
          <w:rStyle w:val="Hypertextovodkaz"/>
          <w:rFonts w:ascii="Tahoma" w:eastAsia="Times New Roman" w:hAnsi="Tahoma" w:cs="Tahoma"/>
          <w:bCs/>
          <w:color w:val="000000" w:themeColor="text1"/>
          <w:kern w:val="36"/>
          <w:sz w:val="20"/>
          <w:szCs w:val="20"/>
          <w:u w:val="none"/>
          <w:lang w:eastAsia="cs-CZ"/>
        </w:rPr>
      </w:pPr>
    </w:p>
    <w:p w:rsidR="00407E45" w:rsidRDefault="002D6912" w:rsidP="00407E45">
      <w:pP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 konstatoval, že p</w:t>
      </w:r>
      <w:r w:rsidR="00407E45" w:rsidRPr="00407E45">
        <w:rPr>
          <w:rStyle w:val="Hypertextovodkaz"/>
          <w:rFonts w:ascii="Tahoma" w:eastAsia="Times New Roman" w:hAnsi="Tahoma" w:cs="Tahoma"/>
          <w:bCs/>
          <w:color w:val="000000" w:themeColor="text1"/>
          <w:kern w:val="36"/>
          <w:sz w:val="20"/>
          <w:szCs w:val="20"/>
          <w:u w:val="none"/>
          <w:lang w:eastAsia="cs-CZ"/>
        </w:rPr>
        <w:t xml:space="preserve">romlčení je zákonným institutem přispívajícím k jistotě v právních vztazích a jeho namítnutí dobrým mravům zásadně neodporuje. </w:t>
      </w:r>
      <w:r w:rsidR="00407E45" w:rsidRPr="002D6912">
        <w:rPr>
          <w:rStyle w:val="Hypertextovodkaz"/>
          <w:rFonts w:ascii="Tahoma" w:eastAsia="Times New Roman" w:hAnsi="Tahoma" w:cs="Tahoma"/>
          <w:b/>
          <w:bCs/>
          <w:color w:val="000000" w:themeColor="text1"/>
          <w:kern w:val="36"/>
          <w:sz w:val="20"/>
          <w:szCs w:val="20"/>
          <w:u w:val="none"/>
          <w:lang w:eastAsia="cs-CZ"/>
        </w:rPr>
        <w:t>Výjimkou jsou situace, kdy uplatnění této námitky je výrazem zneužití práva na úkor účastníka, který marné uplynutí promlčecí lhůty nezavinil a vůči němuž by zánik nároku byl nepřiměřeně tvrdým postihem ve srovnání s rozsahem a charakterem jím uplatňovaného práva a s důvody, pro které své právo včas neuplatnil</w:t>
      </w:r>
      <w:r w:rsidR="00407E45" w:rsidRPr="00407E45">
        <w:rPr>
          <w:rStyle w:val="Hypertextovodkaz"/>
          <w:rFonts w:ascii="Tahoma" w:eastAsia="Times New Roman" w:hAnsi="Tahoma" w:cs="Tahoma"/>
          <w:bCs/>
          <w:color w:val="000000" w:themeColor="text1"/>
          <w:kern w:val="36"/>
          <w:sz w:val="20"/>
          <w:szCs w:val="20"/>
          <w:u w:val="none"/>
          <w:lang w:eastAsia="cs-CZ"/>
        </w:rPr>
        <w:t xml:space="preserve">. </w:t>
      </w:r>
    </w:p>
    <w:p w:rsidR="002D6912" w:rsidRDefault="002D6912" w:rsidP="00407E45">
      <w:pPr>
        <w:jc w:val="both"/>
        <w:rPr>
          <w:rStyle w:val="Hypertextovodkaz"/>
          <w:rFonts w:ascii="Tahoma" w:eastAsia="Times New Roman" w:hAnsi="Tahoma" w:cs="Tahoma"/>
          <w:bCs/>
          <w:color w:val="000000" w:themeColor="text1"/>
          <w:kern w:val="36"/>
          <w:sz w:val="20"/>
          <w:szCs w:val="20"/>
          <w:u w:val="none"/>
          <w:lang w:eastAsia="cs-CZ"/>
        </w:rPr>
      </w:pPr>
      <w:r w:rsidRPr="002D6912">
        <w:rPr>
          <w:rStyle w:val="Hypertextovodkaz"/>
          <w:rFonts w:ascii="Tahoma" w:eastAsia="Times New Roman" w:hAnsi="Tahoma" w:cs="Tahoma"/>
          <w:bCs/>
          <w:color w:val="000000" w:themeColor="text1"/>
          <w:kern w:val="36"/>
          <w:sz w:val="20"/>
          <w:szCs w:val="20"/>
          <w:u w:val="none"/>
          <w:lang w:eastAsia="cs-CZ"/>
        </w:rPr>
        <w:t xml:space="preserve">Okresní soud rozsudkem </w:t>
      </w:r>
      <w:r>
        <w:rPr>
          <w:rStyle w:val="Hypertextovodkaz"/>
          <w:rFonts w:ascii="Tahoma" w:eastAsia="Times New Roman" w:hAnsi="Tahoma" w:cs="Tahoma"/>
          <w:bCs/>
          <w:color w:val="000000" w:themeColor="text1"/>
          <w:kern w:val="36"/>
          <w:sz w:val="20"/>
          <w:szCs w:val="20"/>
          <w:u w:val="none"/>
          <w:lang w:eastAsia="cs-CZ"/>
        </w:rPr>
        <w:t>uložil žalované p</w:t>
      </w:r>
      <w:r w:rsidRPr="002D6912">
        <w:rPr>
          <w:rStyle w:val="Hypertextovodkaz"/>
          <w:rFonts w:ascii="Tahoma" w:eastAsia="Times New Roman" w:hAnsi="Tahoma" w:cs="Tahoma"/>
          <w:bCs/>
          <w:color w:val="000000" w:themeColor="text1"/>
          <w:kern w:val="36"/>
          <w:sz w:val="20"/>
          <w:szCs w:val="20"/>
          <w:u w:val="none"/>
          <w:lang w:eastAsia="cs-CZ"/>
        </w:rPr>
        <w:t xml:space="preserve">ovinnost zaplatit </w:t>
      </w:r>
      <w:r>
        <w:rPr>
          <w:rStyle w:val="Hypertextovodkaz"/>
          <w:rFonts w:ascii="Tahoma" w:eastAsia="Times New Roman" w:hAnsi="Tahoma" w:cs="Tahoma"/>
          <w:bCs/>
          <w:color w:val="000000" w:themeColor="text1"/>
          <w:kern w:val="36"/>
          <w:sz w:val="20"/>
          <w:szCs w:val="20"/>
          <w:u w:val="none"/>
          <w:lang w:eastAsia="cs-CZ"/>
        </w:rPr>
        <w:t>žalobkyni</w:t>
      </w:r>
      <w:r w:rsidR="00884A8D">
        <w:rPr>
          <w:rStyle w:val="Hypertextovodkaz"/>
          <w:rFonts w:ascii="Tahoma" w:eastAsia="Times New Roman" w:hAnsi="Tahoma" w:cs="Tahoma"/>
          <w:bCs/>
          <w:color w:val="000000" w:themeColor="text1"/>
          <w:kern w:val="36"/>
          <w:sz w:val="20"/>
          <w:szCs w:val="20"/>
          <w:u w:val="none"/>
          <w:lang w:eastAsia="cs-CZ"/>
        </w:rPr>
        <w:t>-úvěrové instituci</w:t>
      </w:r>
      <w:r w:rsidRPr="002D6912">
        <w:rPr>
          <w:rStyle w:val="Hypertextovodkaz"/>
          <w:rFonts w:ascii="Tahoma" w:eastAsia="Times New Roman" w:hAnsi="Tahoma" w:cs="Tahoma"/>
          <w:bCs/>
          <w:color w:val="000000" w:themeColor="text1"/>
          <w:kern w:val="36"/>
          <w:sz w:val="20"/>
          <w:szCs w:val="20"/>
          <w:u w:val="none"/>
          <w:lang w:eastAsia="cs-CZ"/>
        </w:rPr>
        <w:t xml:space="preserve"> částku ve výši 5 000 Kč s</w:t>
      </w:r>
      <w:r>
        <w:rPr>
          <w:rStyle w:val="Hypertextovodkaz"/>
          <w:rFonts w:ascii="Tahoma" w:eastAsia="Times New Roman" w:hAnsi="Tahoma" w:cs="Tahoma"/>
          <w:bCs/>
          <w:color w:val="000000" w:themeColor="text1"/>
          <w:kern w:val="36"/>
          <w:sz w:val="20"/>
          <w:szCs w:val="20"/>
          <w:u w:val="none"/>
          <w:lang w:eastAsia="cs-CZ"/>
        </w:rPr>
        <w:t> </w:t>
      </w:r>
      <w:r w:rsidRPr="002D6912">
        <w:rPr>
          <w:rStyle w:val="Hypertextovodkaz"/>
          <w:rFonts w:ascii="Tahoma" w:eastAsia="Times New Roman" w:hAnsi="Tahoma" w:cs="Tahoma"/>
          <w:bCs/>
          <w:color w:val="000000" w:themeColor="text1"/>
          <w:kern w:val="36"/>
          <w:sz w:val="20"/>
          <w:szCs w:val="20"/>
          <w:u w:val="none"/>
          <w:lang w:eastAsia="cs-CZ"/>
        </w:rPr>
        <w:t>příslušenstvím</w:t>
      </w:r>
      <w:r>
        <w:rPr>
          <w:rStyle w:val="Hypertextovodkaz"/>
          <w:rFonts w:ascii="Tahoma" w:eastAsia="Times New Roman" w:hAnsi="Tahoma" w:cs="Tahoma"/>
          <w:bCs/>
          <w:color w:val="000000" w:themeColor="text1"/>
          <w:kern w:val="36"/>
          <w:sz w:val="20"/>
          <w:szCs w:val="20"/>
          <w:u w:val="none"/>
          <w:lang w:eastAsia="cs-CZ"/>
        </w:rPr>
        <w:t xml:space="preserve"> (</w:t>
      </w:r>
      <w:r w:rsidRPr="002D6912">
        <w:rPr>
          <w:rStyle w:val="Hypertextovodkaz"/>
          <w:rFonts w:ascii="Tahoma" w:eastAsia="Times New Roman" w:hAnsi="Tahoma" w:cs="Tahoma"/>
          <w:bCs/>
          <w:color w:val="000000" w:themeColor="text1"/>
          <w:kern w:val="36"/>
          <w:sz w:val="20"/>
          <w:szCs w:val="20"/>
          <w:u w:val="none"/>
          <w:lang w:eastAsia="cs-CZ"/>
        </w:rPr>
        <w:t>zaplacení uvedené částky z tit</w:t>
      </w:r>
      <w:r>
        <w:rPr>
          <w:rStyle w:val="Hypertextovodkaz"/>
          <w:rFonts w:ascii="Tahoma" w:eastAsia="Times New Roman" w:hAnsi="Tahoma" w:cs="Tahoma"/>
          <w:bCs/>
          <w:color w:val="000000" w:themeColor="text1"/>
          <w:kern w:val="36"/>
          <w:sz w:val="20"/>
          <w:szCs w:val="20"/>
          <w:u w:val="none"/>
          <w:lang w:eastAsia="cs-CZ"/>
        </w:rPr>
        <w:t xml:space="preserve">ulu vrácení peněz podle smlouvy </w:t>
      </w:r>
      <w:r w:rsidRPr="002D6912">
        <w:rPr>
          <w:rStyle w:val="Hypertextovodkaz"/>
          <w:rFonts w:ascii="Tahoma" w:eastAsia="Times New Roman" w:hAnsi="Tahoma" w:cs="Tahoma"/>
          <w:bCs/>
          <w:color w:val="000000" w:themeColor="text1"/>
          <w:kern w:val="36"/>
          <w:sz w:val="20"/>
          <w:szCs w:val="20"/>
          <w:u w:val="none"/>
          <w:lang w:eastAsia="cs-CZ"/>
        </w:rPr>
        <w:t>o zápůjčce uzavřené se stěžovatelkou dne 15. 9. 2015</w:t>
      </w:r>
      <w:r>
        <w:rPr>
          <w:rStyle w:val="Hypertextovodkaz"/>
          <w:rFonts w:ascii="Tahoma" w:eastAsia="Times New Roman" w:hAnsi="Tahoma" w:cs="Tahoma"/>
          <w:bCs/>
          <w:color w:val="000000" w:themeColor="text1"/>
          <w:kern w:val="36"/>
          <w:sz w:val="20"/>
          <w:szCs w:val="20"/>
          <w:u w:val="none"/>
          <w:lang w:eastAsia="cs-CZ"/>
        </w:rPr>
        <w:t>)</w:t>
      </w:r>
      <w:r w:rsidRPr="002D6912">
        <w:rPr>
          <w:rStyle w:val="Hypertextovodkaz"/>
          <w:rFonts w:ascii="Tahoma" w:eastAsia="Times New Roman" w:hAnsi="Tahoma" w:cs="Tahoma"/>
          <w:bCs/>
          <w:color w:val="000000" w:themeColor="text1"/>
          <w:kern w:val="36"/>
          <w:sz w:val="20"/>
          <w:szCs w:val="20"/>
          <w:u w:val="none"/>
          <w:lang w:eastAsia="cs-CZ"/>
        </w:rPr>
        <w:t xml:space="preserve">. </w:t>
      </w:r>
      <w:r>
        <w:rPr>
          <w:rStyle w:val="Hypertextovodkaz"/>
          <w:rFonts w:ascii="Tahoma" w:eastAsia="Times New Roman" w:hAnsi="Tahoma" w:cs="Tahoma"/>
          <w:bCs/>
          <w:color w:val="000000" w:themeColor="text1"/>
          <w:kern w:val="36"/>
          <w:sz w:val="20"/>
          <w:szCs w:val="20"/>
          <w:u w:val="none"/>
          <w:lang w:eastAsia="cs-CZ"/>
        </w:rPr>
        <w:t xml:space="preserve">Stěžovatelka v průběhu soudního </w:t>
      </w:r>
      <w:r w:rsidRPr="002D6912">
        <w:rPr>
          <w:rStyle w:val="Hypertextovodkaz"/>
          <w:rFonts w:ascii="Tahoma" w:eastAsia="Times New Roman" w:hAnsi="Tahoma" w:cs="Tahoma"/>
          <w:bCs/>
          <w:color w:val="000000" w:themeColor="text1"/>
          <w:kern w:val="36"/>
          <w:sz w:val="20"/>
          <w:szCs w:val="20"/>
          <w:u w:val="none"/>
          <w:lang w:eastAsia="cs-CZ"/>
        </w:rPr>
        <w:t>řízení namítla neplatnost smlouvy o zá</w:t>
      </w:r>
      <w:r>
        <w:rPr>
          <w:rStyle w:val="Hypertextovodkaz"/>
          <w:rFonts w:ascii="Tahoma" w:eastAsia="Times New Roman" w:hAnsi="Tahoma" w:cs="Tahoma"/>
          <w:bCs/>
          <w:color w:val="000000" w:themeColor="text1"/>
          <w:kern w:val="36"/>
          <w:sz w:val="20"/>
          <w:szCs w:val="20"/>
          <w:u w:val="none"/>
          <w:lang w:eastAsia="cs-CZ"/>
        </w:rPr>
        <w:t xml:space="preserve">půjčce. Okresní soud tuto </w:t>
      </w:r>
      <w:r w:rsidRPr="002D6912">
        <w:rPr>
          <w:rStyle w:val="Hypertextovodkaz"/>
          <w:rFonts w:ascii="Tahoma" w:eastAsia="Times New Roman" w:hAnsi="Tahoma" w:cs="Tahoma"/>
          <w:bCs/>
          <w:color w:val="000000" w:themeColor="text1"/>
          <w:kern w:val="36"/>
          <w:sz w:val="20"/>
          <w:szCs w:val="20"/>
          <w:u w:val="none"/>
          <w:lang w:eastAsia="cs-CZ"/>
        </w:rPr>
        <w:t xml:space="preserve">námitku uznal a z důvodu, že </w:t>
      </w:r>
      <w:r>
        <w:rPr>
          <w:rStyle w:val="Hypertextovodkaz"/>
          <w:rFonts w:ascii="Tahoma" w:eastAsia="Times New Roman" w:hAnsi="Tahoma" w:cs="Tahoma"/>
          <w:bCs/>
          <w:color w:val="000000" w:themeColor="text1"/>
          <w:kern w:val="36"/>
          <w:sz w:val="20"/>
          <w:szCs w:val="20"/>
          <w:u w:val="none"/>
          <w:lang w:eastAsia="cs-CZ"/>
        </w:rPr>
        <w:t xml:space="preserve">žalobkyně nesplnila svoji </w:t>
      </w:r>
      <w:r w:rsidRPr="002D6912">
        <w:rPr>
          <w:rStyle w:val="Hypertextovodkaz"/>
          <w:rFonts w:ascii="Tahoma" w:eastAsia="Times New Roman" w:hAnsi="Tahoma" w:cs="Tahoma"/>
          <w:bCs/>
          <w:color w:val="000000" w:themeColor="text1"/>
          <w:kern w:val="36"/>
          <w:sz w:val="20"/>
          <w:szCs w:val="20"/>
          <w:u w:val="none"/>
          <w:lang w:eastAsia="cs-CZ"/>
        </w:rPr>
        <w:t>zákonnou povinnost postupovat s odbornou péčí při po</w:t>
      </w:r>
      <w:r>
        <w:rPr>
          <w:rStyle w:val="Hypertextovodkaz"/>
          <w:rFonts w:ascii="Tahoma" w:eastAsia="Times New Roman" w:hAnsi="Tahoma" w:cs="Tahoma"/>
          <w:bCs/>
          <w:color w:val="000000" w:themeColor="text1"/>
          <w:kern w:val="36"/>
          <w:sz w:val="20"/>
          <w:szCs w:val="20"/>
          <w:u w:val="none"/>
          <w:lang w:eastAsia="cs-CZ"/>
        </w:rPr>
        <w:t xml:space="preserve">souzení schopnosti stěžovatelky </w:t>
      </w:r>
      <w:r w:rsidRPr="002D6912">
        <w:rPr>
          <w:rStyle w:val="Hypertextovodkaz"/>
          <w:rFonts w:ascii="Tahoma" w:eastAsia="Times New Roman" w:hAnsi="Tahoma" w:cs="Tahoma"/>
          <w:bCs/>
          <w:color w:val="000000" w:themeColor="text1"/>
          <w:kern w:val="36"/>
          <w:sz w:val="20"/>
          <w:szCs w:val="20"/>
          <w:u w:val="none"/>
          <w:lang w:eastAsia="cs-CZ"/>
        </w:rPr>
        <w:t xml:space="preserve">(spotřebitele) splácet spotřebitelský </w:t>
      </w:r>
      <w:proofErr w:type="gramStart"/>
      <w:r w:rsidRPr="002D6912">
        <w:rPr>
          <w:rStyle w:val="Hypertextovodkaz"/>
          <w:rFonts w:ascii="Tahoma" w:eastAsia="Times New Roman" w:hAnsi="Tahoma" w:cs="Tahoma"/>
          <w:bCs/>
          <w:color w:val="000000" w:themeColor="text1"/>
          <w:kern w:val="36"/>
          <w:sz w:val="20"/>
          <w:szCs w:val="20"/>
          <w:u w:val="none"/>
          <w:lang w:eastAsia="cs-CZ"/>
        </w:rPr>
        <w:t>úvěr ), shledal</w:t>
      </w:r>
      <w:proofErr w:type="gramEnd"/>
      <w:r w:rsidRPr="002D6912">
        <w:rPr>
          <w:rStyle w:val="Hypertextovodkaz"/>
          <w:rFonts w:ascii="Tahoma" w:eastAsia="Times New Roman" w:hAnsi="Tahoma" w:cs="Tahoma"/>
          <w:bCs/>
          <w:color w:val="000000" w:themeColor="text1"/>
          <w:kern w:val="36"/>
          <w:sz w:val="20"/>
          <w:szCs w:val="20"/>
          <w:u w:val="none"/>
          <w:lang w:eastAsia="cs-CZ"/>
        </w:rPr>
        <w:t xml:space="preserve"> smlouvu o zápůjčce neplatnou</w:t>
      </w:r>
      <w:r>
        <w:rPr>
          <w:rStyle w:val="Hypertextovodkaz"/>
          <w:rFonts w:ascii="Tahoma" w:eastAsia="Times New Roman" w:hAnsi="Tahoma" w:cs="Tahoma"/>
          <w:bCs/>
          <w:color w:val="000000" w:themeColor="text1"/>
          <w:kern w:val="36"/>
          <w:sz w:val="20"/>
          <w:szCs w:val="20"/>
          <w:u w:val="none"/>
          <w:lang w:eastAsia="cs-CZ"/>
        </w:rPr>
        <w:t xml:space="preserve">, pročež </w:t>
      </w:r>
      <w:r w:rsidRPr="002D6912">
        <w:rPr>
          <w:rStyle w:val="Hypertextovodkaz"/>
          <w:rFonts w:ascii="Tahoma" w:eastAsia="Times New Roman" w:hAnsi="Tahoma" w:cs="Tahoma"/>
          <w:bCs/>
          <w:color w:val="000000" w:themeColor="text1"/>
          <w:kern w:val="36"/>
          <w:sz w:val="20"/>
          <w:szCs w:val="20"/>
          <w:u w:val="none"/>
          <w:lang w:eastAsia="cs-CZ"/>
        </w:rPr>
        <w:t>uplatněný nárok posoudil podle § 2991 a násl. zákona č.</w:t>
      </w:r>
      <w:r>
        <w:rPr>
          <w:rStyle w:val="Hypertextovodkaz"/>
          <w:rFonts w:ascii="Tahoma" w:eastAsia="Times New Roman" w:hAnsi="Tahoma" w:cs="Tahoma"/>
          <w:bCs/>
          <w:color w:val="000000" w:themeColor="text1"/>
          <w:kern w:val="36"/>
          <w:sz w:val="20"/>
          <w:szCs w:val="20"/>
          <w:u w:val="none"/>
          <w:lang w:eastAsia="cs-CZ"/>
        </w:rPr>
        <w:t xml:space="preserve"> 89/2012 Sb., občanský zákoník,</w:t>
      </w:r>
      <w:r w:rsidRPr="002D6912">
        <w:rPr>
          <w:rStyle w:val="Hypertextovodkaz"/>
          <w:rFonts w:ascii="Tahoma" w:eastAsia="Times New Roman" w:hAnsi="Tahoma" w:cs="Tahoma"/>
          <w:bCs/>
          <w:color w:val="000000" w:themeColor="text1"/>
          <w:kern w:val="36"/>
          <w:sz w:val="20"/>
          <w:szCs w:val="20"/>
          <w:u w:val="none"/>
          <w:lang w:eastAsia="cs-CZ"/>
        </w:rPr>
        <w:t>, jako bezdůvodné obohacení. S</w:t>
      </w:r>
      <w:r>
        <w:rPr>
          <w:rStyle w:val="Hypertextovodkaz"/>
          <w:rFonts w:ascii="Tahoma" w:eastAsia="Times New Roman" w:hAnsi="Tahoma" w:cs="Tahoma"/>
          <w:bCs/>
          <w:color w:val="000000" w:themeColor="text1"/>
          <w:kern w:val="36"/>
          <w:sz w:val="20"/>
          <w:szCs w:val="20"/>
          <w:u w:val="none"/>
          <w:lang w:eastAsia="cs-CZ"/>
        </w:rPr>
        <w:t xml:space="preserve">těžovatelka se dále dovolávala </w:t>
      </w:r>
      <w:r w:rsidRPr="002D6912">
        <w:rPr>
          <w:rStyle w:val="Hypertextovodkaz"/>
          <w:rFonts w:ascii="Tahoma" w:eastAsia="Times New Roman" w:hAnsi="Tahoma" w:cs="Tahoma"/>
          <w:bCs/>
          <w:color w:val="000000" w:themeColor="text1"/>
          <w:kern w:val="36"/>
          <w:sz w:val="20"/>
          <w:szCs w:val="20"/>
          <w:u w:val="none"/>
          <w:lang w:eastAsia="cs-CZ"/>
        </w:rPr>
        <w:t>promlčení uplatněného nároku, avšak okresní soud tuto námitku posoudil s</w:t>
      </w:r>
      <w:r>
        <w:rPr>
          <w:rStyle w:val="Hypertextovodkaz"/>
          <w:rFonts w:ascii="Tahoma" w:eastAsia="Times New Roman" w:hAnsi="Tahoma" w:cs="Tahoma"/>
          <w:bCs/>
          <w:color w:val="000000" w:themeColor="text1"/>
          <w:kern w:val="36"/>
          <w:sz w:val="20"/>
          <w:szCs w:val="20"/>
          <w:u w:val="none"/>
          <w:lang w:eastAsia="cs-CZ"/>
        </w:rPr>
        <w:t> </w:t>
      </w:r>
      <w:r w:rsidRPr="002D6912">
        <w:rPr>
          <w:rStyle w:val="Hypertextovodkaz"/>
          <w:rFonts w:ascii="Tahoma" w:eastAsia="Times New Roman" w:hAnsi="Tahoma" w:cs="Tahoma"/>
          <w:bCs/>
          <w:color w:val="000000" w:themeColor="text1"/>
          <w:kern w:val="36"/>
          <w:sz w:val="20"/>
          <w:szCs w:val="20"/>
          <w:u w:val="none"/>
          <w:lang w:eastAsia="cs-CZ"/>
        </w:rPr>
        <w:t>odkazem</w:t>
      </w:r>
      <w:r>
        <w:rPr>
          <w:rStyle w:val="Hypertextovodkaz"/>
          <w:rFonts w:ascii="Tahoma" w:eastAsia="Times New Roman" w:hAnsi="Tahoma" w:cs="Tahoma"/>
          <w:bCs/>
          <w:color w:val="000000" w:themeColor="text1"/>
          <w:kern w:val="36"/>
          <w:sz w:val="20"/>
          <w:szCs w:val="20"/>
          <w:u w:val="none"/>
          <w:lang w:eastAsia="cs-CZ"/>
        </w:rPr>
        <w:t xml:space="preserve"> </w:t>
      </w:r>
      <w:r w:rsidRPr="002D6912">
        <w:rPr>
          <w:rStyle w:val="Hypertextovodkaz"/>
          <w:rFonts w:ascii="Tahoma" w:eastAsia="Times New Roman" w:hAnsi="Tahoma" w:cs="Tahoma"/>
          <w:bCs/>
          <w:color w:val="000000" w:themeColor="text1"/>
          <w:kern w:val="36"/>
          <w:sz w:val="20"/>
          <w:szCs w:val="20"/>
          <w:u w:val="none"/>
          <w:lang w:eastAsia="cs-CZ"/>
        </w:rPr>
        <w:t xml:space="preserve">na § 6 </w:t>
      </w:r>
      <w:proofErr w:type="spellStart"/>
      <w:r w:rsidRPr="002D6912">
        <w:rPr>
          <w:rStyle w:val="Hypertextovodkaz"/>
          <w:rFonts w:ascii="Tahoma" w:eastAsia="Times New Roman" w:hAnsi="Tahoma" w:cs="Tahoma"/>
          <w:bCs/>
          <w:color w:val="000000" w:themeColor="text1"/>
          <w:kern w:val="36"/>
          <w:sz w:val="20"/>
          <w:szCs w:val="20"/>
          <w:u w:val="none"/>
          <w:lang w:eastAsia="cs-CZ"/>
        </w:rPr>
        <w:t>obč</w:t>
      </w:r>
      <w:proofErr w:type="spellEnd"/>
      <w:r w:rsidRPr="002D6912">
        <w:rPr>
          <w:rStyle w:val="Hypertextovodkaz"/>
          <w:rFonts w:ascii="Tahoma" w:eastAsia="Times New Roman" w:hAnsi="Tahoma" w:cs="Tahoma"/>
          <w:bCs/>
          <w:color w:val="000000" w:themeColor="text1"/>
          <w:kern w:val="36"/>
          <w:sz w:val="20"/>
          <w:szCs w:val="20"/>
          <w:u w:val="none"/>
          <w:lang w:eastAsia="cs-CZ"/>
        </w:rPr>
        <w:t xml:space="preserve">. </w:t>
      </w:r>
      <w:proofErr w:type="gramStart"/>
      <w:r w:rsidRPr="002D6912">
        <w:rPr>
          <w:rStyle w:val="Hypertextovodkaz"/>
          <w:rFonts w:ascii="Tahoma" w:eastAsia="Times New Roman" w:hAnsi="Tahoma" w:cs="Tahoma"/>
          <w:bCs/>
          <w:color w:val="000000" w:themeColor="text1"/>
          <w:kern w:val="36"/>
          <w:sz w:val="20"/>
          <w:szCs w:val="20"/>
          <w:u w:val="none"/>
          <w:lang w:eastAsia="cs-CZ"/>
        </w:rPr>
        <w:t>zák.</w:t>
      </w:r>
      <w:proofErr w:type="gramEnd"/>
      <w:r w:rsidRPr="002D6912">
        <w:rPr>
          <w:rStyle w:val="Hypertextovodkaz"/>
          <w:rFonts w:ascii="Tahoma" w:eastAsia="Times New Roman" w:hAnsi="Tahoma" w:cs="Tahoma"/>
          <w:bCs/>
          <w:color w:val="000000" w:themeColor="text1"/>
          <w:kern w:val="36"/>
          <w:sz w:val="20"/>
          <w:szCs w:val="20"/>
          <w:u w:val="none"/>
          <w:lang w:eastAsia="cs-CZ"/>
        </w:rPr>
        <w:t xml:space="preserve"> jako námitku vznesenou v rozporu s dobrými mravy. K tomu uvedl,</w:t>
      </w:r>
      <w:r>
        <w:rPr>
          <w:rStyle w:val="Hypertextovodkaz"/>
          <w:rFonts w:ascii="Tahoma" w:eastAsia="Times New Roman" w:hAnsi="Tahoma" w:cs="Tahoma"/>
          <w:bCs/>
          <w:color w:val="000000" w:themeColor="text1"/>
          <w:kern w:val="36"/>
          <w:sz w:val="20"/>
          <w:szCs w:val="20"/>
          <w:u w:val="none"/>
          <w:lang w:eastAsia="cs-CZ"/>
        </w:rPr>
        <w:t xml:space="preserve"> </w:t>
      </w:r>
      <w:r w:rsidRPr="002D6912">
        <w:rPr>
          <w:rStyle w:val="Hypertextovodkaz"/>
          <w:rFonts w:ascii="Tahoma" w:eastAsia="Times New Roman" w:hAnsi="Tahoma" w:cs="Tahoma"/>
          <w:bCs/>
          <w:color w:val="000000" w:themeColor="text1"/>
          <w:kern w:val="36"/>
          <w:sz w:val="20"/>
          <w:szCs w:val="20"/>
          <w:u w:val="none"/>
          <w:lang w:eastAsia="cs-CZ"/>
        </w:rPr>
        <w:t>že odvíjela-li by se promlčecí lhůta od toho, že byla řád</w:t>
      </w:r>
      <w:r>
        <w:rPr>
          <w:rStyle w:val="Hypertextovodkaz"/>
          <w:rFonts w:ascii="Tahoma" w:eastAsia="Times New Roman" w:hAnsi="Tahoma" w:cs="Tahoma"/>
          <w:bCs/>
          <w:color w:val="000000" w:themeColor="text1"/>
          <w:kern w:val="36"/>
          <w:sz w:val="20"/>
          <w:szCs w:val="20"/>
          <w:u w:val="none"/>
          <w:lang w:eastAsia="cs-CZ"/>
        </w:rPr>
        <w:t xml:space="preserve">ně uzavřena smlouva o zápůjčce, </w:t>
      </w:r>
      <w:r w:rsidRPr="002D6912">
        <w:rPr>
          <w:rStyle w:val="Hypertextovodkaz"/>
          <w:rFonts w:ascii="Tahoma" w:eastAsia="Times New Roman" w:hAnsi="Tahoma" w:cs="Tahoma"/>
          <w:bCs/>
          <w:color w:val="000000" w:themeColor="text1"/>
          <w:kern w:val="36"/>
          <w:sz w:val="20"/>
          <w:szCs w:val="20"/>
          <w:u w:val="none"/>
          <w:lang w:eastAsia="cs-CZ"/>
        </w:rPr>
        <w:t xml:space="preserve">z čehož vycházela </w:t>
      </w:r>
      <w:r>
        <w:rPr>
          <w:rStyle w:val="Hypertextovodkaz"/>
          <w:rFonts w:ascii="Tahoma" w:eastAsia="Times New Roman" w:hAnsi="Tahoma" w:cs="Tahoma"/>
          <w:bCs/>
          <w:color w:val="000000" w:themeColor="text1"/>
          <w:kern w:val="36"/>
          <w:sz w:val="20"/>
          <w:szCs w:val="20"/>
          <w:u w:val="none"/>
          <w:lang w:eastAsia="cs-CZ"/>
        </w:rPr>
        <w:t>úvěrová instituce</w:t>
      </w:r>
      <w:r w:rsidRPr="002D6912">
        <w:rPr>
          <w:rStyle w:val="Hypertextovodkaz"/>
          <w:rFonts w:ascii="Tahoma" w:eastAsia="Times New Roman" w:hAnsi="Tahoma" w:cs="Tahoma"/>
          <w:bCs/>
          <w:color w:val="000000" w:themeColor="text1"/>
          <w:kern w:val="36"/>
          <w:sz w:val="20"/>
          <w:szCs w:val="20"/>
          <w:u w:val="none"/>
          <w:lang w:eastAsia="cs-CZ"/>
        </w:rPr>
        <w:t xml:space="preserve">, byla by žaloba podána včas. </w:t>
      </w:r>
    </w:p>
    <w:p w:rsidR="00407E45" w:rsidRPr="00407E45" w:rsidRDefault="00407E45" w:rsidP="00407E45">
      <w:pPr>
        <w:jc w:val="both"/>
        <w:rPr>
          <w:rStyle w:val="Hypertextovodkaz"/>
          <w:rFonts w:ascii="Tahoma" w:eastAsia="Times New Roman" w:hAnsi="Tahoma" w:cs="Tahoma"/>
          <w:bCs/>
          <w:color w:val="000000" w:themeColor="text1"/>
          <w:kern w:val="36"/>
          <w:sz w:val="20"/>
          <w:szCs w:val="20"/>
          <w:u w:val="none"/>
          <w:lang w:eastAsia="cs-CZ"/>
        </w:rPr>
      </w:pPr>
      <w:r w:rsidRPr="00407E45">
        <w:rPr>
          <w:rStyle w:val="Hypertextovodkaz"/>
          <w:rFonts w:ascii="Tahoma" w:eastAsia="Times New Roman" w:hAnsi="Tahoma" w:cs="Tahoma"/>
          <w:bCs/>
          <w:color w:val="000000" w:themeColor="text1"/>
          <w:kern w:val="36"/>
          <w:sz w:val="20"/>
          <w:szCs w:val="20"/>
          <w:u w:val="none"/>
          <w:lang w:eastAsia="cs-CZ"/>
        </w:rPr>
        <w:t xml:space="preserve">Vyhodnotil-li okresní soud námitku stěžovatelky na promlčení nároku vedlejší účastnice </w:t>
      </w:r>
      <w:proofErr w:type="gramStart"/>
      <w:r w:rsidRPr="00407E45">
        <w:rPr>
          <w:rStyle w:val="Hypertextovodkaz"/>
          <w:rFonts w:ascii="Tahoma" w:eastAsia="Times New Roman" w:hAnsi="Tahoma" w:cs="Tahoma"/>
          <w:bCs/>
          <w:color w:val="000000" w:themeColor="text1"/>
          <w:kern w:val="36"/>
          <w:sz w:val="20"/>
          <w:szCs w:val="20"/>
          <w:u w:val="none"/>
          <w:lang w:eastAsia="cs-CZ"/>
        </w:rPr>
        <w:t>řízení –  která</w:t>
      </w:r>
      <w:proofErr w:type="gramEnd"/>
      <w:r w:rsidRPr="00407E45">
        <w:rPr>
          <w:rStyle w:val="Hypertextovodkaz"/>
          <w:rFonts w:ascii="Tahoma" w:eastAsia="Times New Roman" w:hAnsi="Tahoma" w:cs="Tahoma"/>
          <w:bCs/>
          <w:color w:val="000000" w:themeColor="text1"/>
          <w:kern w:val="36"/>
          <w:sz w:val="20"/>
          <w:szCs w:val="20"/>
          <w:u w:val="none"/>
          <w:lang w:eastAsia="cs-CZ"/>
        </w:rPr>
        <w:t xml:space="preserve"> si jako profesionálka</w:t>
      </w:r>
      <w:r w:rsidR="002D6912">
        <w:rPr>
          <w:rStyle w:val="Hypertextovodkaz"/>
          <w:rFonts w:ascii="Tahoma" w:eastAsia="Times New Roman" w:hAnsi="Tahoma" w:cs="Tahoma"/>
          <w:bCs/>
          <w:color w:val="000000" w:themeColor="text1"/>
          <w:kern w:val="36"/>
          <w:sz w:val="20"/>
          <w:szCs w:val="20"/>
          <w:u w:val="none"/>
          <w:lang w:eastAsia="cs-CZ"/>
        </w:rPr>
        <w:t xml:space="preserve"> (úvěrová instituce)</w:t>
      </w:r>
      <w:r w:rsidRPr="00407E45">
        <w:rPr>
          <w:rStyle w:val="Hypertextovodkaz"/>
          <w:rFonts w:ascii="Tahoma" w:eastAsia="Times New Roman" w:hAnsi="Tahoma" w:cs="Tahoma"/>
          <w:bCs/>
          <w:color w:val="000000" w:themeColor="text1"/>
          <w:kern w:val="36"/>
          <w:sz w:val="20"/>
          <w:szCs w:val="20"/>
          <w:u w:val="none"/>
          <w:lang w:eastAsia="cs-CZ"/>
        </w:rPr>
        <w:t xml:space="preserve"> mohla být vědoma, že smlouva o zápůjčce může být neplatná (pro nesplnění povinnosti zkoumat úvěruschopnost stěžovatelky) a proto bude možno věc posoudit toliko jako bezdůvodné obohacení, s důsledkem v podobě odlišného určení počátku promlčecí lhůty, a přesto podala žalobu opožděně – k tíži stěžovatelky, když její námitku kvalifikoval jako odporující dobrým mravům, porušil stěžovatelčino právo na soudní ochranu podle čl. 36 odst. 1 Listiny základních práv a svobod.</w:t>
      </w:r>
    </w:p>
    <w:p w:rsidR="00407E45" w:rsidRPr="00407E45" w:rsidRDefault="00407E45" w:rsidP="00407E45">
      <w:pPr>
        <w:jc w:val="both"/>
        <w:rPr>
          <w:rStyle w:val="Hypertextovodkaz"/>
          <w:rFonts w:ascii="Tahoma" w:eastAsia="Times New Roman" w:hAnsi="Tahoma" w:cs="Tahoma"/>
          <w:bCs/>
          <w:color w:val="000000" w:themeColor="text1"/>
          <w:kern w:val="36"/>
          <w:sz w:val="20"/>
          <w:szCs w:val="20"/>
          <w:u w:val="none"/>
          <w:lang w:eastAsia="cs-CZ"/>
        </w:rPr>
      </w:pPr>
      <w:r w:rsidRPr="00407E45">
        <w:rPr>
          <w:rStyle w:val="Hypertextovodkaz"/>
          <w:rFonts w:ascii="Tahoma" w:eastAsia="Times New Roman" w:hAnsi="Tahoma" w:cs="Tahoma"/>
          <w:bCs/>
          <w:color w:val="000000" w:themeColor="text1"/>
          <w:kern w:val="36"/>
          <w:sz w:val="20"/>
          <w:szCs w:val="20"/>
          <w:u w:val="none"/>
          <w:lang w:eastAsia="cs-CZ"/>
        </w:rPr>
        <w:t>Ústavní soud svým rozhodnutím nikterak nezpochybňuje zásadu, že dluhy se mají plnit. Vznesla-li však stěžovatelka jak námitku neplatnosti smlouvy o zápůjčce, tak i námitku promlčení, nelze tyto instituty obcházet poukazem na rozpor s dobrými mravy, nebyly-li podmínky pro jeho uplatnění splněny.</w:t>
      </w:r>
    </w:p>
    <w:p w:rsidR="00067A61" w:rsidRPr="00067A61" w:rsidRDefault="00067A61" w:rsidP="00067A61">
      <w:pPr>
        <w:pStyle w:val="Bezmezer"/>
        <w:spacing w:line="276" w:lineRule="auto"/>
        <w:jc w:val="both"/>
        <w:rPr>
          <w:rStyle w:val="Hypertextovodkaz"/>
          <w:rFonts w:ascii="Tahoma" w:eastAsia="Times New Roman" w:hAnsi="Tahoma" w:cs="Tahoma"/>
          <w:b/>
          <w:bCs/>
          <w:color w:val="000000" w:themeColor="text1"/>
          <w:kern w:val="36"/>
          <w:sz w:val="20"/>
          <w:szCs w:val="20"/>
          <w:lang w:eastAsia="cs-CZ"/>
        </w:rPr>
      </w:pPr>
    </w:p>
    <w:p w:rsidR="00067A61" w:rsidRPr="003F7FFC" w:rsidRDefault="003D0450" w:rsidP="002D6912">
      <w:pPr>
        <w:pStyle w:val="Bezmezer"/>
        <w:shd w:val="clear" w:color="auto" w:fill="D9D9D9" w:themeFill="background1" w:themeFillShade="D9"/>
        <w:spacing w:line="276" w:lineRule="auto"/>
        <w:jc w:val="both"/>
        <w:rPr>
          <w:rStyle w:val="Hypertextovodkaz"/>
          <w:rFonts w:ascii="Tahoma" w:eastAsia="Times New Roman" w:hAnsi="Tahoma" w:cs="Tahoma"/>
          <w:b/>
          <w:bCs/>
          <w:i/>
          <w:color w:val="FF0000"/>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sidR="002D6912">
        <w:rPr>
          <w:rStyle w:val="Hypertextovodkaz"/>
          <w:rFonts w:ascii="Tahoma" w:eastAsia="Times New Roman" w:hAnsi="Tahoma" w:cs="Tahoma"/>
          <w:bCs/>
          <w:i/>
          <w:color w:val="000000" w:themeColor="text1"/>
          <w:kern w:val="36"/>
          <w:sz w:val="20"/>
          <w:szCs w:val="20"/>
          <w:u w:val="none"/>
          <w:lang w:eastAsia="cs-CZ"/>
        </w:rPr>
        <w:t>Na vědomí POŘ.</w:t>
      </w:r>
    </w:p>
    <w:p w:rsidR="003D0450" w:rsidRDefault="003D0450" w:rsidP="003D0450">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spacing w:line="360" w:lineRule="auto"/>
        <w:jc w:val="both"/>
        <w:rPr>
          <w:rFonts w:ascii="Tahoma" w:hAnsi="Tahoma" w:cs="Tahoma"/>
          <w:color w:val="000000" w:themeColor="text1"/>
          <w:sz w:val="20"/>
          <w:szCs w:val="20"/>
        </w:rPr>
      </w:pPr>
    </w:p>
    <w:p w:rsidR="005201EC" w:rsidRDefault="005201EC" w:rsidP="00A1789A">
      <w:pPr>
        <w:spacing w:line="360" w:lineRule="auto"/>
        <w:jc w:val="both"/>
        <w:rPr>
          <w:rFonts w:ascii="Tahoma" w:hAnsi="Tahoma" w:cs="Tahoma"/>
          <w:color w:val="000000" w:themeColor="text1"/>
          <w:sz w:val="20"/>
          <w:szCs w:val="20"/>
        </w:rPr>
      </w:pPr>
    </w:p>
    <w:p w:rsidR="00A1789A" w:rsidRPr="00A1789A" w:rsidRDefault="00222619" w:rsidP="00A1789A">
      <w:pPr>
        <w:spacing w:line="360" w:lineRule="auto"/>
        <w:jc w:val="center"/>
        <w:rPr>
          <w:rFonts w:ascii="Tahoma" w:hAnsi="Tahoma" w:cs="Tahoma"/>
          <w:color w:val="000000" w:themeColor="text1"/>
          <w:sz w:val="20"/>
          <w:szCs w:val="20"/>
        </w:rPr>
      </w:pPr>
      <w:r w:rsidRPr="00222619">
        <w:rPr>
          <w:rStyle w:val="Hypertextovodkaz"/>
          <w:rFonts w:ascii="Tahoma" w:eastAsia="Times New Roman" w:hAnsi="Tahoma" w:cs="Tahoma"/>
          <w:b/>
          <w:bCs/>
          <w:color w:val="000000" w:themeColor="text1"/>
          <w:kern w:val="36"/>
          <w:sz w:val="24"/>
          <w:szCs w:val="24"/>
          <w:u w:val="none"/>
          <w:lang w:eastAsia="cs-CZ"/>
        </w:rPr>
        <w:lastRenderedPageBreak/>
        <w:t>Zrušení pracovního poměru ve zkušební době a nárok na vyplacení 12násobku průměrného výdělku</w:t>
      </w:r>
      <w:r w:rsidR="005201EC">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A1789A" w:rsidRDefault="00A1789A"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Nejvyššího soudu, </w:t>
      </w:r>
      <w:r w:rsidR="00222619">
        <w:rPr>
          <w:rStyle w:val="Hypertextovodkaz"/>
          <w:rFonts w:ascii="Tahoma" w:eastAsia="Times New Roman" w:hAnsi="Tahoma" w:cs="Tahoma"/>
          <w:bCs/>
          <w:color w:val="000000" w:themeColor="text1"/>
          <w:kern w:val="36"/>
          <w:sz w:val="20"/>
          <w:szCs w:val="20"/>
          <w:u w:val="none"/>
          <w:lang w:eastAsia="cs-CZ"/>
        </w:rPr>
        <w:t>3</w:t>
      </w:r>
      <w:r w:rsidR="00222619" w:rsidRPr="00222619">
        <w:rPr>
          <w:rStyle w:val="Hypertextovodkaz"/>
          <w:rFonts w:ascii="Tahoma" w:eastAsia="Times New Roman" w:hAnsi="Tahoma" w:cs="Tahoma"/>
          <w:bCs/>
          <w:color w:val="000000" w:themeColor="text1"/>
          <w:kern w:val="36"/>
          <w:sz w:val="20"/>
          <w:szCs w:val="20"/>
          <w:u w:val="none"/>
          <w:lang w:eastAsia="cs-CZ"/>
        </w:rPr>
        <w:t>2 Cdo 3237/2019</w:t>
      </w:r>
    </w:p>
    <w:p w:rsidR="00A1789A" w:rsidRDefault="00A1789A" w:rsidP="00A1789A">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222619" w:rsidRDefault="00222619" w:rsidP="00222619">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kontaktoval, že zákoník práce</w:t>
      </w:r>
      <w:r w:rsidRPr="00222619">
        <w:rPr>
          <w:rStyle w:val="Hypertextovodkaz"/>
          <w:rFonts w:ascii="Tahoma" w:eastAsia="Times New Roman" w:hAnsi="Tahoma" w:cs="Tahoma"/>
          <w:bCs/>
          <w:color w:val="000000" w:themeColor="text1"/>
          <w:kern w:val="36"/>
          <w:sz w:val="20"/>
          <w:szCs w:val="20"/>
          <w:u w:val="none"/>
          <w:lang w:eastAsia="cs-CZ"/>
        </w:rPr>
        <w:t xml:space="preserve"> povinnost k poskytnutí odstupného ve výši (nejméně) dvanáctinásobku průměrného výdělku váže na ukončení pracovního poměru formou výpovědi podle ustanovení § 52 písm. d) zák. práce anebo formou dohody z týchž důvodů</w:t>
      </w:r>
      <w:r>
        <w:rPr>
          <w:rStyle w:val="Hypertextovodkaz"/>
          <w:rFonts w:ascii="Tahoma" w:eastAsia="Times New Roman" w:hAnsi="Tahoma" w:cs="Tahoma"/>
          <w:bCs/>
          <w:color w:val="000000" w:themeColor="text1"/>
          <w:kern w:val="36"/>
          <w:sz w:val="20"/>
          <w:szCs w:val="20"/>
          <w:u w:val="none"/>
          <w:lang w:eastAsia="cs-CZ"/>
        </w:rPr>
        <w:t xml:space="preserve"> (</w:t>
      </w:r>
      <w:r w:rsidRPr="00222619">
        <w:rPr>
          <w:rStyle w:val="Hypertextovodkaz"/>
          <w:rFonts w:ascii="Tahoma" w:eastAsia="Times New Roman" w:hAnsi="Tahoma" w:cs="Tahoma"/>
          <w:bCs/>
          <w:i/>
          <w:color w:val="000000" w:themeColor="text1"/>
          <w:kern w:val="36"/>
          <w:sz w:val="20"/>
          <w:szCs w:val="20"/>
          <w:u w:val="none"/>
          <w:lang w:eastAsia="cs-CZ"/>
        </w:rPr>
        <w:t>nesmí-li zaměstnanec podle lékařského posudku konat dosavadní práci pro pracovní úraz, onemocnění nemocí z povolání</w:t>
      </w:r>
      <w:r>
        <w:rPr>
          <w:rStyle w:val="Hypertextovodkaz"/>
          <w:rFonts w:ascii="Tahoma" w:eastAsia="Times New Roman" w:hAnsi="Tahoma" w:cs="Tahoma"/>
          <w:bCs/>
          <w:color w:val="000000" w:themeColor="text1"/>
          <w:kern w:val="36"/>
          <w:sz w:val="20"/>
          <w:szCs w:val="20"/>
          <w:u w:val="none"/>
          <w:lang w:eastAsia="cs-CZ"/>
        </w:rPr>
        <w:t>)</w:t>
      </w:r>
      <w:r w:rsidRPr="00222619">
        <w:rPr>
          <w:rStyle w:val="Hypertextovodkaz"/>
          <w:rFonts w:ascii="Tahoma" w:eastAsia="Times New Roman" w:hAnsi="Tahoma" w:cs="Tahoma"/>
          <w:bCs/>
          <w:color w:val="000000" w:themeColor="text1"/>
          <w:kern w:val="36"/>
          <w:sz w:val="20"/>
          <w:szCs w:val="20"/>
          <w:u w:val="none"/>
          <w:lang w:eastAsia="cs-CZ"/>
        </w:rPr>
        <w:t>.</w:t>
      </w:r>
    </w:p>
    <w:p w:rsidR="00222619" w:rsidRDefault="00222619" w:rsidP="00222619">
      <w:pPr>
        <w:pStyle w:val="Bezmezer"/>
        <w:jc w:val="both"/>
        <w:rPr>
          <w:rStyle w:val="Hypertextovodkaz"/>
          <w:rFonts w:ascii="Tahoma" w:eastAsia="Times New Roman" w:hAnsi="Tahoma" w:cs="Tahoma"/>
          <w:bCs/>
          <w:color w:val="000000" w:themeColor="text1"/>
          <w:kern w:val="36"/>
          <w:sz w:val="20"/>
          <w:szCs w:val="20"/>
          <w:u w:val="none"/>
          <w:lang w:eastAsia="cs-CZ"/>
        </w:rPr>
      </w:pPr>
    </w:p>
    <w:p w:rsidR="00222619" w:rsidRDefault="00222619" w:rsidP="00222619">
      <w:pPr>
        <w:pStyle w:val="Bezmezer"/>
        <w:jc w:val="both"/>
        <w:rPr>
          <w:rStyle w:val="Hypertextovodkaz"/>
          <w:rFonts w:ascii="Tahoma" w:eastAsia="Times New Roman" w:hAnsi="Tahoma" w:cs="Tahoma"/>
          <w:bCs/>
          <w:color w:val="000000" w:themeColor="text1"/>
          <w:kern w:val="36"/>
          <w:sz w:val="20"/>
          <w:szCs w:val="20"/>
          <w:u w:val="none"/>
          <w:lang w:eastAsia="cs-CZ"/>
        </w:rPr>
      </w:pPr>
      <w:r w:rsidRPr="00222619">
        <w:rPr>
          <w:rStyle w:val="Hypertextovodkaz"/>
          <w:rFonts w:ascii="Tahoma" w:eastAsia="Times New Roman" w:hAnsi="Tahoma" w:cs="Tahoma"/>
          <w:bCs/>
          <w:color w:val="000000" w:themeColor="text1"/>
          <w:kern w:val="36"/>
          <w:sz w:val="20"/>
          <w:szCs w:val="20"/>
          <w:u w:val="none"/>
          <w:lang w:eastAsia="cs-CZ"/>
        </w:rPr>
        <w:t xml:space="preserve">Zaměstnanci, se kterým byl ze strany zaměstnavatele </w:t>
      </w:r>
      <w:r w:rsidRPr="00222619">
        <w:rPr>
          <w:rStyle w:val="Hypertextovodkaz"/>
          <w:rFonts w:ascii="Tahoma" w:eastAsia="Times New Roman" w:hAnsi="Tahoma" w:cs="Tahoma"/>
          <w:b/>
          <w:bCs/>
          <w:color w:val="000000" w:themeColor="text1"/>
          <w:kern w:val="36"/>
          <w:sz w:val="20"/>
          <w:szCs w:val="20"/>
          <w:u w:val="none"/>
          <w:lang w:eastAsia="cs-CZ"/>
        </w:rPr>
        <w:t>zrušen pracovní poměr ve zkušební době</w:t>
      </w:r>
      <w:r w:rsidRPr="00222619">
        <w:rPr>
          <w:rStyle w:val="Hypertextovodkaz"/>
          <w:rFonts w:ascii="Tahoma" w:eastAsia="Times New Roman" w:hAnsi="Tahoma" w:cs="Tahoma"/>
          <w:bCs/>
          <w:color w:val="000000" w:themeColor="text1"/>
          <w:kern w:val="36"/>
          <w:sz w:val="20"/>
          <w:szCs w:val="20"/>
          <w:u w:val="none"/>
          <w:lang w:eastAsia="cs-CZ"/>
        </w:rPr>
        <w:t xml:space="preserve"> z</w:t>
      </w:r>
      <w:r>
        <w:rPr>
          <w:rStyle w:val="Hypertextovodkaz"/>
          <w:rFonts w:ascii="Tahoma" w:eastAsia="Times New Roman" w:hAnsi="Tahoma" w:cs="Tahoma"/>
          <w:bCs/>
          <w:color w:val="000000" w:themeColor="text1"/>
          <w:kern w:val="36"/>
          <w:sz w:val="20"/>
          <w:szCs w:val="20"/>
          <w:u w:val="none"/>
          <w:lang w:eastAsia="cs-CZ"/>
        </w:rPr>
        <w:t> </w:t>
      </w:r>
      <w:r w:rsidRPr="00222619">
        <w:rPr>
          <w:rStyle w:val="Hypertextovodkaz"/>
          <w:rFonts w:ascii="Tahoma" w:eastAsia="Times New Roman" w:hAnsi="Tahoma" w:cs="Tahoma"/>
          <w:bCs/>
          <w:color w:val="000000" w:themeColor="text1"/>
          <w:kern w:val="36"/>
          <w:sz w:val="20"/>
          <w:szCs w:val="20"/>
          <w:u w:val="none"/>
          <w:lang w:eastAsia="cs-CZ"/>
        </w:rPr>
        <w:t xml:space="preserve">důvodů, pro které by bylo nutno pracovní poměr ukončit výpovědí podle ustanovení § 52 písm. d) zákoníku práce anebo dohodou z týchž důvodů, </w:t>
      </w:r>
      <w:r w:rsidRPr="00222619">
        <w:rPr>
          <w:rStyle w:val="Hypertextovodkaz"/>
          <w:rFonts w:ascii="Tahoma" w:eastAsia="Times New Roman" w:hAnsi="Tahoma" w:cs="Tahoma"/>
          <w:b/>
          <w:bCs/>
          <w:color w:val="000000" w:themeColor="text1"/>
          <w:kern w:val="36"/>
          <w:sz w:val="20"/>
          <w:szCs w:val="20"/>
          <w:u w:val="none"/>
          <w:lang w:eastAsia="cs-CZ"/>
        </w:rPr>
        <w:t>odstupné podle ustanovení § 67 odst. 2 zákoníku práce ve výši dvanáctinásobku průměrného výdělku nenáleží</w:t>
      </w:r>
      <w:r w:rsidRPr="00222619">
        <w:rPr>
          <w:rStyle w:val="Hypertextovodkaz"/>
          <w:rFonts w:ascii="Tahoma" w:eastAsia="Times New Roman" w:hAnsi="Tahoma" w:cs="Tahoma"/>
          <w:bCs/>
          <w:color w:val="000000" w:themeColor="text1"/>
          <w:kern w:val="36"/>
          <w:sz w:val="20"/>
          <w:szCs w:val="20"/>
          <w:u w:val="none"/>
          <w:lang w:eastAsia="cs-CZ"/>
        </w:rPr>
        <w:t>.</w:t>
      </w:r>
    </w:p>
    <w:p w:rsidR="00222619" w:rsidRPr="00222619" w:rsidRDefault="00222619" w:rsidP="00222619">
      <w:pPr>
        <w:pStyle w:val="Bezmezer"/>
        <w:jc w:val="both"/>
        <w:rPr>
          <w:rStyle w:val="Hypertextovodkaz"/>
          <w:rFonts w:ascii="Tahoma" w:eastAsia="Times New Roman" w:hAnsi="Tahoma" w:cs="Tahoma"/>
          <w:bCs/>
          <w:color w:val="000000" w:themeColor="text1"/>
          <w:kern w:val="36"/>
          <w:sz w:val="20"/>
          <w:szCs w:val="20"/>
          <w:u w:val="none"/>
          <w:lang w:eastAsia="cs-CZ"/>
        </w:rPr>
      </w:pPr>
    </w:p>
    <w:p w:rsidR="00A1789A" w:rsidRDefault="00222619" w:rsidP="002226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222619">
        <w:rPr>
          <w:rStyle w:val="Hypertextovodkaz"/>
          <w:rFonts w:ascii="Tahoma" w:eastAsia="Times New Roman" w:hAnsi="Tahoma" w:cs="Tahoma"/>
          <w:b/>
          <w:bCs/>
          <w:color w:val="000000" w:themeColor="text1"/>
          <w:kern w:val="36"/>
          <w:sz w:val="20"/>
          <w:szCs w:val="20"/>
          <w:u w:val="none"/>
          <w:lang w:eastAsia="cs-CZ"/>
        </w:rPr>
        <w:t>Ochrana zaměstnance v situaci, kdy je se zaměstnancem účelově zrušen ze strany zaměstnavatele pracovní poměr ve zkušební době jen a pouze z důvodu zdravotního stavu zaměstnance, je poskytnuta prostřednictvím institutu zákazu diskriminace v pracovněprávních vztazích, který je vyjádřen v ustanovení § 16 zák. práce a jehož porušení je důvodem vyslovení neplatnosti rozvázání pracovního poměru.</w:t>
      </w:r>
      <w:r w:rsidRPr="00222619">
        <w:rPr>
          <w:rStyle w:val="Hypertextovodkaz"/>
          <w:rFonts w:ascii="Tahoma" w:eastAsia="Times New Roman" w:hAnsi="Tahoma" w:cs="Tahoma"/>
          <w:bCs/>
          <w:color w:val="000000" w:themeColor="text1"/>
          <w:kern w:val="36"/>
          <w:sz w:val="20"/>
          <w:szCs w:val="20"/>
          <w:u w:val="none"/>
          <w:lang w:eastAsia="cs-CZ"/>
        </w:rPr>
        <w:t xml:space="preserve"> Zaměstnanec má tedy i v této situaci účinný nástroj k ochraně svých zájmů; prostřednictvím něho též může dosáhnout na nároky podle ustanovení § 67 odst. 2 zák. </w:t>
      </w:r>
    </w:p>
    <w:p w:rsidR="00222619" w:rsidRDefault="00222619" w:rsidP="002226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1789A" w:rsidRDefault="00A1789A" w:rsidP="00A178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p>
    <w:p w:rsidR="004242CD" w:rsidRDefault="004242CD" w:rsidP="004242CD">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01EC" w:rsidRDefault="005201EC" w:rsidP="004242CD">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1F627B" w:rsidRDefault="001F627B" w:rsidP="004242CD">
      <w:pPr>
        <w:pStyle w:val="Bezmezer"/>
        <w:spacing w:line="276" w:lineRule="auto"/>
        <w:jc w:val="center"/>
        <w:rPr>
          <w:rFonts w:ascii="Tahoma" w:hAnsi="Tahoma" w:cs="Tahoma"/>
          <w:b/>
          <w:sz w:val="24"/>
          <w:szCs w:val="24"/>
        </w:rPr>
      </w:pPr>
      <w:r w:rsidRPr="001F627B">
        <w:rPr>
          <w:rFonts w:ascii="Tahoma" w:hAnsi="Tahoma" w:cs="Tahoma"/>
          <w:b/>
          <w:sz w:val="24"/>
          <w:szCs w:val="24"/>
        </w:rPr>
        <w:t>K pandemii onemocnění COVID-19 jako důvodu hodného zvláštního zřetele při zrušení zadávacího řízení</w:t>
      </w:r>
    </w:p>
    <w:p w:rsidR="001F627B" w:rsidRDefault="001F627B" w:rsidP="004242CD">
      <w:pPr>
        <w:pStyle w:val="Bezmezer"/>
        <w:spacing w:line="276" w:lineRule="auto"/>
        <w:jc w:val="center"/>
        <w:rPr>
          <w:rFonts w:ascii="Tahoma" w:hAnsi="Tahoma" w:cs="Tahoma"/>
          <w:b/>
          <w:sz w:val="24"/>
          <w:szCs w:val="24"/>
        </w:rPr>
      </w:pPr>
      <w:r>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4242CD" w:rsidRDefault="001F627B"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ÚOHS, ÚOHS-R0042/2021/VZ</w:t>
      </w:r>
    </w:p>
    <w:p w:rsidR="001F627B" w:rsidRDefault="001F627B"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Úřad shledal, že nelze přijmout obecné pravidlo, podle něhož by pandemie onemocnění COVID-19 či související protiepidemická opatření znamenaly samy o sobě důvod hodný zvláštního zřetele, pro nějž nelze po zadavateli požadovat, aby v zadávacím řízení pokračoval. V takovém případě by bylo možné pandemii aplikovat jako univerzální důvod pro zrušení všech zadávacích řízení realizovaných od konce února nebo počátku března roku 2020, aniž by podléhalo přezkumu, zda bylo zadávací řízení touto situací skutečně zasaženo v takové intenzitě, že by byl atakován smysl jeho dokončení.</w:t>
      </w: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Úřad rovněž zadavateli vytkl, že blíže nespecifikoval způsob, jakým by měla pandemie onemocnění COVID-19 zapříčinit nemožnost plnění.</w:t>
      </w: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w:t>
      </w:r>
      <w:r>
        <w:rPr>
          <w:rStyle w:val="Hypertextovodkaz"/>
          <w:rFonts w:ascii="Tahoma" w:eastAsia="Times New Roman" w:hAnsi="Tahoma" w:cs="Tahoma"/>
          <w:bCs/>
          <w:i/>
          <w:color w:val="000000" w:themeColor="text1"/>
          <w:kern w:val="36"/>
          <w:sz w:val="20"/>
          <w:szCs w:val="20"/>
          <w:u w:val="none"/>
          <w:lang w:eastAsia="cs-CZ"/>
        </w:rPr>
        <w:t xml:space="preserve"> a OCN</w:t>
      </w:r>
      <w:r>
        <w:rPr>
          <w:rStyle w:val="Hypertextovodkaz"/>
          <w:rFonts w:ascii="Tahoma" w:eastAsia="Times New Roman" w:hAnsi="Tahoma" w:cs="Tahoma"/>
          <w:bCs/>
          <w:i/>
          <w:color w:val="000000" w:themeColor="text1"/>
          <w:kern w:val="36"/>
          <w:sz w:val="20"/>
          <w:szCs w:val="20"/>
          <w:u w:val="none"/>
          <w:lang w:eastAsia="cs-CZ"/>
        </w:rPr>
        <w:t>.</w:t>
      </w: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201EC" w:rsidRDefault="005201EC"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pacing w:line="276" w:lineRule="auto"/>
        <w:jc w:val="center"/>
        <w:rPr>
          <w:rFonts w:ascii="Tahoma" w:hAnsi="Tahoma" w:cs="Tahoma"/>
          <w:b/>
          <w:sz w:val="24"/>
          <w:szCs w:val="24"/>
        </w:rPr>
      </w:pPr>
      <w:r w:rsidRPr="001F627B">
        <w:rPr>
          <w:rFonts w:ascii="Tahoma" w:hAnsi="Tahoma" w:cs="Tahoma"/>
          <w:b/>
          <w:sz w:val="24"/>
          <w:szCs w:val="24"/>
        </w:rPr>
        <w:lastRenderedPageBreak/>
        <w:t>K požadavku na pracovněprávní poměr osob podílejících se na plnění veřejné zakázky</w:t>
      </w:r>
    </w:p>
    <w:p w:rsidR="001F627B" w:rsidRDefault="001F627B" w:rsidP="001F627B">
      <w:pPr>
        <w:pStyle w:val="Bezmezer"/>
        <w:spacing w:line="276" w:lineRule="auto"/>
        <w:jc w:val="center"/>
        <w:rPr>
          <w:rFonts w:ascii="Tahoma" w:hAnsi="Tahoma" w:cs="Tahoma"/>
          <w:b/>
          <w:sz w:val="24"/>
          <w:szCs w:val="24"/>
        </w:rPr>
      </w:pPr>
      <w:r>
        <w:rPr>
          <w:rStyle w:val="Hypertextovodkaz"/>
          <w:rFonts w:ascii="Tahoma" w:eastAsia="Times New Roman" w:hAnsi="Tahoma" w:cs="Tahoma"/>
          <w:b/>
          <w:bCs/>
          <w:color w:val="000000" w:themeColor="text1"/>
          <w:kern w:val="36"/>
          <w:sz w:val="24"/>
          <w:szCs w:val="24"/>
          <w:u w:val="none"/>
          <w:lang w:eastAsia="cs-CZ"/>
        </w:rPr>
        <w:pict>
          <v:rect id="_x0000_i1033" style="width:0;height:1.5pt" o:hralign="center" o:hrstd="t" o:hr="t" fillcolor="#a0a0a0" stroked="f"/>
        </w:pict>
      </w:r>
    </w:p>
    <w:p w:rsidR="001F627B" w:rsidRDefault="001F627B"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ÚOHS, ÚOHS-S0314/2020/VZ</w:t>
      </w:r>
    </w:p>
    <w:p w:rsidR="001F627B" w:rsidRDefault="001F627B" w:rsidP="001F627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ÚOHS zrušil zadávací řízení na výstavbu základní a mateřské školy, v němž </w:t>
      </w:r>
      <w:r w:rsidR="000755DF">
        <w:rPr>
          <w:rStyle w:val="Hypertextovodkaz"/>
          <w:rFonts w:ascii="Tahoma" w:eastAsia="Times New Roman" w:hAnsi="Tahoma" w:cs="Tahoma"/>
          <w:bCs/>
          <w:color w:val="000000" w:themeColor="text1"/>
          <w:kern w:val="36"/>
          <w:sz w:val="20"/>
          <w:szCs w:val="20"/>
          <w:u w:val="none"/>
          <w:lang w:eastAsia="cs-CZ"/>
        </w:rPr>
        <w:t xml:space="preserve">zadavatel v rámci odborné způsobilosti několika osob, které by se podílely na plnění veřejné zakázky, aby tyto osoby byly v pracovním poměru s dodavatelem, případně obdobném pracovněprávním vztahu. </w:t>
      </w:r>
    </w:p>
    <w:p w:rsidR="000755DF" w:rsidRDefault="000755DF"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0755DF" w:rsidRDefault="000755DF"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Úřad připomněl, že podle § 73 odst. 4 ZZVZ není zadavatel v nadlimitním režimu oprávněn požadovat prokázání jiné kvalifikace, než která je uvedená v § 73 odst. 1 až 3 ZZVZ. </w:t>
      </w:r>
    </w:p>
    <w:p w:rsidR="001F627B" w:rsidRDefault="001F627B" w:rsidP="001F627B">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1F627B" w:rsidRDefault="001F627B" w:rsidP="001F627B">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 xml:space="preserve">Úkol: </w:t>
      </w:r>
      <w:r>
        <w:rPr>
          <w:rStyle w:val="Hypertextovodkaz"/>
          <w:rFonts w:ascii="Tahoma" w:eastAsia="Times New Roman" w:hAnsi="Tahoma" w:cs="Tahoma"/>
          <w:bCs/>
          <w:i/>
          <w:color w:val="000000" w:themeColor="text1"/>
          <w:kern w:val="36"/>
          <w:sz w:val="20"/>
          <w:szCs w:val="20"/>
          <w:u w:val="none"/>
          <w:lang w:eastAsia="cs-CZ"/>
        </w:rPr>
        <w:t>Na vědomí POŘ a OCN.</w:t>
      </w:r>
    </w:p>
    <w:p w:rsidR="001F627B" w:rsidRPr="001F627B" w:rsidRDefault="001F627B" w:rsidP="001F627B">
      <w:pPr>
        <w:pStyle w:val="Bezmezer"/>
        <w:spacing w:line="276" w:lineRule="auto"/>
        <w:jc w:val="center"/>
        <w:rPr>
          <w:rFonts w:ascii="Tahoma" w:hAnsi="Tahoma" w:cs="Tahoma"/>
          <w:b/>
          <w:sz w:val="24"/>
          <w:szCs w:val="24"/>
        </w:rPr>
      </w:pPr>
    </w:p>
    <w:sectPr w:rsidR="001F627B" w:rsidRPr="001F627B"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1D" w:rsidRDefault="008C711D" w:rsidP="004F17ED">
      <w:pPr>
        <w:spacing w:after="0" w:line="240" w:lineRule="auto"/>
      </w:pPr>
      <w:r>
        <w:separator/>
      </w:r>
    </w:p>
  </w:endnote>
  <w:endnote w:type="continuationSeparator" w:id="0">
    <w:p w:rsidR="008C711D" w:rsidRDefault="008C711D"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5201EC">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5201EC">
              <w:rPr>
                <w:rFonts w:ascii="Tahoma" w:hAnsi="Tahoma" w:cs="Tahoma"/>
                <w:b/>
                <w:bCs/>
                <w:noProof/>
                <w:sz w:val="16"/>
                <w:szCs w:val="16"/>
              </w:rPr>
              <w:t>8</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1D" w:rsidRDefault="008C711D" w:rsidP="004F17ED">
      <w:pPr>
        <w:spacing w:after="0" w:line="240" w:lineRule="auto"/>
      </w:pPr>
      <w:r>
        <w:separator/>
      </w:r>
    </w:p>
  </w:footnote>
  <w:footnote w:type="continuationSeparator" w:id="0">
    <w:p w:rsidR="008C711D" w:rsidRDefault="008C711D"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015B84"/>
    <w:multiLevelType w:val="hybridMultilevel"/>
    <w:tmpl w:val="93AEF4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C8B614C"/>
    <w:multiLevelType w:val="hybridMultilevel"/>
    <w:tmpl w:val="229C0C36"/>
    <w:lvl w:ilvl="0" w:tplc="D3A4BFE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0D180E72"/>
    <w:multiLevelType w:val="hybridMultilevel"/>
    <w:tmpl w:val="5E763E14"/>
    <w:lvl w:ilvl="0" w:tplc="04050017">
      <w:start w:val="1"/>
      <w:numFmt w:val="lowerLetter"/>
      <w:lvlText w:val="%1)"/>
      <w:lvlJc w:val="left"/>
      <w:pPr>
        <w:ind w:left="720" w:hanging="360"/>
      </w:pPr>
    </w:lvl>
    <w:lvl w:ilvl="1" w:tplc="F86CDF6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0CD4A4C"/>
    <w:multiLevelType w:val="hybridMultilevel"/>
    <w:tmpl w:val="942E0ECE"/>
    <w:lvl w:ilvl="0" w:tplc="2892D5DA">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9">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2">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2D3224D7"/>
    <w:multiLevelType w:val="hybridMultilevel"/>
    <w:tmpl w:val="85405872"/>
    <w:lvl w:ilvl="0" w:tplc="11706F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E82707B"/>
    <w:multiLevelType w:val="hybridMultilevel"/>
    <w:tmpl w:val="241C92F8"/>
    <w:lvl w:ilvl="0" w:tplc="0405001B">
      <w:start w:val="1"/>
      <w:numFmt w:val="lowerRoman"/>
      <w:lvlText w:val="%1."/>
      <w:lvlJc w:val="righ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5">
    <w:nsid w:val="320355A6"/>
    <w:multiLevelType w:val="hybridMultilevel"/>
    <w:tmpl w:val="4C3E6494"/>
    <w:lvl w:ilvl="0" w:tplc="F9BC34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F2319B"/>
    <w:multiLevelType w:val="hybridMultilevel"/>
    <w:tmpl w:val="A6D60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8">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nsid w:val="3C4A26F7"/>
    <w:multiLevelType w:val="hybridMultilevel"/>
    <w:tmpl w:val="241C92F8"/>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0">
    <w:nsid w:val="3D7D37E4"/>
    <w:multiLevelType w:val="hybridMultilevel"/>
    <w:tmpl w:val="6FE058DA"/>
    <w:lvl w:ilvl="0" w:tplc="781AF506">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DB91E82"/>
    <w:multiLevelType w:val="hybridMultilevel"/>
    <w:tmpl w:val="50E4CA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E2B396E"/>
    <w:multiLevelType w:val="hybridMultilevel"/>
    <w:tmpl w:val="BDEA2F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3901BC5"/>
    <w:multiLevelType w:val="multilevel"/>
    <w:tmpl w:val="4A0E85BC"/>
    <w:lvl w:ilvl="0">
      <w:start w:val="2"/>
      <w:numFmt w:val="upperRoman"/>
      <w:lvlText w:val="%1."/>
      <w:lvlJc w:val="right"/>
      <w:pPr>
        <w:ind w:left="5464" w:hanging="360"/>
      </w:pPr>
      <w:rPr>
        <w:rFonts w:ascii="Tahoma" w:hAnsi="Tahoma" w:cs="Tahoma" w:hint="default"/>
        <w:b/>
        <w:sz w:val="28"/>
      </w:rPr>
    </w:lvl>
    <w:lvl w:ilvl="1">
      <w:start w:val="1"/>
      <w:numFmt w:val="decimal"/>
      <w:isLgl/>
      <w:lvlText w:val="%1.%2."/>
      <w:lvlJc w:val="left"/>
      <w:pPr>
        <w:ind w:left="6004" w:hanging="720"/>
      </w:pPr>
      <w:rPr>
        <w:rFonts w:hint="default"/>
      </w:rPr>
    </w:lvl>
    <w:lvl w:ilvl="2">
      <w:start w:val="1"/>
      <w:numFmt w:val="decimal"/>
      <w:isLgl/>
      <w:lvlText w:val="%1.%2.%3."/>
      <w:lvlJc w:val="left"/>
      <w:pPr>
        <w:ind w:left="6184" w:hanging="720"/>
      </w:pPr>
      <w:rPr>
        <w:rFonts w:hint="default"/>
      </w:rPr>
    </w:lvl>
    <w:lvl w:ilvl="3">
      <w:start w:val="1"/>
      <w:numFmt w:val="decimal"/>
      <w:isLgl/>
      <w:lvlText w:val="%1.%2.%3.%4."/>
      <w:lvlJc w:val="left"/>
      <w:pPr>
        <w:ind w:left="6724" w:hanging="1080"/>
      </w:pPr>
      <w:rPr>
        <w:rFonts w:hint="default"/>
      </w:rPr>
    </w:lvl>
    <w:lvl w:ilvl="4">
      <w:start w:val="1"/>
      <w:numFmt w:val="decimal"/>
      <w:isLgl/>
      <w:lvlText w:val="%1.%2.%3.%4.%5."/>
      <w:lvlJc w:val="left"/>
      <w:pPr>
        <w:ind w:left="6904" w:hanging="1080"/>
      </w:pPr>
      <w:rPr>
        <w:rFonts w:hint="default"/>
      </w:rPr>
    </w:lvl>
    <w:lvl w:ilvl="5">
      <w:start w:val="1"/>
      <w:numFmt w:val="decimal"/>
      <w:isLgl/>
      <w:lvlText w:val="%1.%2.%3.%4.%5.%6."/>
      <w:lvlJc w:val="left"/>
      <w:pPr>
        <w:ind w:left="7444" w:hanging="1440"/>
      </w:pPr>
      <w:rPr>
        <w:rFonts w:hint="default"/>
      </w:rPr>
    </w:lvl>
    <w:lvl w:ilvl="6">
      <w:start w:val="1"/>
      <w:numFmt w:val="decimal"/>
      <w:isLgl/>
      <w:lvlText w:val="%1.%2.%3.%4.%5.%6.%7."/>
      <w:lvlJc w:val="left"/>
      <w:pPr>
        <w:ind w:left="7624" w:hanging="1440"/>
      </w:pPr>
      <w:rPr>
        <w:rFonts w:hint="default"/>
      </w:rPr>
    </w:lvl>
    <w:lvl w:ilvl="7">
      <w:start w:val="1"/>
      <w:numFmt w:val="decimal"/>
      <w:isLgl/>
      <w:lvlText w:val="%1.%2.%3.%4.%5.%6.%7.%8."/>
      <w:lvlJc w:val="left"/>
      <w:pPr>
        <w:ind w:left="8164" w:hanging="1800"/>
      </w:pPr>
      <w:rPr>
        <w:rFonts w:hint="default"/>
      </w:rPr>
    </w:lvl>
    <w:lvl w:ilvl="8">
      <w:start w:val="1"/>
      <w:numFmt w:val="decimal"/>
      <w:isLgl/>
      <w:lvlText w:val="%1.%2.%3.%4.%5.%6.%7.%8.%9."/>
      <w:lvlJc w:val="left"/>
      <w:pPr>
        <w:ind w:left="8704" w:hanging="2160"/>
      </w:pPr>
      <w:rPr>
        <w:rFonts w:hint="default"/>
      </w:rPr>
    </w:lvl>
  </w:abstractNum>
  <w:abstractNum w:abstractNumId="35">
    <w:nsid w:val="48BE70F4"/>
    <w:multiLevelType w:val="hybridMultilevel"/>
    <w:tmpl w:val="72827694"/>
    <w:lvl w:ilvl="0" w:tplc="E8C6AEC0">
      <w:start w:val="1"/>
      <w:numFmt w:val="bullet"/>
      <w:lvlText w:val=""/>
      <w:lvlJc w:val="left"/>
      <w:pPr>
        <w:ind w:left="720" w:hanging="360"/>
      </w:pPr>
      <w:rPr>
        <w:rFonts w:ascii="Symbol" w:hAnsi="Symbol" w:hint="default"/>
      </w:rPr>
    </w:lvl>
    <w:lvl w:ilvl="1" w:tplc="E8C6AEC0">
      <w:start w:val="1"/>
      <w:numFmt w:val="bullet"/>
      <w:lvlText w:val=""/>
      <w:lvlJc w:val="left"/>
      <w:pPr>
        <w:ind w:left="36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4B5A04EE"/>
    <w:multiLevelType w:val="hybridMultilevel"/>
    <w:tmpl w:val="6E680166"/>
    <w:lvl w:ilvl="0" w:tplc="97AE8D40">
      <w:start w:val="3"/>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4491D8A"/>
    <w:multiLevelType w:val="hybridMultilevel"/>
    <w:tmpl w:val="09EC22E0"/>
    <w:lvl w:ilvl="0" w:tplc="0405001B">
      <w:start w:val="1"/>
      <w:numFmt w:val="lowerRoman"/>
      <w:lvlText w:val="%1."/>
      <w:lvlJc w:val="right"/>
      <w:pPr>
        <w:ind w:left="1425" w:hanging="360"/>
      </w:pPr>
    </w:lvl>
    <w:lvl w:ilvl="1" w:tplc="0405001B">
      <w:start w:val="1"/>
      <w:numFmt w:val="lowerRoman"/>
      <w:lvlText w:val="%2."/>
      <w:lvlJc w:val="right"/>
      <w:pPr>
        <w:ind w:left="1211"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4A11B4"/>
    <w:multiLevelType w:val="hybridMultilevel"/>
    <w:tmpl w:val="AF921D54"/>
    <w:lvl w:ilvl="0" w:tplc="836C32A0">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5">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27"/>
  </w:num>
  <w:num w:numId="3">
    <w:abstractNumId w:val="12"/>
  </w:num>
  <w:num w:numId="4">
    <w:abstractNumId w:val="11"/>
  </w:num>
  <w:num w:numId="5">
    <w:abstractNumId w:val="18"/>
  </w:num>
  <w:num w:numId="6">
    <w:abstractNumId w:val="43"/>
  </w:num>
  <w:num w:numId="7">
    <w:abstractNumId w:val="16"/>
  </w:num>
  <w:num w:numId="8">
    <w:abstractNumId w:val="47"/>
  </w:num>
  <w:num w:numId="9">
    <w:abstractNumId w:val="38"/>
  </w:num>
  <w:num w:numId="10">
    <w:abstractNumId w:val="41"/>
  </w:num>
  <w:num w:numId="11">
    <w:abstractNumId w:val="4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0"/>
  </w:num>
  <w:num w:numId="23">
    <w:abstractNumId w:val="22"/>
  </w:num>
  <w:num w:numId="24">
    <w:abstractNumId w:val="21"/>
  </w:num>
  <w:num w:numId="25">
    <w:abstractNumId w:val="46"/>
  </w:num>
  <w:num w:numId="26">
    <w:abstractNumId w:val="33"/>
  </w:num>
  <w:num w:numId="27">
    <w:abstractNumId w:val="13"/>
  </w:num>
  <w:num w:numId="28">
    <w:abstractNumId w:val="34"/>
  </w:num>
  <w:num w:numId="29">
    <w:abstractNumId w:val="45"/>
  </w:num>
  <w:num w:numId="30">
    <w:abstractNumId w:val="35"/>
  </w:num>
  <w:num w:numId="31">
    <w:abstractNumId w:val="30"/>
  </w:num>
  <w:num w:numId="32">
    <w:abstractNumId w:val="15"/>
  </w:num>
  <w:num w:numId="33">
    <w:abstractNumId w:val="39"/>
  </w:num>
  <w:num w:numId="34">
    <w:abstractNumId w:val="29"/>
  </w:num>
  <w:num w:numId="35">
    <w:abstractNumId w:val="24"/>
  </w:num>
  <w:num w:numId="36">
    <w:abstractNumId w:val="28"/>
  </w:num>
  <w:num w:numId="37">
    <w:abstractNumId w:val="19"/>
  </w:num>
  <w:num w:numId="38">
    <w:abstractNumId w:val="17"/>
  </w:num>
  <w:num w:numId="39">
    <w:abstractNumId w:val="44"/>
  </w:num>
  <w:num w:numId="40">
    <w:abstractNumId w:val="23"/>
  </w:num>
  <w:num w:numId="41">
    <w:abstractNumId w:val="32"/>
  </w:num>
  <w:num w:numId="42">
    <w:abstractNumId w:val="26"/>
  </w:num>
  <w:num w:numId="43">
    <w:abstractNumId w:val="31"/>
  </w:num>
  <w:num w:numId="44">
    <w:abstractNumId w:val="37"/>
  </w:num>
  <w:num w:numId="45">
    <w:abstractNumId w:val="14"/>
  </w:num>
  <w:num w:numId="46">
    <w:abstractNumId w:val="10"/>
  </w:num>
  <w:num w:numId="47">
    <w:abstractNumId w:val="42"/>
  </w:num>
  <w:num w:numId="48">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8D3"/>
    <w:rsid w:val="00047C25"/>
    <w:rsid w:val="00051E5E"/>
    <w:rsid w:val="00062A39"/>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FD8"/>
    <w:rsid w:val="00161952"/>
    <w:rsid w:val="00161BEA"/>
    <w:rsid w:val="00162805"/>
    <w:rsid w:val="001629CF"/>
    <w:rsid w:val="00162B8A"/>
    <w:rsid w:val="00163DDA"/>
    <w:rsid w:val="0016564F"/>
    <w:rsid w:val="00165B6A"/>
    <w:rsid w:val="00174A2D"/>
    <w:rsid w:val="00175208"/>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3D7D"/>
    <w:rsid w:val="002757EC"/>
    <w:rsid w:val="00276A8C"/>
    <w:rsid w:val="00276F8F"/>
    <w:rsid w:val="00283557"/>
    <w:rsid w:val="00283D2E"/>
    <w:rsid w:val="0028484D"/>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66B64"/>
    <w:rsid w:val="00370ABB"/>
    <w:rsid w:val="00371022"/>
    <w:rsid w:val="0037265F"/>
    <w:rsid w:val="00372802"/>
    <w:rsid w:val="00372FB7"/>
    <w:rsid w:val="00374BCE"/>
    <w:rsid w:val="00376752"/>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450"/>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07E45"/>
    <w:rsid w:val="00411B48"/>
    <w:rsid w:val="004128FE"/>
    <w:rsid w:val="00413E46"/>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40048"/>
    <w:rsid w:val="0044093C"/>
    <w:rsid w:val="004450E2"/>
    <w:rsid w:val="0044547E"/>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0560"/>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E09B3"/>
    <w:rsid w:val="006E0CA1"/>
    <w:rsid w:val="006E28CD"/>
    <w:rsid w:val="006E4B7E"/>
    <w:rsid w:val="006E57D1"/>
    <w:rsid w:val="006F01A3"/>
    <w:rsid w:val="006F2E08"/>
    <w:rsid w:val="006F443D"/>
    <w:rsid w:val="0070119D"/>
    <w:rsid w:val="00701B95"/>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570F"/>
    <w:rsid w:val="00785AB4"/>
    <w:rsid w:val="00790364"/>
    <w:rsid w:val="00791AB2"/>
    <w:rsid w:val="007955A3"/>
    <w:rsid w:val="007957FF"/>
    <w:rsid w:val="0079795D"/>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89A"/>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2B7"/>
    <w:rsid w:val="00AB7A72"/>
    <w:rsid w:val="00AC0AFF"/>
    <w:rsid w:val="00AC1DD3"/>
    <w:rsid w:val="00AD0C9A"/>
    <w:rsid w:val="00AE0E69"/>
    <w:rsid w:val="00AE1BEE"/>
    <w:rsid w:val="00AE1C12"/>
    <w:rsid w:val="00AE44E1"/>
    <w:rsid w:val="00AE6FE8"/>
    <w:rsid w:val="00AE7D3E"/>
    <w:rsid w:val="00AF5E0A"/>
    <w:rsid w:val="00AF70D0"/>
    <w:rsid w:val="00B00530"/>
    <w:rsid w:val="00B01EFD"/>
    <w:rsid w:val="00B02CA3"/>
    <w:rsid w:val="00B04DCC"/>
    <w:rsid w:val="00B07D71"/>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0463"/>
    <w:rsid w:val="00DD1AA1"/>
    <w:rsid w:val="00DD1D0D"/>
    <w:rsid w:val="00DD2059"/>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0F4F"/>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6633-AFF8-4271-BC66-52EA7AD0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2327</Words>
  <Characters>13731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19</cp:revision>
  <cp:lastPrinted>2021-05-07T12:57:00Z</cp:lastPrinted>
  <dcterms:created xsi:type="dcterms:W3CDTF">2021-07-01T12:47:00Z</dcterms:created>
  <dcterms:modified xsi:type="dcterms:W3CDTF">2021-08-04T08:57:00Z</dcterms:modified>
</cp:coreProperties>
</file>