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02F4C0D8" wp14:editId="0296D40C">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E267E1"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KVĚTEN</w:t>
      </w:r>
      <w:r w:rsidR="004D60BB">
        <w:rPr>
          <w:rFonts w:ascii="Tahoma" w:hAnsi="Tahoma" w:cs="Tahoma"/>
          <w:b/>
          <w:color w:val="000000" w:themeColor="text1"/>
          <w:sz w:val="32"/>
          <w:szCs w:val="20"/>
        </w:rPr>
        <w:t xml:space="preserve"> 2021</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865AA6" w:rsidRDefault="00865AA6" w:rsidP="00EE1562">
      <w:pPr>
        <w:pStyle w:val="Bezmezer"/>
        <w:numPr>
          <w:ilvl w:val="0"/>
          <w:numId w:val="1"/>
        </w:numPr>
        <w:spacing w:line="360" w:lineRule="auto"/>
        <w:jc w:val="both"/>
        <w:rPr>
          <w:rFonts w:ascii="Tahoma" w:hAnsi="Tahoma" w:cs="Tahoma"/>
          <w:color w:val="000000" w:themeColor="text1"/>
          <w:sz w:val="18"/>
          <w:szCs w:val="18"/>
        </w:rPr>
      </w:pPr>
      <w:r w:rsidRPr="00865AA6">
        <w:rPr>
          <w:rFonts w:ascii="Tahoma" w:hAnsi="Tahoma" w:cs="Tahoma"/>
          <w:color w:val="000000" w:themeColor="text1"/>
          <w:sz w:val="18"/>
          <w:szCs w:val="18"/>
        </w:rPr>
        <w:t xml:space="preserve">Zákon č. </w:t>
      </w:r>
      <w:r w:rsidR="00E267E1">
        <w:rPr>
          <w:rFonts w:ascii="Tahoma" w:hAnsi="Tahoma" w:cs="Tahoma"/>
          <w:color w:val="000000" w:themeColor="text1"/>
          <w:sz w:val="18"/>
          <w:szCs w:val="18"/>
        </w:rPr>
        <w:t>192/2021</w:t>
      </w:r>
      <w:r w:rsidRPr="00865AA6">
        <w:rPr>
          <w:rFonts w:ascii="Tahoma" w:hAnsi="Tahoma" w:cs="Tahoma"/>
          <w:color w:val="000000" w:themeColor="text1"/>
          <w:sz w:val="18"/>
          <w:szCs w:val="18"/>
        </w:rPr>
        <w:t xml:space="preserve"> Sb., </w:t>
      </w:r>
      <w:r w:rsidR="00E267E1">
        <w:rPr>
          <w:rFonts w:ascii="Tahoma" w:hAnsi="Tahoma" w:cs="Tahoma"/>
          <w:color w:val="000000" w:themeColor="text1"/>
          <w:sz w:val="18"/>
          <w:szCs w:val="18"/>
        </w:rPr>
        <w:t>kterým</w:t>
      </w:r>
      <w:r w:rsidR="00E267E1" w:rsidRPr="00E267E1">
        <w:rPr>
          <w:rFonts w:ascii="Tahoma" w:hAnsi="Tahoma" w:cs="Tahoma"/>
          <w:color w:val="000000" w:themeColor="text1"/>
          <w:sz w:val="18"/>
          <w:szCs w:val="18"/>
        </w:rPr>
        <w:t xml:space="preserve"> se mění zákon č. 89/2012 Sb., občanský zákoník, ve znění pozdějších předpisů, zákon č. 99/1963 Sb., občanský soudní řád, ve znění pozdějších předpisů, a zákon č. 292/2013 Sb., o zvláštních řízeních soudních, ve znění pozdějších předpisů</w:t>
      </w:r>
    </w:p>
    <w:p w:rsidR="00E267E1" w:rsidRPr="00865AA6" w:rsidRDefault="00E267E1" w:rsidP="00EE1562">
      <w:pPr>
        <w:pStyle w:val="Bezmezer"/>
        <w:numPr>
          <w:ilvl w:val="0"/>
          <w:numId w:val="1"/>
        </w:numPr>
        <w:spacing w:line="360" w:lineRule="auto"/>
        <w:jc w:val="both"/>
        <w:rPr>
          <w:rFonts w:ascii="Tahoma" w:hAnsi="Tahoma" w:cs="Tahoma"/>
          <w:color w:val="000000" w:themeColor="text1"/>
          <w:sz w:val="18"/>
          <w:szCs w:val="18"/>
        </w:rPr>
      </w:pPr>
      <w:r w:rsidRPr="00E267E1">
        <w:rPr>
          <w:rFonts w:ascii="Tahoma" w:hAnsi="Tahoma" w:cs="Tahoma"/>
          <w:color w:val="000000" w:themeColor="text1"/>
          <w:sz w:val="18"/>
          <w:szCs w:val="18"/>
        </w:rPr>
        <w:t>Nařízení vlády</w:t>
      </w:r>
      <w:r w:rsidR="007B3DF0">
        <w:rPr>
          <w:rFonts w:ascii="Tahoma" w:hAnsi="Tahoma" w:cs="Tahoma"/>
          <w:color w:val="000000" w:themeColor="text1"/>
          <w:sz w:val="18"/>
          <w:szCs w:val="18"/>
        </w:rPr>
        <w:t xml:space="preserve"> č. 195/2021 Sb.</w:t>
      </w:r>
      <w:r w:rsidRPr="00E267E1">
        <w:rPr>
          <w:rFonts w:ascii="Tahoma" w:hAnsi="Tahoma" w:cs="Tahoma"/>
          <w:color w:val="000000" w:themeColor="text1"/>
          <w:sz w:val="18"/>
          <w:szCs w:val="18"/>
        </w:rPr>
        <w:t>, kterým se mění nařízení vlády č. 361/2007 Sb., kterým se stanoví podmínky ochrany zdraví při práci, ve znění pozdějších předpisů</w:t>
      </w:r>
    </w:p>
    <w:p w:rsidR="00865AA6" w:rsidRPr="00E267E1" w:rsidRDefault="00865AA6" w:rsidP="00EE1562">
      <w:pPr>
        <w:pStyle w:val="Bezmezer"/>
        <w:spacing w:line="360" w:lineRule="auto"/>
        <w:ind w:left="708"/>
        <w:jc w:val="both"/>
        <w:rPr>
          <w:rFonts w:ascii="Tahoma" w:hAnsi="Tahoma" w:cs="Tahoma"/>
          <w:i/>
          <w:color w:val="000000" w:themeColor="text1"/>
          <w:sz w:val="18"/>
          <w:szCs w:val="18"/>
        </w:rPr>
      </w:pPr>
    </w:p>
    <w:p w:rsidR="008D5292" w:rsidRPr="002C4C4F" w:rsidRDefault="002C4C4F" w:rsidP="00EE156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EE1562">
      <w:pPr>
        <w:pStyle w:val="Bezmezer"/>
        <w:spacing w:line="360" w:lineRule="auto"/>
        <w:ind w:left="1070"/>
        <w:jc w:val="both"/>
        <w:rPr>
          <w:rFonts w:ascii="Tahoma" w:hAnsi="Tahoma" w:cs="Tahoma"/>
          <w:color w:val="000000" w:themeColor="text1"/>
          <w:sz w:val="18"/>
          <w:szCs w:val="18"/>
        </w:rPr>
      </w:pPr>
    </w:p>
    <w:p w:rsidR="00661CF8" w:rsidRPr="005E6591" w:rsidRDefault="00661CF8" w:rsidP="00EE1562">
      <w:pPr>
        <w:pStyle w:val="Bezmeze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II. Připravovaná legislativa</w:t>
      </w:r>
    </w:p>
    <w:p w:rsidR="000B6E81" w:rsidRPr="005E6591" w:rsidRDefault="000B6E81" w:rsidP="00EE1562">
      <w:pPr>
        <w:pStyle w:val="Bezmezer"/>
        <w:numPr>
          <w:ilvl w:val="0"/>
          <w:numId w:val="26"/>
        </w:numP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Výstupy</w:t>
      </w:r>
    </w:p>
    <w:p w:rsidR="00E267E1" w:rsidRPr="00384A12" w:rsidRDefault="00384A12" w:rsidP="00384A12">
      <w:pPr>
        <w:pStyle w:val="Odstavecseseznamem"/>
        <w:numPr>
          <w:ilvl w:val="0"/>
          <w:numId w:val="1"/>
        </w:numPr>
        <w:spacing w:line="360" w:lineRule="auto"/>
        <w:jc w:val="both"/>
        <w:rPr>
          <w:rFonts w:ascii="Tahoma" w:hAnsi="Tahoma" w:cs="Tahoma"/>
          <w:color w:val="000000" w:themeColor="text1"/>
          <w:sz w:val="18"/>
          <w:szCs w:val="18"/>
        </w:rPr>
      </w:pPr>
      <w:r w:rsidRPr="00384A12">
        <w:rPr>
          <w:rFonts w:ascii="Tahoma" w:hAnsi="Tahoma" w:cs="Tahoma"/>
          <w:color w:val="000000" w:themeColor="text1"/>
          <w:sz w:val="18"/>
          <w:szCs w:val="18"/>
        </w:rPr>
        <w:t>Novela vyhlášky č. 13/2014 Sb., o postupu při provádění pozemkových úprav a náležitostech návrhu pozemkových úprav</w:t>
      </w:r>
    </w:p>
    <w:p w:rsidR="004A3DCA" w:rsidRPr="008A3723" w:rsidRDefault="004A3DCA" w:rsidP="00EE1562">
      <w:pPr>
        <w:pStyle w:val="Bezmezer"/>
        <w:numPr>
          <w:ilvl w:val="0"/>
          <w:numId w:val="26"/>
        </w:numPr>
        <w:spacing w:line="360" w:lineRule="auto"/>
        <w:jc w:val="both"/>
        <w:rPr>
          <w:rFonts w:ascii="Tahoma" w:hAnsi="Tahoma" w:cs="Tahoma"/>
          <w:b/>
          <w:color w:val="000000" w:themeColor="text1"/>
          <w:sz w:val="18"/>
          <w:szCs w:val="18"/>
        </w:rPr>
      </w:pPr>
      <w:r w:rsidRPr="008A3723">
        <w:rPr>
          <w:rFonts w:ascii="Tahoma" w:hAnsi="Tahoma" w:cs="Tahoma"/>
          <w:b/>
          <w:color w:val="000000" w:themeColor="text1"/>
          <w:sz w:val="18"/>
          <w:szCs w:val="18"/>
        </w:rPr>
        <w:t>Zadání</w:t>
      </w:r>
    </w:p>
    <w:p w:rsidR="00E267E1" w:rsidRDefault="00E267E1" w:rsidP="00EE1562">
      <w:pPr>
        <w:pStyle w:val="Odstavecseseznamem"/>
        <w:numPr>
          <w:ilvl w:val="0"/>
          <w:numId w:val="1"/>
        </w:numPr>
        <w:spacing w:line="360" w:lineRule="auto"/>
        <w:jc w:val="both"/>
        <w:rPr>
          <w:rFonts w:ascii="Tahoma" w:hAnsi="Tahoma" w:cs="Tahoma"/>
          <w:color w:val="000000" w:themeColor="text1"/>
          <w:sz w:val="18"/>
          <w:szCs w:val="18"/>
        </w:rPr>
      </w:pPr>
      <w:r w:rsidRPr="00E267E1">
        <w:rPr>
          <w:rFonts w:ascii="Tahoma" w:hAnsi="Tahoma" w:cs="Tahoma"/>
          <w:color w:val="000000" w:themeColor="text1"/>
          <w:sz w:val="18"/>
          <w:szCs w:val="18"/>
        </w:rPr>
        <w:t>Novela zákona č. 159/2006 Sb., o střetu zájmů</w:t>
      </w:r>
    </w:p>
    <w:p w:rsidR="00E267E1" w:rsidRDefault="00E267E1" w:rsidP="00EE1562">
      <w:pPr>
        <w:pStyle w:val="Odstavecseseznamem"/>
        <w:numPr>
          <w:ilvl w:val="0"/>
          <w:numId w:val="1"/>
        </w:numPr>
        <w:spacing w:line="360" w:lineRule="auto"/>
        <w:jc w:val="both"/>
        <w:rPr>
          <w:rFonts w:ascii="Tahoma" w:hAnsi="Tahoma" w:cs="Tahoma"/>
          <w:color w:val="000000" w:themeColor="text1"/>
          <w:sz w:val="18"/>
          <w:szCs w:val="18"/>
        </w:rPr>
      </w:pPr>
      <w:r w:rsidRPr="00E267E1">
        <w:rPr>
          <w:rFonts w:ascii="Tahoma" w:hAnsi="Tahoma" w:cs="Tahoma"/>
          <w:color w:val="000000" w:themeColor="text1"/>
          <w:sz w:val="18"/>
          <w:szCs w:val="18"/>
        </w:rPr>
        <w:t>Směrnice Evropského parlamentu a Rady, kterou se posiluje uplatňování zásady stejné odměny mužů a žen za stejnou nebo rovnocennou práci prostřednictvím transparentnosti odměňování a mechanismů prosazování</w:t>
      </w:r>
    </w:p>
    <w:p w:rsidR="00E267E1" w:rsidRDefault="00095356" w:rsidP="00EE1562">
      <w:pPr>
        <w:pStyle w:val="Odstavecseseznamem"/>
        <w:numPr>
          <w:ilvl w:val="0"/>
          <w:numId w:val="1"/>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Směrnice Evro</w:t>
      </w:r>
      <w:r w:rsidR="00E267E1" w:rsidRPr="00E267E1">
        <w:rPr>
          <w:rFonts w:ascii="Tahoma" w:hAnsi="Tahoma" w:cs="Tahoma"/>
          <w:color w:val="000000" w:themeColor="text1"/>
          <w:sz w:val="18"/>
          <w:szCs w:val="18"/>
        </w:rPr>
        <w:t>pského parlamentu a Rady o rovnováze mezi pracovním a soukromým životem rodičů a pečujících osob a o zrušení směrnice Rady 2010/18/EU</w:t>
      </w:r>
    </w:p>
    <w:p w:rsidR="00020DD5" w:rsidRPr="00095356" w:rsidRDefault="00E267E1" w:rsidP="00EE1562">
      <w:pPr>
        <w:pStyle w:val="Odstavecseseznamem"/>
        <w:numPr>
          <w:ilvl w:val="0"/>
          <w:numId w:val="1"/>
        </w:numPr>
        <w:spacing w:line="360" w:lineRule="auto"/>
        <w:jc w:val="both"/>
        <w:rPr>
          <w:rFonts w:ascii="Tahoma" w:hAnsi="Tahoma" w:cs="Tahoma"/>
          <w:color w:val="000000" w:themeColor="text1"/>
          <w:sz w:val="18"/>
          <w:szCs w:val="18"/>
        </w:rPr>
      </w:pPr>
      <w:r w:rsidRPr="00095356">
        <w:rPr>
          <w:rFonts w:ascii="Tahoma" w:hAnsi="Tahoma" w:cs="Tahoma"/>
          <w:color w:val="000000" w:themeColor="text1"/>
          <w:sz w:val="18"/>
          <w:szCs w:val="18"/>
        </w:rPr>
        <w:t>Návrh vyhlášky, kterou se mění vyhláška č. 226/2015 Sb., o zásadách pro vymezení zóny havarijního plánování a postupu při jejím vymezení a o náležitostech obsahu vnějšího havarijního plánu a jeho struktuře</w:t>
      </w:r>
    </w:p>
    <w:p w:rsidR="00020DD5" w:rsidRDefault="00B57B76" w:rsidP="00EE1562">
      <w:pPr>
        <w:pStyle w:val="Bezmezer"/>
        <w:spacing w:line="360" w:lineRule="auto"/>
        <w:jc w:val="both"/>
        <w:rPr>
          <w:rFonts w:ascii="Tahoma" w:hAnsi="Tahoma" w:cs="Tahoma"/>
          <w:b/>
          <w:color w:val="000000" w:themeColor="text1"/>
          <w:sz w:val="20"/>
          <w:szCs w:val="20"/>
        </w:rPr>
      </w:pPr>
      <w:r w:rsidRPr="00B57B76">
        <w:rPr>
          <w:rFonts w:ascii="Tahoma" w:hAnsi="Tahoma" w:cs="Tahoma"/>
          <w:b/>
          <w:color w:val="000000" w:themeColor="text1"/>
          <w:sz w:val="20"/>
          <w:szCs w:val="20"/>
        </w:rPr>
        <w:t>III. Judikatura a stanoviska</w:t>
      </w:r>
    </w:p>
    <w:p w:rsidR="00020DD5" w:rsidRPr="00095356" w:rsidRDefault="00095356" w:rsidP="00EE1562">
      <w:pPr>
        <w:pStyle w:val="Odstavecseseznamem"/>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18"/>
          <w:szCs w:val="18"/>
        </w:rPr>
        <w:t>Výpověď</w:t>
      </w:r>
      <w:r w:rsidRPr="00095356">
        <w:rPr>
          <w:rFonts w:ascii="Tahoma" w:hAnsi="Tahoma" w:cs="Tahoma"/>
          <w:color w:val="000000" w:themeColor="text1"/>
          <w:sz w:val="18"/>
          <w:szCs w:val="18"/>
        </w:rPr>
        <w:t xml:space="preserve"> z pracovního poměru u odborového funkcionáře</w:t>
      </w:r>
    </w:p>
    <w:p w:rsidR="00095356" w:rsidRPr="00095356" w:rsidRDefault="00095356" w:rsidP="00EE1562">
      <w:pPr>
        <w:pStyle w:val="Odstavecseseznamem"/>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18"/>
          <w:szCs w:val="18"/>
        </w:rPr>
        <w:t>Neodstoupení od smlouvy a náhrada škody</w:t>
      </w:r>
    </w:p>
    <w:p w:rsidR="00095356" w:rsidRDefault="00095356" w:rsidP="00095356">
      <w:pPr>
        <w:pStyle w:val="Odstavecseseznamem"/>
        <w:ind w:left="786"/>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864678" w:rsidRDefault="00864678" w:rsidP="00FD66FD">
      <w:pPr>
        <w:pStyle w:val="Bezmezer"/>
        <w:spacing w:line="360" w:lineRule="auto"/>
        <w:jc w:val="both"/>
        <w:rPr>
          <w:rFonts w:ascii="Tahoma" w:hAnsi="Tahoma" w:cs="Tahoma"/>
          <w:color w:val="000000" w:themeColor="text1"/>
          <w:sz w:val="20"/>
          <w:szCs w:val="20"/>
        </w:rPr>
      </w:pPr>
    </w:p>
    <w:p w:rsidR="00865AA6" w:rsidRDefault="00865AA6" w:rsidP="00185FC5">
      <w:pPr>
        <w:pStyle w:val="Bezmezer"/>
        <w:numPr>
          <w:ilvl w:val="0"/>
          <w:numId w:val="29"/>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Platné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865AA6" w:rsidRPr="009C449E" w:rsidRDefault="00EE1562" w:rsidP="00865AA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E1562">
        <w:rPr>
          <w:rStyle w:val="Hypertextovodkaz"/>
          <w:rFonts w:ascii="Tahoma" w:eastAsia="Times New Roman" w:hAnsi="Tahoma" w:cs="Tahoma"/>
          <w:b/>
          <w:bCs/>
          <w:color w:val="000000" w:themeColor="text1"/>
          <w:kern w:val="36"/>
          <w:sz w:val="24"/>
          <w:szCs w:val="24"/>
          <w:u w:val="none"/>
          <w:lang w:eastAsia="cs-CZ"/>
        </w:rPr>
        <w:t>Zákon č. 192/2021 Sb., kterým se mění zákon č. 89/2012 Sb., občanský zákoník, ve znění pozdějších předpisů, zákon č. 99/1963 Sb., občanský soudní řád, ve znění pozdějších předpisů, a zákon č. 292/2013 Sb., o zvláštních řízeních soudních, ve znění pozdějších předpisů</w:t>
      </w:r>
      <w:r w:rsidR="005862C0">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865AA6" w:rsidRDefault="00EE1562" w:rsidP="00865A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w:t>
      </w:r>
      <w:proofErr w:type="gramStart"/>
      <w:r>
        <w:rPr>
          <w:rStyle w:val="Hypertextovodkaz"/>
          <w:rFonts w:ascii="Tahoma" w:eastAsia="Times New Roman" w:hAnsi="Tahoma" w:cs="Tahoma"/>
          <w:bCs/>
          <w:color w:val="000000" w:themeColor="text1"/>
          <w:kern w:val="36"/>
          <w:sz w:val="20"/>
          <w:szCs w:val="20"/>
          <w:u w:val="none"/>
          <w:lang w:eastAsia="cs-CZ"/>
        </w:rPr>
        <w:t>1.7.2021</w:t>
      </w:r>
      <w:proofErr w:type="gramEnd"/>
    </w:p>
    <w:p w:rsidR="00EF6F9B" w:rsidRDefault="00EF6F9B" w:rsidP="00865A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EF6F9B" w:rsidRDefault="00EF6F9B"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Dne </w:t>
      </w:r>
      <w:r w:rsidR="00EE1562">
        <w:rPr>
          <w:rStyle w:val="Hypertextovodkaz"/>
          <w:rFonts w:ascii="Tahoma" w:eastAsia="Times New Roman" w:hAnsi="Tahoma" w:cs="Tahoma"/>
          <w:bCs/>
          <w:color w:val="000000" w:themeColor="text1"/>
          <w:kern w:val="36"/>
          <w:sz w:val="20"/>
          <w:szCs w:val="20"/>
          <w:u w:val="none"/>
          <w:lang w:eastAsia="cs-CZ"/>
        </w:rPr>
        <w:t>12. 5. 2021</w:t>
      </w:r>
      <w:r>
        <w:rPr>
          <w:rStyle w:val="Hypertextovodkaz"/>
          <w:rFonts w:ascii="Tahoma" w:eastAsia="Times New Roman" w:hAnsi="Tahoma" w:cs="Tahoma"/>
          <w:bCs/>
          <w:color w:val="000000" w:themeColor="text1"/>
          <w:kern w:val="36"/>
          <w:sz w:val="20"/>
          <w:szCs w:val="20"/>
          <w:u w:val="none"/>
          <w:lang w:eastAsia="cs-CZ"/>
        </w:rPr>
        <w:t xml:space="preserve"> byl ve sbírce publikován zákon</w:t>
      </w:r>
      <w:r w:rsidRPr="00EF6F9B">
        <w:t xml:space="preserve"> </w:t>
      </w:r>
      <w:r w:rsidR="00EE1562" w:rsidRPr="00EE1562">
        <w:rPr>
          <w:rStyle w:val="Hypertextovodkaz"/>
          <w:rFonts w:ascii="Tahoma" w:eastAsia="Times New Roman" w:hAnsi="Tahoma" w:cs="Tahoma"/>
          <w:bCs/>
          <w:color w:val="000000" w:themeColor="text1"/>
          <w:kern w:val="36"/>
          <w:sz w:val="20"/>
          <w:szCs w:val="20"/>
          <w:u w:val="none"/>
          <w:lang w:eastAsia="cs-CZ"/>
        </w:rPr>
        <w:t>č. 192/2021 Sb., kterým se mění zákon č. 89/2012 Sb., občanský zákoník, ve znění pozdějších předpisů, zákon č. 99/1963 Sb., občanský soudní řád, ve znění pozdějších předpisů, a zákon č. 292/2013 Sb., o zvláštních řízeních soudních, ve znění pozdějších předpisů</w:t>
      </w:r>
    </w:p>
    <w:p w:rsidR="00EF6F9B" w:rsidRDefault="00EF6F9B"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EE1562" w:rsidRDefault="00EE1562" w:rsidP="00EF6F9B">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Novela občanského zákoníku se zaměřuje především na právní jednání a dluhy nezletilých osob. </w:t>
      </w:r>
      <w:r w:rsidRPr="00EE1562">
        <w:rPr>
          <w:rStyle w:val="Hypertextovodkaz"/>
          <w:rFonts w:ascii="Tahoma" w:eastAsia="Times New Roman" w:hAnsi="Tahoma" w:cs="Tahoma"/>
          <w:b/>
          <w:bCs/>
          <w:color w:val="000000" w:themeColor="text1"/>
          <w:kern w:val="36"/>
          <w:sz w:val="20"/>
          <w:szCs w:val="20"/>
          <w:u w:val="none"/>
          <w:lang w:eastAsia="cs-CZ"/>
        </w:rPr>
        <w:t>Dále však opět upravuje pořadí úhrady dluhu spotřebitelem a dalšími subjekty.</w:t>
      </w:r>
      <w:r>
        <w:rPr>
          <w:rStyle w:val="Hypertextovodkaz"/>
          <w:rFonts w:ascii="Tahoma" w:eastAsia="Times New Roman" w:hAnsi="Tahoma" w:cs="Tahoma"/>
          <w:bCs/>
          <w:color w:val="000000" w:themeColor="text1"/>
          <w:kern w:val="36"/>
          <w:sz w:val="20"/>
          <w:szCs w:val="20"/>
          <w:u w:val="none"/>
          <w:lang w:eastAsia="cs-CZ"/>
        </w:rPr>
        <w:t xml:space="preserve"> </w:t>
      </w:r>
    </w:p>
    <w:p w:rsidR="00EE1562" w:rsidRDefault="00EE1562" w:rsidP="00EF6F9B">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p>
    <w:p w:rsidR="00E90F4F" w:rsidRDefault="00EE1562" w:rsidP="00EF6F9B">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Dle </w:t>
      </w:r>
      <w:r w:rsidR="00E90F4F">
        <w:rPr>
          <w:rStyle w:val="Hypertextovodkaz"/>
          <w:rFonts w:ascii="Tahoma" w:eastAsia="Times New Roman" w:hAnsi="Tahoma" w:cs="Tahoma"/>
          <w:bCs/>
          <w:color w:val="000000" w:themeColor="text1"/>
          <w:kern w:val="36"/>
          <w:sz w:val="20"/>
          <w:szCs w:val="20"/>
          <w:u w:val="none"/>
          <w:lang w:eastAsia="cs-CZ"/>
        </w:rPr>
        <w:t xml:space="preserve">novelizovaného ustanovení § 1932 nově od </w:t>
      </w:r>
      <w:proofErr w:type="gramStart"/>
      <w:r w:rsidR="00E90F4F">
        <w:rPr>
          <w:rStyle w:val="Hypertextovodkaz"/>
          <w:rFonts w:ascii="Tahoma" w:eastAsia="Times New Roman" w:hAnsi="Tahoma" w:cs="Tahoma"/>
          <w:bCs/>
          <w:color w:val="000000" w:themeColor="text1"/>
          <w:kern w:val="36"/>
          <w:sz w:val="20"/>
          <w:szCs w:val="20"/>
          <w:u w:val="none"/>
          <w:lang w:eastAsia="cs-CZ"/>
        </w:rPr>
        <w:t>1.7.2021</w:t>
      </w:r>
      <w:proofErr w:type="gramEnd"/>
      <w:r w:rsidR="00E90F4F">
        <w:rPr>
          <w:rStyle w:val="Hypertextovodkaz"/>
          <w:rFonts w:ascii="Tahoma" w:eastAsia="Times New Roman" w:hAnsi="Tahoma" w:cs="Tahoma"/>
          <w:bCs/>
          <w:color w:val="000000" w:themeColor="text1"/>
          <w:kern w:val="36"/>
          <w:sz w:val="20"/>
          <w:szCs w:val="20"/>
          <w:u w:val="none"/>
          <w:lang w:eastAsia="cs-CZ"/>
        </w:rPr>
        <w:t xml:space="preserve"> platí následující pořadí splácení dluhu:</w:t>
      </w:r>
    </w:p>
    <w:p w:rsidR="00E90F4F" w:rsidRDefault="00E90F4F" w:rsidP="00E90F4F">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p>
    <w:p w:rsidR="00E90F4F" w:rsidRDefault="00E90F4F" w:rsidP="00E90F4F">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1932</w:t>
      </w:r>
    </w:p>
    <w:p w:rsidR="00E90F4F" w:rsidRPr="00E90F4F" w:rsidRDefault="00E90F4F" w:rsidP="00E90F4F">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p>
    <w:p w:rsidR="00E90F4F" w:rsidRPr="00E90F4F" w:rsidRDefault="00E90F4F" w:rsidP="00E90F4F">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r w:rsidRPr="00E90F4F">
        <w:rPr>
          <w:rStyle w:val="Hypertextovodkaz"/>
          <w:rFonts w:ascii="Tahoma" w:eastAsia="Times New Roman" w:hAnsi="Tahoma" w:cs="Tahoma"/>
          <w:bCs/>
          <w:color w:val="000000" w:themeColor="text1"/>
          <w:kern w:val="36"/>
          <w:sz w:val="20"/>
          <w:szCs w:val="20"/>
          <w:u w:val="none"/>
          <w:lang w:eastAsia="cs-CZ"/>
        </w:rPr>
        <w:t xml:space="preserve">(1) Má-li dlužník plnit na jistinu, úroky a náklady spojené s uplatněním pohledávky, započte se plnění nejprve na náklady již určené, pak na úroky z prodlení, poté na úroky a nakonec na jistinu, ledaže dlužník projeví při plnění jinou vůli </w:t>
      </w:r>
      <w:r w:rsidRPr="007B3DF0">
        <w:rPr>
          <w:rStyle w:val="Hypertextovodkaz"/>
          <w:rFonts w:ascii="Tahoma" w:eastAsia="Times New Roman" w:hAnsi="Tahoma" w:cs="Tahoma"/>
          <w:b/>
          <w:bCs/>
          <w:color w:val="000000" w:themeColor="text1"/>
          <w:kern w:val="36"/>
          <w:sz w:val="20"/>
          <w:szCs w:val="20"/>
          <w:lang w:eastAsia="cs-CZ"/>
        </w:rPr>
        <w:t>a věřitel s tím souhlasí</w:t>
      </w:r>
      <w:r w:rsidRPr="00E90F4F">
        <w:rPr>
          <w:rStyle w:val="Hypertextovodkaz"/>
          <w:rFonts w:ascii="Tahoma" w:eastAsia="Times New Roman" w:hAnsi="Tahoma" w:cs="Tahoma"/>
          <w:bCs/>
          <w:color w:val="000000" w:themeColor="text1"/>
          <w:kern w:val="36"/>
          <w:sz w:val="20"/>
          <w:szCs w:val="20"/>
          <w:u w:val="none"/>
          <w:lang w:eastAsia="cs-CZ"/>
        </w:rPr>
        <w:t>.</w:t>
      </w:r>
    </w:p>
    <w:p w:rsidR="00E90F4F" w:rsidRPr="00E90F4F" w:rsidRDefault="00E90F4F" w:rsidP="00E90F4F">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p>
    <w:p w:rsidR="00E90F4F" w:rsidRPr="007B3DF0" w:rsidRDefault="00E90F4F" w:rsidP="00E90F4F">
      <w:pPr>
        <w:spacing w:after="0" w:line="240" w:lineRule="auto"/>
        <w:jc w:val="both"/>
        <w:rPr>
          <w:rStyle w:val="Hypertextovodkaz"/>
          <w:rFonts w:ascii="Tahoma" w:eastAsia="Times New Roman" w:hAnsi="Tahoma" w:cs="Tahoma"/>
          <w:b/>
          <w:bCs/>
          <w:color w:val="000000" w:themeColor="text1"/>
          <w:kern w:val="36"/>
          <w:sz w:val="20"/>
          <w:szCs w:val="20"/>
          <w:lang w:eastAsia="cs-CZ"/>
        </w:rPr>
      </w:pPr>
      <w:r w:rsidRPr="007B3DF0">
        <w:rPr>
          <w:rStyle w:val="Hypertextovodkaz"/>
          <w:rFonts w:ascii="Tahoma" w:eastAsia="Times New Roman" w:hAnsi="Tahoma" w:cs="Tahoma"/>
          <w:b/>
          <w:bCs/>
          <w:color w:val="000000" w:themeColor="text1"/>
          <w:kern w:val="36"/>
          <w:sz w:val="20"/>
          <w:szCs w:val="20"/>
          <w:lang w:eastAsia="cs-CZ"/>
        </w:rPr>
        <w:t>(2) Je-li dlužníkem spotřebitel, který je v prodlení s plněním dluhu, započte se plnění nejprve na náklady již určené, pak na jistinu pohledávky, poté na úroky a nakonec na úroky z prodlení.</w:t>
      </w:r>
    </w:p>
    <w:p w:rsidR="00EE1562" w:rsidRDefault="00EE1562" w:rsidP="00EF6F9B">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 </w:t>
      </w:r>
    </w:p>
    <w:p w:rsidR="007B3DF0" w:rsidRDefault="007B3DF0" w:rsidP="00EF6F9B">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Nově tedy musí věřitel projevit souhlas s </w:t>
      </w:r>
      <w:proofErr w:type="gramStart"/>
      <w:r>
        <w:rPr>
          <w:rStyle w:val="Hypertextovodkaz"/>
          <w:rFonts w:ascii="Tahoma" w:eastAsia="Times New Roman" w:hAnsi="Tahoma" w:cs="Tahoma"/>
          <w:bCs/>
          <w:color w:val="000000" w:themeColor="text1"/>
          <w:kern w:val="36"/>
          <w:sz w:val="20"/>
          <w:szCs w:val="20"/>
          <w:u w:val="none"/>
          <w:lang w:eastAsia="cs-CZ"/>
        </w:rPr>
        <w:t>odlišnou</w:t>
      </w:r>
      <w:proofErr w:type="gramEnd"/>
      <w:r>
        <w:rPr>
          <w:rStyle w:val="Hypertextovodkaz"/>
          <w:rFonts w:ascii="Tahoma" w:eastAsia="Times New Roman" w:hAnsi="Tahoma" w:cs="Tahoma"/>
          <w:bCs/>
          <w:color w:val="000000" w:themeColor="text1"/>
          <w:kern w:val="36"/>
          <w:sz w:val="20"/>
          <w:szCs w:val="20"/>
          <w:u w:val="none"/>
          <w:lang w:eastAsia="cs-CZ"/>
        </w:rPr>
        <w:t xml:space="preserve"> vůli dlužníka dle § 1932 odst. 1. V případě spotřebitele však není ve věci pořadí </w:t>
      </w:r>
      <w:proofErr w:type="gramStart"/>
      <w:r>
        <w:rPr>
          <w:rStyle w:val="Hypertextovodkaz"/>
          <w:rFonts w:ascii="Tahoma" w:eastAsia="Times New Roman" w:hAnsi="Tahoma" w:cs="Tahoma"/>
          <w:bCs/>
          <w:color w:val="000000" w:themeColor="text1"/>
          <w:kern w:val="36"/>
          <w:sz w:val="20"/>
          <w:szCs w:val="20"/>
          <w:u w:val="none"/>
          <w:lang w:eastAsia="cs-CZ"/>
        </w:rPr>
        <w:t>úhradu</w:t>
      </w:r>
      <w:proofErr w:type="gramEnd"/>
      <w:r>
        <w:rPr>
          <w:rStyle w:val="Hypertextovodkaz"/>
          <w:rFonts w:ascii="Tahoma" w:eastAsia="Times New Roman" w:hAnsi="Tahoma" w:cs="Tahoma"/>
          <w:bCs/>
          <w:color w:val="000000" w:themeColor="text1"/>
          <w:kern w:val="36"/>
          <w:sz w:val="20"/>
          <w:szCs w:val="20"/>
          <w:u w:val="none"/>
          <w:lang w:eastAsia="cs-CZ"/>
        </w:rPr>
        <w:t xml:space="preserve"> dluhu ponechána na vůli spotřebitele a pořadí je dáno striktně zákonem.</w:t>
      </w:r>
    </w:p>
    <w:p w:rsidR="00777425" w:rsidRDefault="00777425"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EF6F9B" w:rsidRDefault="00EF6F9B" w:rsidP="00EF6F9B">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1D2881">
        <w:rPr>
          <w:rStyle w:val="Hypertextovodkaz"/>
          <w:rFonts w:ascii="Tahoma" w:eastAsia="Times New Roman" w:hAnsi="Tahoma" w:cs="Tahoma"/>
          <w:bCs/>
          <w:i/>
          <w:color w:val="000000" w:themeColor="text1"/>
          <w:kern w:val="36"/>
          <w:sz w:val="20"/>
          <w:szCs w:val="20"/>
          <w:u w:val="none"/>
          <w:lang w:eastAsia="cs-CZ"/>
        </w:rPr>
        <w:t>Na vědomí FÚ a kreditnímu výboru. FÚ zohlední upravenou legislativu při započítávání dílčích úhrad na pohledávky po splatnosti.</w:t>
      </w:r>
      <w:r>
        <w:rPr>
          <w:rStyle w:val="Hypertextovodkaz"/>
          <w:rFonts w:ascii="Tahoma" w:eastAsia="Times New Roman" w:hAnsi="Tahoma" w:cs="Tahoma"/>
          <w:bCs/>
          <w:i/>
          <w:color w:val="000000" w:themeColor="text1"/>
          <w:kern w:val="36"/>
          <w:sz w:val="20"/>
          <w:szCs w:val="20"/>
          <w:u w:val="none"/>
          <w:lang w:eastAsia="cs-CZ"/>
        </w:rPr>
        <w:t xml:space="preserve"> </w:t>
      </w:r>
    </w:p>
    <w:p w:rsidR="00EF6F9B" w:rsidRDefault="00EF6F9B" w:rsidP="00EF6F9B">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EF6F9B" w:rsidRPr="003F7FFC" w:rsidRDefault="00EF6F9B" w:rsidP="00EF6F9B">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1D2881">
        <w:rPr>
          <w:rStyle w:val="Hypertextovodkaz"/>
          <w:rFonts w:ascii="Tahoma" w:eastAsia="Times New Roman" w:hAnsi="Tahoma" w:cs="Tahoma"/>
          <w:bCs/>
          <w:i/>
          <w:color w:val="000000" w:themeColor="text1"/>
          <w:kern w:val="36"/>
          <w:sz w:val="20"/>
          <w:szCs w:val="20"/>
          <w:u w:val="none"/>
          <w:lang w:eastAsia="cs-CZ"/>
        </w:rPr>
        <w:t xml:space="preserve">FÚ – Ing. Helena Hostková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proofErr w:type="gramStart"/>
      <w:r w:rsidR="001D2881">
        <w:rPr>
          <w:rStyle w:val="Hypertextovodkaz"/>
          <w:rFonts w:ascii="Tahoma" w:eastAsia="Times New Roman" w:hAnsi="Tahoma" w:cs="Tahoma"/>
          <w:b/>
          <w:bCs/>
          <w:i/>
          <w:color w:val="000000" w:themeColor="text1"/>
          <w:kern w:val="36"/>
          <w:sz w:val="20"/>
          <w:szCs w:val="20"/>
          <w:u w:val="none"/>
          <w:lang w:eastAsia="cs-CZ"/>
        </w:rPr>
        <w:t>1.7.2021</w:t>
      </w:r>
      <w:proofErr w:type="gramEnd"/>
    </w:p>
    <w:p w:rsidR="00EF6F9B" w:rsidRDefault="00EF6F9B" w:rsidP="00EF6F9B">
      <w:pPr>
        <w:rPr>
          <w:rFonts w:ascii="Arial" w:hAnsi="Arial" w:cs="Arial"/>
          <w:color w:val="1F497D"/>
        </w:rPr>
      </w:pPr>
    </w:p>
    <w:p w:rsidR="00B57B76" w:rsidRDefault="00B57B76" w:rsidP="00EF6F9B">
      <w:pPr>
        <w:rPr>
          <w:rFonts w:ascii="Arial" w:hAnsi="Arial" w:cs="Arial"/>
          <w:color w:val="1F497D"/>
        </w:rPr>
      </w:pPr>
    </w:p>
    <w:p w:rsidR="00B57B76" w:rsidRDefault="00B57B76" w:rsidP="00EF6F9B">
      <w:pPr>
        <w:rPr>
          <w:rFonts w:ascii="Arial" w:hAnsi="Arial" w:cs="Arial"/>
          <w:color w:val="1F497D"/>
        </w:rPr>
      </w:pPr>
    </w:p>
    <w:p w:rsidR="007B3DF0" w:rsidRDefault="007B3DF0" w:rsidP="0056735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7B3DF0" w:rsidRDefault="007B3DF0" w:rsidP="0056735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7B3DF0" w:rsidRDefault="007B3DF0" w:rsidP="0056735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56735F" w:rsidRPr="009C449E" w:rsidRDefault="007B3DF0" w:rsidP="0056735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7B3DF0">
        <w:rPr>
          <w:rStyle w:val="Hypertextovodkaz"/>
          <w:rFonts w:ascii="Tahoma" w:eastAsia="Times New Roman" w:hAnsi="Tahoma" w:cs="Tahoma"/>
          <w:b/>
          <w:bCs/>
          <w:color w:val="000000" w:themeColor="text1"/>
          <w:kern w:val="36"/>
          <w:sz w:val="24"/>
          <w:szCs w:val="24"/>
          <w:u w:val="none"/>
          <w:lang w:eastAsia="cs-CZ"/>
        </w:rPr>
        <w:lastRenderedPageBreak/>
        <w:t>Nařízení vlády č. 195/2021 Sb., kterým se mění nařízení vlády č. 361/2007 Sb., kterým se stanoví podmínky ochrany zdraví při práci, ve znění pozdějších předpisů</w:t>
      </w:r>
      <w:r w:rsidR="005862C0">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56735F" w:rsidRDefault="0056735F" w:rsidP="0056735F">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w:t>
      </w:r>
      <w:r w:rsidR="007B3DF0">
        <w:rPr>
          <w:rStyle w:val="Hypertextovodkaz"/>
          <w:rFonts w:ascii="Tahoma" w:eastAsia="Times New Roman" w:hAnsi="Tahoma" w:cs="Tahoma"/>
          <w:bCs/>
          <w:color w:val="000000" w:themeColor="text1"/>
          <w:kern w:val="36"/>
          <w:sz w:val="20"/>
          <w:szCs w:val="20"/>
          <w:u w:val="none"/>
          <w:lang w:eastAsia="cs-CZ"/>
        </w:rPr>
        <w:t>20. 5. 2021</w:t>
      </w:r>
    </w:p>
    <w:p w:rsidR="0056735F" w:rsidRDefault="0056735F" w:rsidP="0056735F">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56735F" w:rsidRDefault="0056735F" w:rsidP="0056735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Dne </w:t>
      </w:r>
      <w:r w:rsidR="007B3DF0">
        <w:rPr>
          <w:rStyle w:val="Hypertextovodkaz"/>
          <w:rFonts w:ascii="Tahoma" w:eastAsia="Times New Roman" w:hAnsi="Tahoma" w:cs="Tahoma"/>
          <w:bCs/>
          <w:color w:val="000000" w:themeColor="text1"/>
          <w:kern w:val="36"/>
          <w:sz w:val="20"/>
          <w:szCs w:val="20"/>
          <w:u w:val="none"/>
          <w:lang w:eastAsia="cs-CZ"/>
        </w:rPr>
        <w:t>17. 5. 2021 bylo</w:t>
      </w:r>
      <w:r>
        <w:rPr>
          <w:rStyle w:val="Hypertextovodkaz"/>
          <w:rFonts w:ascii="Tahoma" w:eastAsia="Times New Roman" w:hAnsi="Tahoma" w:cs="Tahoma"/>
          <w:bCs/>
          <w:color w:val="000000" w:themeColor="text1"/>
          <w:kern w:val="36"/>
          <w:sz w:val="20"/>
          <w:szCs w:val="20"/>
          <w:u w:val="none"/>
          <w:lang w:eastAsia="cs-CZ"/>
        </w:rPr>
        <w:t xml:space="preserve"> ve sbírce zákonů </w:t>
      </w:r>
      <w:r w:rsidR="007B3DF0">
        <w:rPr>
          <w:rStyle w:val="Hypertextovodkaz"/>
          <w:rFonts w:ascii="Tahoma" w:eastAsia="Times New Roman" w:hAnsi="Tahoma" w:cs="Tahoma"/>
          <w:bCs/>
          <w:color w:val="000000" w:themeColor="text1"/>
          <w:kern w:val="36"/>
          <w:sz w:val="20"/>
          <w:szCs w:val="20"/>
          <w:u w:val="none"/>
          <w:lang w:eastAsia="cs-CZ"/>
        </w:rPr>
        <w:t xml:space="preserve">publikováno </w:t>
      </w:r>
      <w:r w:rsidR="007B3DF0" w:rsidRPr="007B3DF0">
        <w:rPr>
          <w:rStyle w:val="Hypertextovodkaz"/>
          <w:rFonts w:ascii="Tahoma" w:eastAsia="Times New Roman" w:hAnsi="Tahoma" w:cs="Tahoma"/>
          <w:bCs/>
          <w:color w:val="000000" w:themeColor="text1"/>
          <w:kern w:val="36"/>
          <w:sz w:val="20"/>
          <w:szCs w:val="20"/>
          <w:u w:val="none"/>
          <w:lang w:eastAsia="cs-CZ"/>
        </w:rPr>
        <w:t>Nařízení vlády č. 195/2021 Sb., kterým se mění nařízení vlády č. 361/2007 Sb., kterým se stanoví podmínky ochrany zdraví při práci, ve znění pozdějších předpisů</w:t>
      </w:r>
      <w:r w:rsidR="007B3DF0">
        <w:rPr>
          <w:rStyle w:val="Hypertextovodkaz"/>
          <w:rFonts w:ascii="Tahoma" w:eastAsia="Times New Roman" w:hAnsi="Tahoma" w:cs="Tahoma"/>
          <w:bCs/>
          <w:color w:val="000000" w:themeColor="text1"/>
          <w:kern w:val="36"/>
          <w:sz w:val="20"/>
          <w:szCs w:val="20"/>
          <w:u w:val="none"/>
          <w:lang w:eastAsia="cs-CZ"/>
        </w:rPr>
        <w:t>.</w:t>
      </w:r>
    </w:p>
    <w:p w:rsidR="007B3DF0" w:rsidRDefault="007B3DF0" w:rsidP="0056735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B3DF0" w:rsidRDefault="007B3DF0" w:rsidP="0056735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6735F" w:rsidRDefault="0014406A" w:rsidP="0056735F">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Účelem nařízení je </w:t>
      </w:r>
      <w:r w:rsidRPr="0014406A">
        <w:rPr>
          <w:rStyle w:val="Hypertextovodkaz"/>
          <w:rFonts w:ascii="Tahoma" w:eastAsia="Times New Roman" w:hAnsi="Tahoma" w:cs="Tahoma"/>
          <w:bCs/>
          <w:color w:val="000000" w:themeColor="text1"/>
          <w:kern w:val="36"/>
          <w:sz w:val="20"/>
          <w:szCs w:val="20"/>
          <w:u w:val="none"/>
          <w:lang w:eastAsia="cs-CZ"/>
        </w:rPr>
        <w:t>harmonizovat český právní řád s právem Evropské unie, konkrétně pak transponovat směrnici Evropského parlamentu a Rady 2019/983 ze dne 5. června 2019, kterou se mění směrnice 2004/37/ES o ochraně zaměstnanců před riziky spojenými s expozicí karcinogenům nebo mutagenům při práci, dále směrnici Komise (EU) 2019/1831 ze dne 24. října 2019, kterou se stanoví pátý seznam směrných limitních hodnot expozice na pracovišti podle směrnice Rady 98/24/ES a kterou se mění směrnice Komise 2000/39/ES a směrnici Komise (EU) 2019/1833 ze dne 24. října 2019, kterou se mění přílohy I, III, V a VI směrnice Evropského parlamentu a Rady 2000/54/ES, pokud jde o úpravy čistě technického rázu.</w:t>
      </w:r>
    </w:p>
    <w:p w:rsidR="0014406A" w:rsidRPr="0056735F" w:rsidRDefault="0014406A" w:rsidP="0056735F">
      <w:pPr>
        <w:pStyle w:val="Bezmezer"/>
        <w:jc w:val="both"/>
        <w:rPr>
          <w:rStyle w:val="Hypertextovodkaz"/>
          <w:rFonts w:ascii="Tahoma" w:eastAsia="Times New Roman" w:hAnsi="Tahoma" w:cs="Tahoma"/>
          <w:bCs/>
          <w:color w:val="000000" w:themeColor="text1"/>
          <w:kern w:val="36"/>
          <w:sz w:val="20"/>
          <w:szCs w:val="20"/>
          <w:u w:val="none"/>
          <w:lang w:eastAsia="cs-CZ"/>
        </w:rPr>
      </w:pPr>
    </w:p>
    <w:p w:rsidR="0014406A" w:rsidRDefault="0014406A" w:rsidP="0014406A">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HSE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14406A" w:rsidRDefault="0014406A" w:rsidP="0014406A">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14406A" w:rsidRDefault="0014406A" w:rsidP="0014406A">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14406A" w:rsidRPr="003F7FFC" w:rsidRDefault="0014406A" w:rsidP="0014406A">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HSE – Ing. Zdeněk Stejskal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
          <w:bCs/>
          <w:i/>
          <w:color w:val="000000" w:themeColor="text1"/>
          <w:kern w:val="36"/>
          <w:sz w:val="20"/>
          <w:szCs w:val="20"/>
          <w:u w:val="none"/>
          <w:lang w:eastAsia="cs-CZ"/>
        </w:rPr>
        <w:t>30. 6. 2021</w:t>
      </w:r>
    </w:p>
    <w:p w:rsidR="0056735F" w:rsidRDefault="0056735F" w:rsidP="0056735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EF6F9B" w:rsidRDefault="00EF6F9B"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65AA6" w:rsidRPr="007F577D" w:rsidRDefault="00865AA6" w:rsidP="00865AA6">
      <w:pPr>
        <w:pStyle w:val="Bezmezer"/>
        <w:jc w:val="both"/>
        <w:rPr>
          <w:rStyle w:val="Hypertextovodkaz"/>
          <w:rFonts w:ascii="Tahoma" w:eastAsia="Times New Roman" w:hAnsi="Tahoma" w:cs="Tahoma"/>
          <w:bCs/>
          <w:color w:val="000000" w:themeColor="text1"/>
          <w:kern w:val="36"/>
          <w:sz w:val="20"/>
          <w:szCs w:val="20"/>
          <w:u w:val="none"/>
          <w:lang w:eastAsia="cs-CZ"/>
        </w:rPr>
      </w:pPr>
    </w:p>
    <w:p w:rsidR="00DD4232" w:rsidRDefault="00DD4232" w:rsidP="00185FC5">
      <w:pPr>
        <w:pStyle w:val="Bezmezer"/>
        <w:numPr>
          <w:ilvl w:val="0"/>
          <w:numId w:val="27"/>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384A12" w:rsidRPr="009C449E" w:rsidRDefault="00384A12" w:rsidP="00384A1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537993">
        <w:rPr>
          <w:rStyle w:val="Hypertextovodkaz"/>
          <w:rFonts w:ascii="Tahoma" w:eastAsia="Times New Roman" w:hAnsi="Tahoma" w:cs="Tahoma"/>
          <w:b/>
          <w:bCs/>
          <w:color w:val="000000" w:themeColor="text1"/>
          <w:kern w:val="36"/>
          <w:sz w:val="24"/>
          <w:szCs w:val="24"/>
          <w:u w:val="none"/>
          <w:lang w:eastAsia="cs-CZ"/>
        </w:rPr>
        <w:t>Novela vyhlášky č. 13/2014 Sb., o postupu při provádění pozemkových úprav a náležitostech návrhu pozemkových úprav</w:t>
      </w:r>
      <w:r w:rsidR="005862C0">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384A12" w:rsidRDefault="00384A12" w:rsidP="00384A12">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537993">
        <w:rPr>
          <w:rStyle w:val="Hypertextovodkaz"/>
          <w:rFonts w:ascii="Tahoma" w:eastAsia="Times New Roman" w:hAnsi="Tahoma" w:cs="Tahoma"/>
          <w:bCs/>
          <w:color w:val="000000" w:themeColor="text1"/>
          <w:kern w:val="36"/>
          <w:sz w:val="20"/>
          <w:szCs w:val="20"/>
          <w:u w:val="none"/>
          <w:lang w:eastAsia="cs-CZ"/>
        </w:rPr>
        <w:t>KORNBZVJSU9F</w:t>
      </w:r>
    </w:p>
    <w:p w:rsidR="00384A12" w:rsidRDefault="00384A12" w:rsidP="00384A12">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Ukončeno mezirezortní připomínkové řízení</w:t>
      </w:r>
    </w:p>
    <w:p w:rsidR="00384A12" w:rsidRDefault="00384A12" w:rsidP="00384A1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84A12" w:rsidRDefault="00384A12" w:rsidP="00384A12">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vyhlášky obsahuje dílčí úpravu</w:t>
      </w:r>
      <w:r w:rsidRPr="00537993">
        <w:rPr>
          <w:rStyle w:val="Hypertextovodkaz"/>
          <w:rFonts w:ascii="Tahoma" w:eastAsia="Times New Roman" w:hAnsi="Tahoma" w:cs="Tahoma"/>
          <w:bCs/>
          <w:color w:val="000000" w:themeColor="text1"/>
          <w:kern w:val="36"/>
          <w:sz w:val="20"/>
          <w:szCs w:val="20"/>
          <w:u w:val="none"/>
          <w:lang w:eastAsia="cs-CZ"/>
        </w:rPr>
        <w:t xml:space="preserve"> postupu činností prováděných jak zpracovatelem návrhu pozemkových úprav, kterým je zpravidla externí subjekt, tak i úprav</w:t>
      </w:r>
      <w:r>
        <w:rPr>
          <w:rStyle w:val="Hypertextovodkaz"/>
          <w:rFonts w:ascii="Tahoma" w:eastAsia="Times New Roman" w:hAnsi="Tahoma" w:cs="Tahoma"/>
          <w:bCs/>
          <w:color w:val="000000" w:themeColor="text1"/>
          <w:kern w:val="36"/>
          <w:sz w:val="20"/>
          <w:szCs w:val="20"/>
          <w:u w:val="none"/>
          <w:lang w:eastAsia="cs-CZ"/>
        </w:rPr>
        <w:t xml:space="preserve">u </w:t>
      </w:r>
      <w:r w:rsidRPr="00537993">
        <w:rPr>
          <w:rStyle w:val="Hypertextovodkaz"/>
          <w:rFonts w:ascii="Tahoma" w:eastAsia="Times New Roman" w:hAnsi="Tahoma" w:cs="Tahoma"/>
          <w:bCs/>
          <w:color w:val="000000" w:themeColor="text1"/>
          <w:kern w:val="36"/>
          <w:sz w:val="20"/>
          <w:szCs w:val="20"/>
          <w:u w:val="none"/>
          <w:lang w:eastAsia="cs-CZ"/>
        </w:rPr>
        <w:t xml:space="preserve">postupu provádění jednotlivých etap řízení o pozemkových úpravách vedených správním orgánem, kterým je pobočka krajského pozemkového úřadu.  </w:t>
      </w:r>
    </w:p>
    <w:p w:rsidR="00384A12" w:rsidRDefault="00384A12" w:rsidP="00384A12">
      <w:pPr>
        <w:pStyle w:val="Bezmezer"/>
        <w:spacing w:line="276" w:lineRule="auto"/>
        <w:rPr>
          <w:rStyle w:val="Hypertextovodkaz"/>
          <w:rFonts w:ascii="Tahoma" w:eastAsia="Times New Roman" w:hAnsi="Tahoma" w:cs="Tahoma"/>
          <w:b/>
          <w:bCs/>
          <w:color w:val="000000" w:themeColor="text1"/>
          <w:kern w:val="36"/>
          <w:sz w:val="24"/>
          <w:szCs w:val="24"/>
          <w:u w:val="none"/>
          <w:lang w:eastAsia="cs-CZ"/>
        </w:rPr>
      </w:pPr>
    </w:p>
    <w:p w:rsidR="00384A12" w:rsidRDefault="00384A12" w:rsidP="00384A12">
      <w:pPr>
        <w:pStyle w:val="Bezmezer"/>
        <w:shd w:val="clear" w:color="auto" w:fill="D9D9D9" w:themeFill="background1" w:themeFillShade="D9"/>
        <w:spacing w:line="276" w:lineRule="auto"/>
        <w:jc w:val="both"/>
        <w:rPr>
          <w:rStyle w:val="Hypertextovodkaz"/>
          <w:rFonts w:ascii="Tahoma" w:eastAsia="Times New Roman" w:hAnsi="Tahoma" w:cs="Tahoma"/>
          <w:b/>
          <w:bCs/>
          <w:color w:val="000000" w:themeColor="text1"/>
          <w:kern w:val="36"/>
          <w:sz w:val="20"/>
          <w:szCs w:val="20"/>
          <w:u w:val="none"/>
          <w:lang w:eastAsia="cs-CZ"/>
        </w:rPr>
      </w:pPr>
      <w:r w:rsidRPr="00384A12">
        <w:rPr>
          <w:rStyle w:val="Hypertextovodkaz"/>
          <w:rFonts w:ascii="Tahoma" w:eastAsia="Times New Roman" w:hAnsi="Tahoma" w:cs="Tahoma"/>
          <w:b/>
          <w:bCs/>
          <w:color w:val="000000" w:themeColor="text1"/>
          <w:kern w:val="36"/>
          <w:sz w:val="20"/>
          <w:szCs w:val="20"/>
          <w:u w:val="none"/>
          <w:lang w:eastAsia="cs-CZ"/>
        </w:rPr>
        <w:t>Shrnutí věcných dopadů ze strany OPS:</w:t>
      </w:r>
    </w:p>
    <w:p w:rsidR="00384A12" w:rsidRDefault="00384A12" w:rsidP="00384A12">
      <w:pPr>
        <w:pStyle w:val="Bezmezer"/>
        <w:shd w:val="clear" w:color="auto" w:fill="D9D9D9" w:themeFill="background1" w:themeFillShade="D9"/>
        <w:spacing w:line="276" w:lineRule="auto"/>
        <w:jc w:val="both"/>
        <w:rPr>
          <w:rStyle w:val="Hypertextovodkaz"/>
          <w:rFonts w:ascii="Tahoma" w:eastAsia="Times New Roman" w:hAnsi="Tahoma" w:cs="Tahoma"/>
          <w:b/>
          <w:bCs/>
          <w:color w:val="000000" w:themeColor="text1"/>
          <w:kern w:val="36"/>
          <w:sz w:val="20"/>
          <w:szCs w:val="20"/>
          <w:u w:val="none"/>
          <w:lang w:eastAsia="cs-CZ"/>
        </w:rPr>
      </w:pPr>
    </w:p>
    <w:p w:rsidR="00384A12" w:rsidRDefault="00384A12" w:rsidP="00384A12">
      <w:pPr>
        <w:pStyle w:val="Bezmezer"/>
        <w:shd w:val="clear" w:color="auto" w:fill="D9D9D9" w:themeFill="background1" w:themeFillShade="D9"/>
        <w:rPr>
          <w:rFonts w:cs="Arial"/>
          <w:b/>
          <w:bCs/>
        </w:rPr>
      </w:pPr>
      <w:r w:rsidRPr="00846375">
        <w:rPr>
          <w:rFonts w:cs="Arial"/>
          <w:b/>
        </w:rPr>
        <w:lastRenderedPageBreak/>
        <w:t xml:space="preserve">Navrhovaná </w:t>
      </w:r>
      <w:r w:rsidRPr="00846375">
        <w:rPr>
          <w:rFonts w:cs="Arial"/>
          <w:b/>
          <w:bCs/>
        </w:rPr>
        <w:t xml:space="preserve">právní úprava </w:t>
      </w:r>
      <w:r>
        <w:rPr>
          <w:rFonts w:cs="Arial"/>
          <w:b/>
          <w:bCs/>
        </w:rPr>
        <w:t xml:space="preserve">se vztahuje k postupům správních orgánů a subjektů oprávněných ke zpracování pozemkových úprav.  Nemá přímý vliv na vlastníky pozemků v procesu pozemkových úprav, avšak navazuje na novelu zákona o pozemkových úpravách.  </w:t>
      </w:r>
    </w:p>
    <w:p w:rsidR="00384A12" w:rsidRDefault="00384A12" w:rsidP="00384A12">
      <w:pPr>
        <w:pStyle w:val="Bezmezer"/>
        <w:shd w:val="clear" w:color="auto" w:fill="D9D9D9" w:themeFill="background1" w:themeFillShade="D9"/>
        <w:spacing w:line="360" w:lineRule="auto"/>
        <w:rPr>
          <w:rFonts w:cs="Arial"/>
          <w:b/>
          <w:bCs/>
        </w:rPr>
      </w:pPr>
    </w:p>
    <w:p w:rsidR="00384A12" w:rsidRDefault="00384A12" w:rsidP="00384A12">
      <w:pPr>
        <w:pStyle w:val="Bezmezer"/>
        <w:shd w:val="clear" w:color="auto" w:fill="D9D9D9" w:themeFill="background1" w:themeFillShade="D9"/>
        <w:spacing w:line="360" w:lineRule="auto"/>
        <w:rPr>
          <w:rFonts w:cs="Arial"/>
          <w:b/>
          <w:bCs/>
        </w:rPr>
      </w:pPr>
      <w:r>
        <w:rPr>
          <w:rFonts w:cs="Arial"/>
          <w:b/>
          <w:bCs/>
        </w:rPr>
        <w:t>Dotýká se vlastníků pozemků a osob</w:t>
      </w:r>
      <w:r w:rsidR="006309EC">
        <w:rPr>
          <w:rFonts w:cs="Arial"/>
          <w:b/>
          <w:bCs/>
        </w:rPr>
        <w:t>,</w:t>
      </w:r>
      <w:r>
        <w:rPr>
          <w:rFonts w:cs="Arial"/>
          <w:b/>
          <w:bCs/>
        </w:rPr>
        <w:t xml:space="preserve"> jejichž zájmy mohou být pozemkovou úpravou dotčeny takto:</w:t>
      </w:r>
    </w:p>
    <w:p w:rsidR="00384A12" w:rsidRDefault="00384A12" w:rsidP="00384A12">
      <w:pPr>
        <w:pStyle w:val="Bezmezer"/>
        <w:numPr>
          <w:ilvl w:val="0"/>
          <w:numId w:val="40"/>
        </w:numPr>
        <w:shd w:val="clear" w:color="auto" w:fill="D9D9D9" w:themeFill="background1" w:themeFillShade="D9"/>
        <w:ind w:left="714" w:hanging="714"/>
        <w:rPr>
          <w:rFonts w:cs="Arial"/>
          <w:b/>
          <w:bCs/>
        </w:rPr>
      </w:pPr>
      <w:r>
        <w:rPr>
          <w:rFonts w:cs="Arial"/>
          <w:b/>
          <w:bCs/>
        </w:rPr>
        <w:t xml:space="preserve">Plná moc pro zmocněného v řízení o pozemkových úpravách musí být zmocnitelem podepsána s úředním ověřením nebo udělena do protokolu– (§ 6)  </w:t>
      </w:r>
      <w:r>
        <w:rPr>
          <w:rFonts w:cs="Arial"/>
          <w:b/>
          <w:bCs/>
        </w:rPr>
        <w:br/>
      </w:r>
      <w:r w:rsidR="006309EC">
        <w:rPr>
          <w:rFonts w:cs="Arial"/>
          <w:bCs/>
          <w:i/>
        </w:rPr>
        <w:t xml:space="preserve">vzít v potaz, pokud </w:t>
      </w:r>
      <w:proofErr w:type="gramStart"/>
      <w:r w:rsidR="006309EC">
        <w:rPr>
          <w:rFonts w:cs="Arial"/>
          <w:bCs/>
          <w:i/>
        </w:rPr>
        <w:t xml:space="preserve">by  </w:t>
      </w:r>
      <w:r>
        <w:rPr>
          <w:rFonts w:cs="Arial"/>
          <w:bCs/>
          <w:i/>
        </w:rPr>
        <w:t>ČEPRO</w:t>
      </w:r>
      <w:proofErr w:type="gramEnd"/>
      <w:r>
        <w:rPr>
          <w:rFonts w:cs="Arial"/>
          <w:bCs/>
          <w:i/>
        </w:rPr>
        <w:t xml:space="preserve"> chtělo využít zastoupení zmocněncem.</w:t>
      </w:r>
    </w:p>
    <w:p w:rsidR="00384A12" w:rsidRDefault="00384A12" w:rsidP="00384A12">
      <w:pPr>
        <w:pStyle w:val="Bezmezer"/>
        <w:numPr>
          <w:ilvl w:val="0"/>
          <w:numId w:val="40"/>
        </w:numPr>
        <w:shd w:val="clear" w:color="auto" w:fill="D9D9D9" w:themeFill="background1" w:themeFillShade="D9"/>
        <w:ind w:left="714" w:hanging="714"/>
        <w:rPr>
          <w:rFonts w:cs="Arial"/>
          <w:b/>
          <w:bCs/>
        </w:rPr>
      </w:pPr>
      <w:r>
        <w:rPr>
          <w:rFonts w:cs="Arial"/>
          <w:b/>
          <w:bCs/>
        </w:rPr>
        <w:t xml:space="preserve">Soupis nároků v rámci pozemkové úpravy musí být opatřen vlastnoručním podpisem osoby úředně oprávněné k projektování pozemkových úprav a otiskem jejího razítka se státním znakem (§11/3) </w:t>
      </w:r>
      <w:r>
        <w:rPr>
          <w:rFonts w:cs="Arial"/>
          <w:b/>
          <w:bCs/>
        </w:rPr>
        <w:br/>
      </w:r>
      <w:r>
        <w:rPr>
          <w:rFonts w:cs="Arial"/>
          <w:bCs/>
          <w:i/>
        </w:rPr>
        <w:t xml:space="preserve">vzít v potaz při kontrole dopadu návrhu pozemkové úpravy na věcná práva </w:t>
      </w:r>
      <w:proofErr w:type="gramStart"/>
      <w:r>
        <w:rPr>
          <w:rFonts w:cs="Arial"/>
          <w:bCs/>
          <w:i/>
        </w:rPr>
        <w:t>ČEPRO,a.</w:t>
      </w:r>
      <w:proofErr w:type="gramEnd"/>
      <w:r>
        <w:rPr>
          <w:rFonts w:cs="Arial"/>
          <w:bCs/>
          <w:i/>
        </w:rPr>
        <w:t xml:space="preserve">s.,(vlastnické, věcné břemeno, zástavní právo…) </w:t>
      </w:r>
    </w:p>
    <w:p w:rsidR="00384A12" w:rsidRDefault="00384A12" w:rsidP="00384A12">
      <w:pPr>
        <w:pStyle w:val="Bezmezer"/>
        <w:numPr>
          <w:ilvl w:val="0"/>
          <w:numId w:val="40"/>
        </w:numPr>
        <w:shd w:val="clear" w:color="auto" w:fill="D9D9D9" w:themeFill="background1" w:themeFillShade="D9"/>
        <w:ind w:left="714" w:hanging="714"/>
        <w:rPr>
          <w:rFonts w:cs="Arial"/>
          <w:b/>
          <w:bCs/>
        </w:rPr>
      </w:pPr>
      <w:r>
        <w:rPr>
          <w:rFonts w:cs="Arial"/>
          <w:b/>
          <w:bCs/>
        </w:rPr>
        <w:t xml:space="preserve">Podnět k aktualizaci soupisu nároků v průběhu řízení je nově časově omezen – nejpozději 30 dní před vystavením návrhu. (§13/1) </w:t>
      </w:r>
      <w:r>
        <w:rPr>
          <w:rFonts w:cs="Arial"/>
          <w:b/>
          <w:bCs/>
        </w:rPr>
        <w:br/>
      </w:r>
      <w:r>
        <w:rPr>
          <w:rFonts w:cs="Arial"/>
          <w:bCs/>
          <w:i/>
        </w:rPr>
        <w:t xml:space="preserve">dodržet lhůtu, pokud by chtělo ČEPRO uplatnit v rámci pozemkové úpravy podnět k aktualizaci soupisu nároků v případě zjištění nesrovnalostí při kontrole návrhu </w:t>
      </w:r>
    </w:p>
    <w:p w:rsidR="00384A12" w:rsidRDefault="00384A12" w:rsidP="00384A12">
      <w:pPr>
        <w:pStyle w:val="Bezmezer"/>
        <w:numPr>
          <w:ilvl w:val="0"/>
          <w:numId w:val="40"/>
        </w:numPr>
        <w:shd w:val="clear" w:color="auto" w:fill="D9D9D9" w:themeFill="background1" w:themeFillShade="D9"/>
        <w:ind w:left="714" w:hanging="714"/>
        <w:rPr>
          <w:rFonts w:cs="Arial"/>
          <w:b/>
          <w:bCs/>
        </w:rPr>
      </w:pPr>
      <w:r>
        <w:rPr>
          <w:rFonts w:cs="Arial"/>
          <w:b/>
          <w:bCs/>
        </w:rPr>
        <w:t xml:space="preserve">Poznámky u pozemků dotčených exekucí nebo insolvenčním řízením jsou přeneseny z původního pozemku na nově navrhovaný pozemek, který musí být navržen tak, aby nebyla překročena kritéria přiměřenosti (§17/5) </w:t>
      </w:r>
      <w:r>
        <w:rPr>
          <w:rFonts w:cs="Arial"/>
          <w:bCs/>
          <w:i/>
        </w:rPr>
        <w:t xml:space="preserve">– </w:t>
      </w:r>
      <w:r>
        <w:rPr>
          <w:rFonts w:cs="Arial"/>
          <w:bCs/>
          <w:i/>
        </w:rPr>
        <w:br/>
        <w:t xml:space="preserve">při kontrole návrhu pozemkové úpravy provést/zajistit  kontrolu přiměřenosti, dotýká-li se pozemková úprava pozemků cizích vlastníků, u nichž je </w:t>
      </w:r>
      <w:proofErr w:type="gramStart"/>
      <w:r>
        <w:rPr>
          <w:rFonts w:cs="Arial"/>
          <w:bCs/>
          <w:i/>
        </w:rPr>
        <w:t>ČEPRO,a.</w:t>
      </w:r>
      <w:proofErr w:type="gramEnd"/>
      <w:r>
        <w:rPr>
          <w:rFonts w:cs="Arial"/>
          <w:bCs/>
          <w:i/>
        </w:rPr>
        <w:t>s., oprávněným v exekučním řízení, nebo věřitelem přihlášeným v insolvenčním řízení.</w:t>
      </w:r>
    </w:p>
    <w:p w:rsidR="00384A12" w:rsidRDefault="00384A12" w:rsidP="00384A12">
      <w:pPr>
        <w:pStyle w:val="Bezmezer"/>
        <w:numPr>
          <w:ilvl w:val="0"/>
          <w:numId w:val="40"/>
        </w:numPr>
        <w:shd w:val="clear" w:color="auto" w:fill="D9D9D9" w:themeFill="background1" w:themeFillShade="D9"/>
        <w:ind w:left="714" w:hanging="714"/>
        <w:rPr>
          <w:rFonts w:cs="Arial"/>
          <w:b/>
          <w:bCs/>
        </w:rPr>
      </w:pPr>
      <w:r>
        <w:rPr>
          <w:rFonts w:cs="Arial"/>
          <w:b/>
          <w:bCs/>
        </w:rPr>
        <w:t xml:space="preserve">upřesněny náležitosti návrhu pozemkových úprav. </w:t>
      </w:r>
      <w:r>
        <w:rPr>
          <w:rFonts w:cs="Arial"/>
          <w:b/>
          <w:bCs/>
        </w:rPr>
        <w:br/>
      </w:r>
      <w:r>
        <w:rPr>
          <w:rFonts w:cs="Arial"/>
          <w:bCs/>
          <w:i/>
        </w:rPr>
        <w:t>Při kontrole zachování zájmů společnosti v návrhu pozemkových úprav - v</w:t>
      </w:r>
      <w:r w:rsidR="006309EC">
        <w:rPr>
          <w:rFonts w:cs="Arial"/>
          <w:bCs/>
          <w:i/>
        </w:rPr>
        <w:t xml:space="preserve"> rámci vzoru zaměřit pozornost </w:t>
      </w:r>
      <w:r>
        <w:rPr>
          <w:rFonts w:cs="Arial"/>
          <w:bCs/>
          <w:i/>
        </w:rPr>
        <w:t xml:space="preserve">na </w:t>
      </w:r>
      <w:r w:rsidRPr="00BA2A74">
        <w:rPr>
          <w:rFonts w:cs="Arial"/>
          <w:bCs/>
          <w:i/>
        </w:rPr>
        <w:t xml:space="preserve">přehled pozemků dotčených § 11 odst. 14 zákona </w:t>
      </w:r>
      <w:r>
        <w:rPr>
          <w:rFonts w:cs="Arial"/>
          <w:bCs/>
          <w:i/>
        </w:rPr>
        <w:t>a</w:t>
      </w:r>
      <w:r w:rsidRPr="00BA2A74">
        <w:rPr>
          <w:rFonts w:cs="Arial"/>
          <w:bCs/>
          <w:i/>
        </w:rPr>
        <w:t xml:space="preserve"> přehled pozemků s věcnými břemeny nově zřizovanými nebo rušenými (§ 11 odst. 18 </w:t>
      </w:r>
      <w:proofErr w:type="gramStart"/>
      <w:r w:rsidRPr="00BA2A74">
        <w:rPr>
          <w:rFonts w:cs="Arial"/>
          <w:bCs/>
          <w:i/>
        </w:rPr>
        <w:t>zákona)</w:t>
      </w:r>
      <w:r>
        <w:rPr>
          <w:rFonts w:cs="Arial"/>
          <w:bCs/>
          <w:i/>
        </w:rPr>
        <w:t xml:space="preserve">  zda</w:t>
      </w:r>
      <w:proofErr w:type="gramEnd"/>
      <w:r>
        <w:rPr>
          <w:rFonts w:cs="Arial"/>
          <w:bCs/>
          <w:i/>
        </w:rPr>
        <w:t xml:space="preserve"> nedošlo k zrušení VB či služebnosti právních předchůdců společnosti a ty části návrhu, které sledují dotčené zájmy společnosti (viz výše např. exekuce, insolvence)</w:t>
      </w:r>
      <w:r w:rsidRPr="009756D9">
        <w:rPr>
          <w:rFonts w:cs="Arial"/>
          <w:b/>
          <w:bCs/>
          <w:i/>
        </w:rPr>
        <w:t xml:space="preserve">. </w:t>
      </w:r>
    </w:p>
    <w:p w:rsidR="00384A12" w:rsidRPr="00384A12" w:rsidRDefault="00384A12" w:rsidP="00384A12">
      <w:pPr>
        <w:pStyle w:val="Bezmezer"/>
        <w:shd w:val="clear" w:color="auto" w:fill="D9D9D9" w:themeFill="background1" w:themeFillShade="D9"/>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77425" w:rsidRPr="00384A12" w:rsidRDefault="00777425" w:rsidP="00217FEC">
      <w:pPr>
        <w:pStyle w:val="Bezmezer"/>
        <w:spacing w:line="276" w:lineRule="auto"/>
        <w:jc w:val="both"/>
        <w:rPr>
          <w:rStyle w:val="Hypertextovodkaz"/>
          <w:rFonts w:ascii="Tahoma" w:eastAsia="Times New Roman" w:hAnsi="Tahoma" w:cs="Tahoma"/>
          <w:b/>
          <w:bCs/>
          <w:color w:val="000000" w:themeColor="text1"/>
          <w:kern w:val="36"/>
          <w:sz w:val="20"/>
          <w:szCs w:val="20"/>
          <w:u w:val="none"/>
          <w:lang w:eastAsia="cs-CZ"/>
        </w:rPr>
      </w:pPr>
    </w:p>
    <w:p w:rsidR="00777425" w:rsidRDefault="00777425"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168DB" w:rsidRDefault="004168DB" w:rsidP="004B7992">
      <w:pPr>
        <w:pStyle w:val="Bezmezer"/>
        <w:numPr>
          <w:ilvl w:val="0"/>
          <w:numId w:val="39"/>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4168DB" w:rsidRPr="00DB40CC" w:rsidRDefault="004168DB" w:rsidP="004168DB">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 zadání</w:t>
      </w:r>
    </w:p>
    <w:p w:rsidR="00777425" w:rsidRDefault="00777425"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85FC5" w:rsidRDefault="004168DB" w:rsidP="004168DB">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4168DB">
        <w:rPr>
          <w:rStyle w:val="Hypertextovodkaz"/>
          <w:rFonts w:ascii="Tahoma" w:eastAsia="Times New Roman" w:hAnsi="Tahoma" w:cs="Tahoma"/>
          <w:b/>
          <w:bCs/>
          <w:color w:val="000000" w:themeColor="text1"/>
          <w:kern w:val="36"/>
          <w:sz w:val="24"/>
          <w:szCs w:val="24"/>
          <w:u w:val="none"/>
          <w:lang w:eastAsia="cs-CZ"/>
        </w:rPr>
        <w:t>Novela zákona č. 159/2006 Sb., o střetu zájmů</w:t>
      </w:r>
      <w:r w:rsidR="005862C0">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185FC5" w:rsidRPr="00185FC5" w:rsidRDefault="00185FC5"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tab/>
      </w:r>
      <w:r w:rsidRPr="00185FC5">
        <w:rPr>
          <w:rStyle w:val="Hypertextovodkaz"/>
          <w:rFonts w:ascii="Tahoma" w:eastAsia="Times New Roman" w:hAnsi="Tahoma" w:cs="Tahoma"/>
          <w:b/>
          <w:bCs/>
          <w:color w:val="000000" w:themeColor="text1"/>
          <w:kern w:val="36"/>
          <w:sz w:val="20"/>
          <w:szCs w:val="20"/>
          <w:u w:val="none"/>
          <w:lang w:eastAsia="cs-CZ"/>
        </w:rPr>
        <w:tab/>
      </w:r>
      <w:r w:rsidR="004168DB">
        <w:rPr>
          <w:rStyle w:val="Hypertextovodkaz"/>
          <w:rFonts w:ascii="Tahoma" w:eastAsia="Times New Roman" w:hAnsi="Tahoma" w:cs="Tahoma"/>
          <w:bCs/>
          <w:color w:val="000000" w:themeColor="text1"/>
          <w:kern w:val="36"/>
          <w:sz w:val="20"/>
          <w:szCs w:val="20"/>
          <w:u w:val="none"/>
          <w:lang w:eastAsia="cs-CZ"/>
        </w:rPr>
        <w:t>Sněmovní tisk 956</w:t>
      </w:r>
    </w:p>
    <w:p w:rsidR="00185FC5" w:rsidRDefault="004168DB"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Druhé čtení</w:t>
      </w:r>
    </w:p>
    <w:p w:rsidR="004168DB" w:rsidRPr="00185FC5" w:rsidRDefault="004168DB"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0959B4" w:rsidRDefault="004168DB" w:rsidP="000959B4">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Novela zákona byla předložena poslancům dne 21. 7. 2020 v reakci </w:t>
      </w:r>
      <w:r w:rsidRPr="004168DB">
        <w:rPr>
          <w:rStyle w:val="Hypertextovodkaz"/>
          <w:rFonts w:ascii="Tahoma" w:eastAsia="Times New Roman" w:hAnsi="Tahoma" w:cs="Tahoma"/>
          <w:bCs/>
          <w:color w:val="000000" w:themeColor="text1"/>
          <w:kern w:val="36"/>
          <w:sz w:val="20"/>
          <w:szCs w:val="20"/>
          <w:u w:val="none"/>
          <w:lang w:eastAsia="cs-CZ"/>
        </w:rPr>
        <w:t>na nález Ústavního so</w:t>
      </w:r>
      <w:r w:rsidR="000959B4">
        <w:rPr>
          <w:rStyle w:val="Hypertextovodkaz"/>
          <w:rFonts w:ascii="Tahoma" w:eastAsia="Times New Roman" w:hAnsi="Tahoma" w:cs="Tahoma"/>
          <w:bCs/>
          <w:color w:val="000000" w:themeColor="text1"/>
          <w:kern w:val="36"/>
          <w:sz w:val="20"/>
          <w:szCs w:val="20"/>
          <w:u w:val="none"/>
          <w:lang w:eastAsia="cs-CZ"/>
        </w:rPr>
        <w:t xml:space="preserve">udu sp. zn. Pl. ÚS 38/17 ze dne </w:t>
      </w:r>
      <w:r w:rsidRPr="004168DB">
        <w:rPr>
          <w:rStyle w:val="Hypertextovodkaz"/>
          <w:rFonts w:ascii="Tahoma" w:eastAsia="Times New Roman" w:hAnsi="Tahoma" w:cs="Tahoma"/>
          <w:bCs/>
          <w:color w:val="000000" w:themeColor="text1"/>
          <w:kern w:val="36"/>
          <w:sz w:val="20"/>
          <w:szCs w:val="20"/>
          <w:u w:val="none"/>
          <w:lang w:eastAsia="cs-CZ"/>
        </w:rPr>
        <w:t>11. 2. 2020, kterým byl s odkladem vykonatelnosti ke dni 31. 12. 2020 zrušen § 14b odst. 1</w:t>
      </w:r>
      <w:r w:rsidR="006309EC">
        <w:rPr>
          <w:rStyle w:val="Hypertextovodkaz"/>
          <w:rFonts w:ascii="Tahoma" w:eastAsia="Times New Roman" w:hAnsi="Tahoma" w:cs="Tahoma"/>
          <w:bCs/>
          <w:color w:val="000000" w:themeColor="text1"/>
          <w:kern w:val="36"/>
          <w:sz w:val="20"/>
          <w:szCs w:val="20"/>
          <w:u w:val="none"/>
          <w:lang w:eastAsia="cs-CZ"/>
        </w:rPr>
        <w:t xml:space="preserve"> </w:t>
      </w:r>
      <w:r w:rsidR="000959B4">
        <w:rPr>
          <w:rStyle w:val="Hypertextovodkaz"/>
          <w:rFonts w:ascii="Tahoma" w:eastAsia="Times New Roman" w:hAnsi="Tahoma" w:cs="Tahoma"/>
          <w:bCs/>
          <w:color w:val="000000" w:themeColor="text1"/>
          <w:kern w:val="36"/>
          <w:sz w:val="20"/>
          <w:szCs w:val="20"/>
          <w:u w:val="none"/>
          <w:lang w:eastAsia="cs-CZ"/>
        </w:rPr>
        <w:t>písm. a), b) a c) zákona</w:t>
      </w:r>
      <w:r w:rsidRPr="004168DB">
        <w:rPr>
          <w:rStyle w:val="Hypertextovodkaz"/>
          <w:rFonts w:ascii="Tahoma" w:eastAsia="Times New Roman" w:hAnsi="Tahoma" w:cs="Tahoma"/>
          <w:bCs/>
          <w:color w:val="000000" w:themeColor="text1"/>
          <w:kern w:val="36"/>
          <w:sz w:val="20"/>
          <w:szCs w:val="20"/>
          <w:u w:val="none"/>
          <w:lang w:eastAsia="cs-CZ"/>
        </w:rPr>
        <w:t>. Hlavní navrhovanou změno</w:t>
      </w:r>
      <w:r w:rsidR="000959B4">
        <w:rPr>
          <w:rStyle w:val="Hypertextovodkaz"/>
          <w:rFonts w:ascii="Tahoma" w:eastAsia="Times New Roman" w:hAnsi="Tahoma" w:cs="Tahoma"/>
          <w:bCs/>
          <w:color w:val="000000" w:themeColor="text1"/>
          <w:kern w:val="36"/>
          <w:sz w:val="20"/>
          <w:szCs w:val="20"/>
          <w:u w:val="none"/>
          <w:lang w:eastAsia="cs-CZ"/>
        </w:rPr>
        <w:t xml:space="preserve">u je proto zakotvení výslovného </w:t>
      </w:r>
      <w:r w:rsidRPr="004168DB">
        <w:rPr>
          <w:rStyle w:val="Hypertextovodkaz"/>
          <w:rFonts w:ascii="Tahoma" w:eastAsia="Times New Roman" w:hAnsi="Tahoma" w:cs="Tahoma"/>
          <w:bCs/>
          <w:color w:val="000000" w:themeColor="text1"/>
          <w:kern w:val="36"/>
          <w:sz w:val="20"/>
          <w:szCs w:val="20"/>
          <w:u w:val="none"/>
          <w:lang w:eastAsia="cs-CZ"/>
        </w:rPr>
        <w:t xml:space="preserve">požadavku předchozí žádosti o nahlížení do Centrálního registru u všech kategorií veřejných </w:t>
      </w:r>
      <w:r w:rsidR="000959B4">
        <w:rPr>
          <w:rStyle w:val="Hypertextovodkaz"/>
          <w:rFonts w:ascii="Tahoma" w:eastAsia="Times New Roman" w:hAnsi="Tahoma" w:cs="Tahoma"/>
          <w:bCs/>
          <w:color w:val="000000" w:themeColor="text1"/>
          <w:kern w:val="36"/>
          <w:sz w:val="20"/>
          <w:szCs w:val="20"/>
          <w:u w:val="none"/>
          <w:lang w:eastAsia="cs-CZ"/>
        </w:rPr>
        <w:t xml:space="preserve">funkcionářů, tedy nikoliv pouze </w:t>
      </w:r>
      <w:r w:rsidRPr="004168DB">
        <w:rPr>
          <w:rStyle w:val="Hypertextovodkaz"/>
          <w:rFonts w:ascii="Tahoma" w:eastAsia="Times New Roman" w:hAnsi="Tahoma" w:cs="Tahoma"/>
          <w:bCs/>
          <w:color w:val="000000" w:themeColor="text1"/>
          <w:kern w:val="36"/>
          <w:sz w:val="20"/>
          <w:szCs w:val="20"/>
          <w:u w:val="none"/>
          <w:lang w:eastAsia="cs-CZ"/>
        </w:rPr>
        <w:t>u veřejných funkcionářů podle § 2 odst. 2 zákona o střetu zájmů, jak je tomu dle souča</w:t>
      </w:r>
      <w:r w:rsidR="000959B4">
        <w:rPr>
          <w:rStyle w:val="Hypertextovodkaz"/>
          <w:rFonts w:ascii="Tahoma" w:eastAsia="Times New Roman" w:hAnsi="Tahoma" w:cs="Tahoma"/>
          <w:bCs/>
          <w:color w:val="000000" w:themeColor="text1"/>
          <w:kern w:val="36"/>
          <w:sz w:val="20"/>
          <w:szCs w:val="20"/>
          <w:u w:val="none"/>
          <w:lang w:eastAsia="cs-CZ"/>
        </w:rPr>
        <w:t>sné právní úpravy. Tento návrh byl v původním znění vyhodnocen bez dopadů pro společnost.</w:t>
      </w:r>
    </w:p>
    <w:p w:rsidR="000959B4" w:rsidRDefault="000959B4" w:rsidP="000959B4">
      <w:pPr>
        <w:pStyle w:val="Bezmezer"/>
        <w:jc w:val="both"/>
        <w:rPr>
          <w:rStyle w:val="Hypertextovodkaz"/>
          <w:rFonts w:ascii="Tahoma" w:eastAsia="Times New Roman" w:hAnsi="Tahoma" w:cs="Tahoma"/>
          <w:bCs/>
          <w:color w:val="000000" w:themeColor="text1"/>
          <w:kern w:val="36"/>
          <w:sz w:val="20"/>
          <w:szCs w:val="20"/>
          <w:u w:val="none"/>
          <w:lang w:eastAsia="cs-CZ"/>
        </w:rPr>
      </w:pPr>
    </w:p>
    <w:p w:rsidR="000959B4" w:rsidRDefault="000959B4" w:rsidP="000959B4">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Dne </w:t>
      </w:r>
      <w:proofErr w:type="gramStart"/>
      <w:r>
        <w:rPr>
          <w:rStyle w:val="Hypertextovodkaz"/>
          <w:rFonts w:ascii="Tahoma" w:eastAsia="Times New Roman" w:hAnsi="Tahoma" w:cs="Tahoma"/>
          <w:bCs/>
          <w:color w:val="000000" w:themeColor="text1"/>
          <w:kern w:val="36"/>
          <w:sz w:val="20"/>
          <w:szCs w:val="20"/>
          <w:u w:val="none"/>
          <w:lang w:eastAsia="cs-CZ"/>
        </w:rPr>
        <w:t>14.4.2021</w:t>
      </w:r>
      <w:proofErr w:type="gramEnd"/>
      <w:r>
        <w:rPr>
          <w:rStyle w:val="Hypertextovodkaz"/>
          <w:rFonts w:ascii="Tahoma" w:eastAsia="Times New Roman" w:hAnsi="Tahoma" w:cs="Tahoma"/>
          <w:bCs/>
          <w:color w:val="000000" w:themeColor="text1"/>
          <w:kern w:val="36"/>
          <w:sz w:val="20"/>
          <w:szCs w:val="20"/>
          <w:u w:val="none"/>
          <w:lang w:eastAsia="cs-CZ"/>
        </w:rPr>
        <w:t xml:space="preserve"> poslanec Jakub Michálek předložil pozměňovací návrh č. 8156. </w:t>
      </w:r>
    </w:p>
    <w:p w:rsidR="000959B4" w:rsidRDefault="000959B4" w:rsidP="000959B4">
      <w:pPr>
        <w:pStyle w:val="Bezmezer"/>
        <w:jc w:val="both"/>
        <w:rPr>
          <w:rStyle w:val="Hypertextovodkaz"/>
          <w:rFonts w:ascii="Tahoma" w:eastAsia="Times New Roman" w:hAnsi="Tahoma" w:cs="Tahoma"/>
          <w:bCs/>
          <w:color w:val="000000" w:themeColor="text1"/>
          <w:kern w:val="36"/>
          <w:sz w:val="20"/>
          <w:szCs w:val="20"/>
          <w:u w:val="none"/>
          <w:lang w:eastAsia="cs-CZ"/>
        </w:rPr>
      </w:pPr>
    </w:p>
    <w:p w:rsidR="000959B4" w:rsidRDefault="000959B4" w:rsidP="000959B4">
      <w:pPr>
        <w:pStyle w:val="Bezmezer"/>
        <w:jc w:val="both"/>
        <w:rPr>
          <w:rStyle w:val="Hypertextovodkaz"/>
          <w:rFonts w:ascii="Tahoma" w:eastAsia="Times New Roman" w:hAnsi="Tahoma" w:cs="Tahoma"/>
          <w:bCs/>
          <w:color w:val="000000" w:themeColor="text1"/>
          <w:kern w:val="36"/>
          <w:sz w:val="20"/>
          <w:szCs w:val="20"/>
          <w:u w:val="none"/>
          <w:lang w:eastAsia="cs-CZ"/>
        </w:rPr>
      </w:pPr>
    </w:p>
    <w:p w:rsidR="000959B4" w:rsidRPr="000959B4" w:rsidRDefault="000959B4" w:rsidP="000959B4">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Hlavní navrhované okruhy pozměňovacího návrhu</w:t>
      </w:r>
      <w:r w:rsidRPr="000959B4">
        <w:rPr>
          <w:rStyle w:val="Hypertextovodkaz"/>
          <w:rFonts w:ascii="Tahoma" w:eastAsia="Times New Roman" w:hAnsi="Tahoma" w:cs="Tahoma"/>
          <w:bCs/>
          <w:color w:val="000000" w:themeColor="text1"/>
          <w:kern w:val="36"/>
          <w:sz w:val="20"/>
          <w:szCs w:val="20"/>
          <w:u w:val="none"/>
          <w:lang w:eastAsia="cs-CZ"/>
        </w:rPr>
        <w:t>:</w:t>
      </w:r>
    </w:p>
    <w:p w:rsidR="000959B4" w:rsidRPr="000959B4" w:rsidRDefault="000959B4" w:rsidP="000959B4">
      <w:pPr>
        <w:pStyle w:val="Bezmezer"/>
        <w:jc w:val="both"/>
        <w:rPr>
          <w:rStyle w:val="Hypertextovodkaz"/>
          <w:rFonts w:ascii="Tahoma" w:eastAsia="Times New Roman" w:hAnsi="Tahoma" w:cs="Tahoma"/>
          <w:bCs/>
          <w:color w:val="000000" w:themeColor="text1"/>
          <w:kern w:val="36"/>
          <w:sz w:val="20"/>
          <w:szCs w:val="20"/>
          <w:u w:val="none"/>
          <w:lang w:eastAsia="cs-CZ"/>
        </w:rPr>
      </w:pPr>
    </w:p>
    <w:p w:rsidR="000959B4" w:rsidRPr="000959B4" w:rsidRDefault="000959B4" w:rsidP="000959B4">
      <w:pPr>
        <w:pStyle w:val="Bezmezer"/>
        <w:jc w:val="both"/>
        <w:rPr>
          <w:rStyle w:val="Hypertextovodkaz"/>
          <w:rFonts w:ascii="Tahoma" w:eastAsia="Times New Roman" w:hAnsi="Tahoma" w:cs="Tahoma"/>
          <w:bCs/>
          <w:color w:val="000000" w:themeColor="text1"/>
          <w:kern w:val="36"/>
          <w:sz w:val="20"/>
          <w:szCs w:val="20"/>
          <w:u w:val="none"/>
          <w:lang w:eastAsia="cs-CZ"/>
        </w:rPr>
      </w:pPr>
      <w:r w:rsidRPr="000959B4">
        <w:rPr>
          <w:rStyle w:val="Hypertextovodkaz"/>
          <w:rFonts w:ascii="Tahoma" w:eastAsia="Times New Roman" w:hAnsi="Tahoma" w:cs="Tahoma"/>
          <w:bCs/>
          <w:color w:val="000000" w:themeColor="text1"/>
          <w:kern w:val="36"/>
          <w:sz w:val="20"/>
          <w:szCs w:val="20"/>
          <w:u w:val="none"/>
          <w:lang w:eastAsia="cs-CZ"/>
        </w:rPr>
        <w:t>●</w:t>
      </w:r>
      <w:r w:rsidRPr="000959B4">
        <w:rPr>
          <w:rStyle w:val="Hypertextovodkaz"/>
          <w:rFonts w:ascii="Tahoma" w:eastAsia="Times New Roman" w:hAnsi="Tahoma" w:cs="Tahoma"/>
          <w:bCs/>
          <w:color w:val="000000" w:themeColor="text1"/>
          <w:kern w:val="36"/>
          <w:sz w:val="20"/>
          <w:szCs w:val="20"/>
          <w:u w:val="none"/>
          <w:lang w:eastAsia="cs-CZ"/>
        </w:rPr>
        <w:tab/>
      </w:r>
      <w:r w:rsidRPr="000959B4">
        <w:rPr>
          <w:rStyle w:val="Hypertextovodkaz"/>
          <w:rFonts w:ascii="Tahoma" w:eastAsia="Times New Roman" w:hAnsi="Tahoma" w:cs="Tahoma"/>
          <w:b/>
          <w:bCs/>
          <w:color w:val="000000" w:themeColor="text1"/>
          <w:kern w:val="36"/>
          <w:sz w:val="20"/>
          <w:szCs w:val="20"/>
          <w:lang w:eastAsia="cs-CZ"/>
        </w:rPr>
        <w:t>Přesnější vymezení zákazu vlastnit média a zákazu přijímat dotace a investiční pobídky veřejnými funkcionáři a firmami, které skutečně vlastní</w:t>
      </w:r>
      <w:r w:rsidRPr="000959B4">
        <w:rPr>
          <w:rStyle w:val="Hypertextovodkaz"/>
          <w:rFonts w:ascii="Tahoma" w:eastAsia="Times New Roman" w:hAnsi="Tahoma" w:cs="Tahoma"/>
          <w:bCs/>
          <w:color w:val="000000" w:themeColor="text1"/>
          <w:kern w:val="36"/>
          <w:sz w:val="20"/>
          <w:szCs w:val="20"/>
          <w:u w:val="none"/>
          <w:lang w:eastAsia="cs-CZ"/>
        </w:rPr>
        <w:t xml:space="preserve"> </w:t>
      </w:r>
    </w:p>
    <w:p w:rsidR="000959B4" w:rsidRDefault="000959B4" w:rsidP="000959B4">
      <w:pPr>
        <w:pStyle w:val="Bezmezer"/>
        <w:numPr>
          <w:ilvl w:val="0"/>
          <w:numId w:val="36"/>
        </w:numP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Nahrazuje se</w:t>
      </w:r>
      <w:r w:rsidRPr="000959B4">
        <w:rPr>
          <w:rStyle w:val="Hypertextovodkaz"/>
          <w:rFonts w:ascii="Tahoma" w:eastAsia="Times New Roman" w:hAnsi="Tahoma" w:cs="Tahoma"/>
          <w:bCs/>
          <w:color w:val="000000" w:themeColor="text1"/>
          <w:kern w:val="36"/>
          <w:sz w:val="20"/>
          <w:szCs w:val="20"/>
          <w:u w:val="none"/>
          <w:lang w:eastAsia="cs-CZ"/>
        </w:rPr>
        <w:t xml:space="preserve"> v § 4a a dalších ustanoveních nahradit pojem „ovládající osoba“ širším pojmem „skutečný majitel“. Ovládající osoba je poměrně úzce vymezená v zákoně o obchodních korporacích a umožňuje obcházení zákona, např. vložením majetkových účastí do </w:t>
      </w:r>
      <w:proofErr w:type="spellStart"/>
      <w:r w:rsidRPr="000959B4">
        <w:rPr>
          <w:rStyle w:val="Hypertextovodkaz"/>
          <w:rFonts w:ascii="Tahoma" w:eastAsia="Times New Roman" w:hAnsi="Tahoma" w:cs="Tahoma"/>
          <w:bCs/>
          <w:color w:val="000000" w:themeColor="text1"/>
          <w:kern w:val="36"/>
          <w:sz w:val="20"/>
          <w:szCs w:val="20"/>
          <w:u w:val="none"/>
          <w:lang w:eastAsia="cs-CZ"/>
        </w:rPr>
        <w:t>svěřenského</w:t>
      </w:r>
      <w:proofErr w:type="spellEnd"/>
      <w:r w:rsidRPr="000959B4">
        <w:rPr>
          <w:rStyle w:val="Hypertextovodkaz"/>
          <w:rFonts w:ascii="Tahoma" w:eastAsia="Times New Roman" w:hAnsi="Tahoma" w:cs="Tahoma"/>
          <w:bCs/>
          <w:color w:val="000000" w:themeColor="text1"/>
          <w:kern w:val="36"/>
          <w:sz w:val="20"/>
          <w:szCs w:val="20"/>
          <w:u w:val="none"/>
          <w:lang w:eastAsia="cs-CZ"/>
        </w:rPr>
        <w:t xml:space="preserve"> fondu.</w:t>
      </w:r>
    </w:p>
    <w:p w:rsidR="000959B4" w:rsidRDefault="000959B4" w:rsidP="000959B4">
      <w:pPr>
        <w:pStyle w:val="Bezmezer"/>
        <w:ind w:left="1068"/>
        <w:jc w:val="both"/>
        <w:rPr>
          <w:rStyle w:val="Hypertextovodkaz"/>
          <w:rFonts w:ascii="Tahoma" w:eastAsia="Times New Roman" w:hAnsi="Tahoma" w:cs="Tahoma"/>
          <w:bCs/>
          <w:color w:val="000000" w:themeColor="text1"/>
          <w:kern w:val="36"/>
          <w:sz w:val="20"/>
          <w:szCs w:val="20"/>
          <w:u w:val="none"/>
          <w:lang w:eastAsia="cs-CZ"/>
        </w:rPr>
      </w:pPr>
    </w:p>
    <w:p w:rsidR="000959B4" w:rsidRPr="000959B4" w:rsidRDefault="000959B4" w:rsidP="000959B4">
      <w:pPr>
        <w:numPr>
          <w:ilvl w:val="0"/>
          <w:numId w:val="37"/>
        </w:numPr>
        <w:spacing w:after="0"/>
        <w:jc w:val="both"/>
        <w:rPr>
          <w:rStyle w:val="Hypertextovodkaz"/>
          <w:rFonts w:ascii="Tahoma" w:hAnsi="Tahoma" w:cs="Tahoma"/>
          <w:b/>
          <w:bCs/>
          <w:color w:val="000000" w:themeColor="text1"/>
          <w:kern w:val="36"/>
          <w:sz w:val="20"/>
          <w:szCs w:val="20"/>
          <w:lang w:eastAsia="cs-CZ"/>
        </w:rPr>
      </w:pPr>
      <w:r>
        <w:rPr>
          <w:rStyle w:val="Hypertextovodkaz"/>
          <w:rFonts w:ascii="Tahoma" w:hAnsi="Tahoma" w:cs="Tahoma"/>
          <w:b/>
          <w:bCs/>
          <w:color w:val="000000" w:themeColor="text1"/>
          <w:kern w:val="36"/>
          <w:sz w:val="20"/>
          <w:szCs w:val="20"/>
          <w:lang w:eastAsia="cs-CZ"/>
        </w:rPr>
        <w:t xml:space="preserve">Výslovné zakotvení zákazu uzavřít smlouvu </w:t>
      </w:r>
      <w:r w:rsidRPr="000959B4">
        <w:rPr>
          <w:rStyle w:val="Hypertextovodkaz"/>
          <w:rFonts w:ascii="Tahoma" w:hAnsi="Tahoma" w:cs="Tahoma"/>
          <w:b/>
          <w:bCs/>
          <w:color w:val="000000" w:themeColor="text1"/>
          <w:kern w:val="36"/>
          <w:sz w:val="20"/>
          <w:szCs w:val="20"/>
          <w:lang w:eastAsia="cs-CZ"/>
        </w:rPr>
        <w:t>v</w:t>
      </w:r>
      <w:r>
        <w:rPr>
          <w:rStyle w:val="Hypertextovodkaz"/>
          <w:rFonts w:ascii="Tahoma" w:hAnsi="Tahoma" w:cs="Tahoma"/>
          <w:b/>
          <w:bCs/>
          <w:color w:val="000000" w:themeColor="text1"/>
          <w:kern w:val="36"/>
          <w:sz w:val="20"/>
          <w:szCs w:val="20"/>
          <w:lang w:eastAsia="cs-CZ"/>
        </w:rPr>
        <w:t xml:space="preserve"> rámci</w:t>
      </w:r>
      <w:r w:rsidRPr="000959B4">
        <w:rPr>
          <w:rStyle w:val="Hypertextovodkaz"/>
          <w:rFonts w:ascii="Tahoma" w:hAnsi="Tahoma" w:cs="Tahoma"/>
          <w:b/>
          <w:bCs/>
          <w:color w:val="000000" w:themeColor="text1"/>
          <w:kern w:val="36"/>
          <w:sz w:val="20"/>
          <w:szCs w:val="20"/>
          <w:lang w:eastAsia="cs-CZ"/>
        </w:rPr>
        <w:t xml:space="preserve"> zadávání veřejných zakázek</w:t>
      </w:r>
    </w:p>
    <w:p w:rsidR="000959B4" w:rsidRPr="000959B4" w:rsidRDefault="000959B4" w:rsidP="000959B4">
      <w:pPr>
        <w:pStyle w:val="Bezmezer"/>
        <w:numPr>
          <w:ilvl w:val="0"/>
          <w:numId w:val="36"/>
        </w:numPr>
        <w:jc w:val="both"/>
        <w:rPr>
          <w:rStyle w:val="Hypertextovodkaz"/>
          <w:rFonts w:ascii="Tahoma" w:hAnsi="Tahoma" w:cs="Tahoma"/>
          <w:bCs/>
          <w:color w:val="000000" w:themeColor="text1"/>
          <w:kern w:val="36"/>
          <w:sz w:val="20"/>
          <w:szCs w:val="20"/>
          <w:u w:val="none"/>
          <w:lang w:eastAsia="cs-CZ"/>
        </w:rPr>
      </w:pPr>
      <w:r w:rsidRPr="000959B4">
        <w:rPr>
          <w:rStyle w:val="Hypertextovodkaz"/>
          <w:rFonts w:ascii="Tahoma" w:hAnsi="Tahoma" w:cs="Tahoma"/>
          <w:bCs/>
          <w:color w:val="000000" w:themeColor="text1"/>
          <w:kern w:val="36"/>
          <w:sz w:val="20"/>
          <w:szCs w:val="20"/>
          <w:u w:val="none"/>
          <w:lang w:eastAsia="cs-CZ"/>
        </w:rPr>
        <w:t>V § 4b je zakázáno uzavřít smlouvu na VZ malého rozsahu s osobou, které je účast na VZ zakázaná. U ostatních VZ je zde pouze povinnost vyloučit uchazeče.</w:t>
      </w:r>
    </w:p>
    <w:p w:rsidR="000959B4" w:rsidRPr="000959B4" w:rsidRDefault="000959B4" w:rsidP="000959B4">
      <w:pPr>
        <w:pStyle w:val="Bezmezer"/>
        <w:numPr>
          <w:ilvl w:val="0"/>
          <w:numId w:val="36"/>
        </w:numPr>
        <w:jc w:val="both"/>
        <w:rPr>
          <w:rStyle w:val="Hypertextovodkaz"/>
          <w:rFonts w:ascii="Tahoma" w:hAnsi="Tahoma" w:cs="Tahoma"/>
          <w:bCs/>
          <w:color w:val="000000" w:themeColor="text1"/>
          <w:kern w:val="36"/>
          <w:sz w:val="20"/>
          <w:szCs w:val="20"/>
          <w:u w:val="none"/>
          <w:lang w:eastAsia="cs-CZ"/>
        </w:rPr>
      </w:pPr>
      <w:r>
        <w:rPr>
          <w:rStyle w:val="Hypertextovodkaz"/>
          <w:rFonts w:ascii="Tahoma" w:hAnsi="Tahoma" w:cs="Tahoma"/>
          <w:bCs/>
          <w:color w:val="000000" w:themeColor="text1"/>
          <w:kern w:val="36"/>
          <w:sz w:val="20"/>
          <w:szCs w:val="20"/>
          <w:u w:val="none"/>
          <w:lang w:eastAsia="cs-CZ"/>
        </w:rPr>
        <w:t>Navrhuje se</w:t>
      </w:r>
      <w:r w:rsidRPr="000959B4">
        <w:rPr>
          <w:rStyle w:val="Hypertextovodkaz"/>
          <w:rFonts w:ascii="Tahoma" w:hAnsi="Tahoma" w:cs="Tahoma"/>
          <w:bCs/>
          <w:color w:val="000000" w:themeColor="text1"/>
          <w:kern w:val="36"/>
          <w:sz w:val="20"/>
          <w:szCs w:val="20"/>
          <w:u w:val="none"/>
          <w:lang w:eastAsia="cs-CZ"/>
        </w:rPr>
        <w:t>, aby stejný postup platil pro všechny - zákaz uzavřít smlouvu na jakoukoliv veřejnou zakázku.</w:t>
      </w:r>
    </w:p>
    <w:p w:rsidR="000959B4" w:rsidRPr="000959B4" w:rsidRDefault="000959B4" w:rsidP="000959B4">
      <w:pPr>
        <w:pStyle w:val="Bezmezer"/>
        <w:ind w:left="1068"/>
        <w:jc w:val="both"/>
        <w:rPr>
          <w:rStyle w:val="Hypertextovodkaz"/>
          <w:rFonts w:ascii="Tahoma" w:eastAsia="Times New Roman" w:hAnsi="Tahoma" w:cs="Tahoma"/>
          <w:bCs/>
          <w:color w:val="000000" w:themeColor="text1"/>
          <w:kern w:val="36"/>
          <w:sz w:val="20"/>
          <w:szCs w:val="20"/>
          <w:u w:val="none"/>
          <w:lang w:eastAsia="cs-CZ"/>
        </w:rPr>
      </w:pPr>
    </w:p>
    <w:p w:rsidR="00185FC5" w:rsidRDefault="00185FC5"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959B4" w:rsidRDefault="000959B4" w:rsidP="000959B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OPS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0959B4" w:rsidRDefault="000959B4" w:rsidP="000959B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959B4" w:rsidRDefault="000959B4" w:rsidP="000959B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959B4" w:rsidRPr="003F7FFC" w:rsidRDefault="000959B4" w:rsidP="000959B4">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OPS – Mgr. Pavel Císař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
          <w:bCs/>
          <w:i/>
          <w:color w:val="000000" w:themeColor="text1"/>
          <w:kern w:val="36"/>
          <w:sz w:val="20"/>
          <w:szCs w:val="20"/>
          <w:u w:val="none"/>
          <w:lang w:eastAsia="cs-CZ"/>
        </w:rPr>
        <w:t>30. 6. 2021</w:t>
      </w:r>
    </w:p>
    <w:p w:rsidR="00976DB0" w:rsidRDefault="00976DB0"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2962A6" w:rsidRPr="009C449E" w:rsidRDefault="00815BEF" w:rsidP="002962A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15BEF">
        <w:rPr>
          <w:rStyle w:val="Hypertextovodkaz"/>
          <w:rFonts w:ascii="Tahoma" w:eastAsia="Times New Roman" w:hAnsi="Tahoma" w:cs="Tahoma"/>
          <w:b/>
          <w:bCs/>
          <w:color w:val="000000" w:themeColor="text1"/>
          <w:kern w:val="36"/>
          <w:sz w:val="24"/>
          <w:szCs w:val="24"/>
          <w:u w:val="none"/>
          <w:lang w:eastAsia="cs-CZ"/>
        </w:rPr>
        <w:t>Směrnice Evropského parlamentu a Rady, kterou se posiluje uplatňování zásady stejné odměny mužů a žen za stejnou nebo rovnocennou práci prostřednictvím transparentnosti odměňování a mechanismů prosazování</w:t>
      </w:r>
      <w:r w:rsidR="005862C0">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537993" w:rsidRDefault="00815BEF" w:rsidP="002962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Diskutováno na úrovni EU x členské státy</w:t>
      </w:r>
    </w:p>
    <w:p w:rsidR="002962A6" w:rsidRDefault="002962A6" w:rsidP="002962A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962A6" w:rsidRDefault="00815BEF" w:rsidP="002962A6">
      <w:pPr>
        <w:pStyle w:val="Bezmezer"/>
        <w:spacing w:line="276" w:lineRule="auto"/>
        <w:jc w:val="both"/>
        <w:rPr>
          <w:rStyle w:val="Hypertextovodkaz"/>
          <w:rFonts w:ascii="Tahoma" w:eastAsia="Times New Roman" w:hAnsi="Tahoma" w:cs="Tahoma"/>
          <w:b/>
          <w:bCs/>
          <w:color w:val="000000" w:themeColor="text1"/>
          <w:kern w:val="36"/>
          <w:sz w:val="20"/>
          <w:szCs w:val="20"/>
          <w:lang w:eastAsia="cs-CZ"/>
        </w:rPr>
      </w:pPr>
      <w:r w:rsidRPr="00815BEF">
        <w:rPr>
          <w:rStyle w:val="Hypertextovodkaz"/>
          <w:rFonts w:ascii="Tahoma" w:eastAsia="Times New Roman" w:hAnsi="Tahoma" w:cs="Tahoma"/>
          <w:bCs/>
          <w:color w:val="000000" w:themeColor="text1"/>
          <w:kern w:val="36"/>
          <w:sz w:val="20"/>
          <w:szCs w:val="20"/>
          <w:u w:val="none"/>
          <w:lang w:eastAsia="cs-CZ"/>
        </w:rPr>
        <w:t xml:space="preserve">Podoba Směrnice je stále předmětem diskuze, v aktuálním znění navrhuje zavedení nástrojů transparentního odměňování, jako je například informace o výši mzdy před výběrovým řízením, možnost informace o průměrné mzdě na obdobné pozici na individuální dotaz, </w:t>
      </w:r>
      <w:r w:rsidRPr="00273D7D">
        <w:rPr>
          <w:rStyle w:val="Hypertextovodkaz"/>
          <w:rFonts w:ascii="Tahoma" w:eastAsia="Times New Roman" w:hAnsi="Tahoma" w:cs="Tahoma"/>
          <w:b/>
          <w:bCs/>
          <w:color w:val="000000" w:themeColor="text1"/>
          <w:kern w:val="36"/>
          <w:sz w:val="20"/>
          <w:szCs w:val="20"/>
          <w:lang w:eastAsia="cs-CZ"/>
        </w:rPr>
        <w:t>nebo povinnost zaměstnavatelů nad 250 zaměstnaných pravidelně zveřejňovat informace o průměrné mzdě a rozdílu v odměňování žen a mužů.</w:t>
      </w:r>
    </w:p>
    <w:p w:rsidR="00273D7D" w:rsidRDefault="00273D7D" w:rsidP="002962A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962A6" w:rsidRDefault="002962A6" w:rsidP="002962A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864678">
        <w:rPr>
          <w:rStyle w:val="Hypertextovodkaz"/>
          <w:rFonts w:ascii="Tahoma" w:eastAsia="Times New Roman" w:hAnsi="Tahoma" w:cs="Tahoma"/>
          <w:bCs/>
          <w:i/>
          <w:color w:val="000000" w:themeColor="text1"/>
          <w:kern w:val="36"/>
          <w:sz w:val="20"/>
          <w:szCs w:val="20"/>
          <w:u w:val="none"/>
          <w:lang w:eastAsia="cs-CZ"/>
        </w:rPr>
        <w:t xml:space="preserve">OPS </w:t>
      </w:r>
      <w:r w:rsidR="00273D7D">
        <w:rPr>
          <w:rStyle w:val="Hypertextovodkaz"/>
          <w:rFonts w:ascii="Tahoma" w:eastAsia="Times New Roman" w:hAnsi="Tahoma" w:cs="Tahoma"/>
          <w:bCs/>
          <w:i/>
          <w:color w:val="000000" w:themeColor="text1"/>
          <w:kern w:val="36"/>
          <w:sz w:val="20"/>
          <w:szCs w:val="20"/>
          <w:u w:val="none"/>
          <w:lang w:eastAsia="cs-CZ"/>
        </w:rPr>
        <w:t xml:space="preserve">bude monitorovat vývoj evropské legislativy a poté zpracuje přehled konkrétních dopadů do procesů společnosti. </w:t>
      </w:r>
    </w:p>
    <w:p w:rsidR="002962A6" w:rsidRDefault="002962A6" w:rsidP="002962A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2962A6" w:rsidRDefault="002962A6" w:rsidP="002962A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2962A6" w:rsidRPr="003F7FFC" w:rsidRDefault="002962A6" w:rsidP="002962A6">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864678">
        <w:rPr>
          <w:rStyle w:val="Hypertextovodkaz"/>
          <w:rFonts w:ascii="Tahoma" w:eastAsia="Times New Roman" w:hAnsi="Tahoma" w:cs="Tahoma"/>
          <w:bCs/>
          <w:i/>
          <w:color w:val="000000" w:themeColor="text1"/>
          <w:kern w:val="36"/>
          <w:sz w:val="20"/>
          <w:szCs w:val="20"/>
          <w:u w:val="none"/>
          <w:lang w:eastAsia="cs-CZ"/>
        </w:rPr>
        <w:t>OPS – Mgr. Pavel Císař</w:t>
      </w:r>
      <w:r>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sidR="00273D7D">
        <w:rPr>
          <w:rStyle w:val="Hypertextovodkaz"/>
          <w:rFonts w:ascii="Tahoma" w:eastAsia="Times New Roman" w:hAnsi="Tahoma" w:cs="Tahoma"/>
          <w:b/>
          <w:bCs/>
          <w:i/>
          <w:color w:val="000000" w:themeColor="text1"/>
          <w:kern w:val="36"/>
          <w:sz w:val="20"/>
          <w:szCs w:val="20"/>
          <w:u w:val="none"/>
          <w:lang w:eastAsia="cs-CZ"/>
        </w:rPr>
        <w:t>31. 12. 2021</w:t>
      </w:r>
    </w:p>
    <w:p w:rsidR="002962A6"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p>
    <w:p w:rsidR="005166A7" w:rsidRDefault="005166A7" w:rsidP="00F234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6309EC" w:rsidRDefault="006309EC" w:rsidP="00F234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6309EC" w:rsidRDefault="006309EC" w:rsidP="00F234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8C6A49" w:rsidRDefault="004B7992" w:rsidP="00F234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lastRenderedPageBreak/>
        <w:t>Směrnice Evro</w:t>
      </w:r>
      <w:r w:rsidR="00D46F9A" w:rsidRPr="00D46F9A">
        <w:rPr>
          <w:rStyle w:val="Hypertextovodkaz"/>
          <w:rFonts w:ascii="Tahoma" w:eastAsia="Times New Roman" w:hAnsi="Tahoma" w:cs="Tahoma"/>
          <w:b/>
          <w:bCs/>
          <w:color w:val="000000" w:themeColor="text1"/>
          <w:kern w:val="36"/>
          <w:sz w:val="24"/>
          <w:szCs w:val="24"/>
          <w:u w:val="none"/>
          <w:lang w:eastAsia="cs-CZ"/>
        </w:rPr>
        <w:t>pského parlamentu a Rady o rovnováze mezi pracovním a soukromým životem rodičů a pečujících osob a o zrušení směrnice Rady 2010/18/EU</w:t>
      </w:r>
      <w:r w:rsidR="005862C0">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F23499" w:rsidRPr="00F23499" w:rsidRDefault="00D46F9A" w:rsidP="00F2349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Zařazeno do implementačních prací MPSV pro rok 2021</w:t>
      </w:r>
    </w:p>
    <w:p w:rsidR="00F23499" w:rsidRPr="00F23499" w:rsidRDefault="00F23499" w:rsidP="00F2349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864678" w:rsidRDefault="00864678" w:rsidP="00864678">
      <w:pPr>
        <w:pStyle w:val="Bezmezer"/>
        <w:jc w:val="both"/>
        <w:rPr>
          <w:rStyle w:val="Hypertextovodkaz"/>
          <w:rFonts w:ascii="Tahoma" w:eastAsia="Times New Roman" w:hAnsi="Tahoma" w:cs="Tahoma"/>
          <w:bCs/>
          <w:color w:val="000000" w:themeColor="text1"/>
          <w:kern w:val="36"/>
          <w:sz w:val="20"/>
          <w:szCs w:val="20"/>
          <w:u w:val="none"/>
          <w:lang w:eastAsia="cs-CZ"/>
        </w:rPr>
      </w:pPr>
      <w:r w:rsidRPr="00864678">
        <w:rPr>
          <w:rStyle w:val="Hypertextovodkaz"/>
          <w:rFonts w:ascii="Tahoma" w:eastAsia="Times New Roman" w:hAnsi="Tahoma" w:cs="Tahoma"/>
          <w:bCs/>
          <w:color w:val="000000" w:themeColor="text1"/>
          <w:kern w:val="36"/>
          <w:sz w:val="20"/>
          <w:szCs w:val="20"/>
          <w:u w:val="none"/>
          <w:lang w:eastAsia="cs-CZ"/>
        </w:rPr>
        <w:t xml:space="preserve">Evropská komise </w:t>
      </w:r>
      <w:r w:rsidR="004B7992">
        <w:rPr>
          <w:rStyle w:val="Hypertextovodkaz"/>
          <w:rFonts w:ascii="Tahoma" w:eastAsia="Times New Roman" w:hAnsi="Tahoma" w:cs="Tahoma"/>
          <w:bCs/>
          <w:color w:val="000000" w:themeColor="text1"/>
          <w:kern w:val="36"/>
          <w:sz w:val="20"/>
          <w:szCs w:val="20"/>
          <w:u w:val="none"/>
          <w:lang w:eastAsia="cs-CZ"/>
        </w:rPr>
        <w:t>si klade uvedenou směrnicí modernizovat stávající právní rámec EU pro rodičovskou dovolenou a flexibilní uspořádání práce.</w:t>
      </w:r>
    </w:p>
    <w:p w:rsidR="004B7992" w:rsidRDefault="004B7992" w:rsidP="00864678">
      <w:pPr>
        <w:pStyle w:val="Bezmezer"/>
        <w:jc w:val="both"/>
        <w:rPr>
          <w:rStyle w:val="Hypertextovodkaz"/>
          <w:rFonts w:ascii="Tahoma" w:eastAsia="Times New Roman" w:hAnsi="Tahoma" w:cs="Tahoma"/>
          <w:bCs/>
          <w:color w:val="000000" w:themeColor="text1"/>
          <w:kern w:val="36"/>
          <w:sz w:val="20"/>
          <w:szCs w:val="20"/>
          <w:u w:val="none"/>
          <w:lang w:eastAsia="cs-CZ"/>
        </w:rPr>
      </w:pPr>
    </w:p>
    <w:p w:rsidR="004B7992" w:rsidRDefault="004B7992" w:rsidP="00864678">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Členské státy tak mají do 2. 8. 2022 povinnost zavést především:</w:t>
      </w:r>
    </w:p>
    <w:p w:rsidR="004B7992" w:rsidRDefault="004B7992" w:rsidP="004B7992">
      <w:pPr>
        <w:pStyle w:val="Bezmezer"/>
        <w:numPr>
          <w:ilvl w:val="0"/>
          <w:numId w:val="38"/>
        </w:numP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10 pracovních dní otcovské dovolené (nyní v ČR 7 dní)</w:t>
      </w:r>
    </w:p>
    <w:p w:rsidR="004B7992" w:rsidRDefault="004B7992" w:rsidP="004B7992">
      <w:pPr>
        <w:pStyle w:val="Bezmezer"/>
        <w:numPr>
          <w:ilvl w:val="0"/>
          <w:numId w:val="38"/>
        </w:numP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Zákaz převádět 2 měsíce rodičovské dovolené mezi rodiči (nyní v ČR možnost rodičů se libovolně střídat, 2 měsíce budou nově zcela nepřevoditelné a vždy budou náležet druhému rodiči)</w:t>
      </w:r>
    </w:p>
    <w:p w:rsidR="004B7992" w:rsidRDefault="004B7992" w:rsidP="004B7992">
      <w:pPr>
        <w:pStyle w:val="Bezmezer"/>
        <w:numPr>
          <w:ilvl w:val="0"/>
          <w:numId w:val="38"/>
        </w:numP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Možnost požádat zaměstnavatele o čerpání rodičovské dovolené po částech a jiné flexibilní způsoby čerpaní rodičovské dovolené (např. 0,5 úvazku rodičovská dovolená, 0,5 úvazku pracovní poměr)</w:t>
      </w:r>
    </w:p>
    <w:p w:rsidR="004B7992" w:rsidRDefault="004B7992" w:rsidP="004B7992">
      <w:pPr>
        <w:pStyle w:val="Bezmezer"/>
        <w:numPr>
          <w:ilvl w:val="0"/>
          <w:numId w:val="38"/>
        </w:numP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Právo zaměstnanců s dětmi ve věku do 8 let požadovat flexibilní rozvržení pracovní doby a vykonávat práci na dálku z domova (za předpokladu, že to provozní potřeby zaměstnavatele umožňují)</w:t>
      </w:r>
    </w:p>
    <w:p w:rsidR="006F01A3" w:rsidRPr="00864678" w:rsidRDefault="006F01A3" w:rsidP="004B7992">
      <w:pPr>
        <w:pStyle w:val="Bezmezer"/>
        <w:numPr>
          <w:ilvl w:val="0"/>
          <w:numId w:val="38"/>
        </w:numP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Tzv. právo zaměstnance být mimo pracovní dobu nedosažitelný (diskutuje se například povinnost zaměstnavatele technicky zajistit, aby nebylo možné mimo pracovní dobu provádět telefonní hovory a přijímat emaily)</w:t>
      </w:r>
    </w:p>
    <w:p w:rsidR="00864678" w:rsidRPr="00864678" w:rsidRDefault="00864678" w:rsidP="00864678">
      <w:pPr>
        <w:pStyle w:val="Bezmezer"/>
        <w:jc w:val="both"/>
        <w:rPr>
          <w:rStyle w:val="Hypertextovodkaz"/>
          <w:rFonts w:ascii="Tahoma" w:eastAsia="Times New Roman" w:hAnsi="Tahoma" w:cs="Tahoma"/>
          <w:bCs/>
          <w:color w:val="000000" w:themeColor="text1"/>
          <w:kern w:val="36"/>
          <w:sz w:val="20"/>
          <w:szCs w:val="20"/>
          <w:u w:val="none"/>
          <w:lang w:eastAsia="cs-CZ"/>
        </w:rPr>
      </w:pPr>
    </w:p>
    <w:p w:rsidR="00864678" w:rsidRDefault="00864678" w:rsidP="00864678">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B7992" w:rsidRDefault="004B7992" w:rsidP="004B7992">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OPS bude monitorovat vývoj evropské legislativy a poté zpracuje přehled konkrétních dopadů do procesů společnosti. </w:t>
      </w:r>
    </w:p>
    <w:p w:rsidR="004B7992" w:rsidRDefault="004B7992" w:rsidP="004B7992">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4B7992" w:rsidRDefault="004B7992" w:rsidP="004B7992">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4B7992" w:rsidRPr="003F7FFC" w:rsidRDefault="004B7992" w:rsidP="004B7992">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OPS – Mgr. Pavel Císař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proofErr w:type="gramStart"/>
      <w:r>
        <w:rPr>
          <w:rStyle w:val="Hypertextovodkaz"/>
          <w:rFonts w:ascii="Tahoma" w:eastAsia="Times New Roman" w:hAnsi="Tahoma" w:cs="Tahoma"/>
          <w:b/>
          <w:bCs/>
          <w:i/>
          <w:color w:val="000000" w:themeColor="text1"/>
          <w:kern w:val="36"/>
          <w:sz w:val="20"/>
          <w:szCs w:val="20"/>
          <w:u w:val="none"/>
          <w:lang w:eastAsia="cs-CZ"/>
        </w:rPr>
        <w:t>30.9.2021</w:t>
      </w:r>
      <w:proofErr w:type="gramEnd"/>
    </w:p>
    <w:p w:rsidR="00F23499" w:rsidRDefault="00F23499"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C35CC0" w:rsidRDefault="00C35CC0" w:rsidP="00C35CC0">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C35CC0">
        <w:rPr>
          <w:rStyle w:val="Hypertextovodkaz"/>
          <w:rFonts w:ascii="Tahoma" w:eastAsia="Times New Roman" w:hAnsi="Tahoma" w:cs="Tahoma"/>
          <w:b/>
          <w:bCs/>
          <w:color w:val="000000" w:themeColor="text1"/>
          <w:kern w:val="36"/>
          <w:sz w:val="24"/>
          <w:szCs w:val="24"/>
          <w:u w:val="none"/>
          <w:lang w:eastAsia="cs-CZ"/>
        </w:rPr>
        <w:t>Návrh vyhlášky, kterou se mění vyhláška č. 226/2015 Sb., o zásadách pro vymezení zóny havarijního plánování a postupu při jejím vymezení a o náležitostech obsahu vnějšího havarijního plánu a jeho struktuře</w:t>
      </w:r>
      <w:r w:rsidR="005862C0">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C35CC0" w:rsidRPr="00185FC5" w:rsidRDefault="00C35CC0" w:rsidP="00C35CC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tab/>
      </w:r>
      <w:r w:rsidRPr="00185FC5">
        <w:rPr>
          <w:rStyle w:val="Hypertextovodkaz"/>
          <w:rFonts w:ascii="Tahoma" w:eastAsia="Times New Roman" w:hAnsi="Tahoma" w:cs="Tahoma"/>
          <w:b/>
          <w:bCs/>
          <w:color w:val="000000" w:themeColor="text1"/>
          <w:kern w:val="36"/>
          <w:sz w:val="20"/>
          <w:szCs w:val="20"/>
          <w:u w:val="none"/>
          <w:lang w:eastAsia="cs-CZ"/>
        </w:rPr>
        <w:tab/>
      </w:r>
      <w:r>
        <w:rPr>
          <w:rStyle w:val="Hypertextovodkaz"/>
          <w:rFonts w:ascii="Tahoma" w:eastAsia="Times New Roman" w:hAnsi="Tahoma" w:cs="Tahoma"/>
          <w:bCs/>
          <w:color w:val="000000" w:themeColor="text1"/>
          <w:kern w:val="36"/>
          <w:sz w:val="20"/>
          <w:szCs w:val="20"/>
          <w:u w:val="none"/>
          <w:lang w:eastAsia="cs-CZ"/>
        </w:rPr>
        <w:t xml:space="preserve">EKLEP </w:t>
      </w:r>
      <w:r w:rsidRPr="00C35CC0">
        <w:rPr>
          <w:rStyle w:val="Hypertextovodkaz"/>
          <w:rFonts w:ascii="Tahoma" w:eastAsia="Times New Roman" w:hAnsi="Tahoma" w:cs="Tahoma"/>
          <w:bCs/>
          <w:color w:val="000000" w:themeColor="text1"/>
          <w:kern w:val="36"/>
          <w:sz w:val="20"/>
          <w:szCs w:val="20"/>
          <w:u w:val="none"/>
          <w:lang w:eastAsia="cs-CZ"/>
        </w:rPr>
        <w:t>KORNC37HEQ44</w:t>
      </w:r>
    </w:p>
    <w:p w:rsidR="00C35CC0" w:rsidRDefault="00C35CC0" w:rsidP="00C35CC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Mezirezortní připomínkové řízení</w:t>
      </w:r>
    </w:p>
    <w:p w:rsidR="00C35CC0" w:rsidRPr="00185FC5" w:rsidRDefault="00C35CC0" w:rsidP="00C35CC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6F01A3" w:rsidRPr="006F01A3" w:rsidRDefault="006F01A3" w:rsidP="006F01A3">
      <w:pPr>
        <w:pStyle w:val="Bezmezer"/>
        <w:jc w:val="both"/>
        <w:rPr>
          <w:rStyle w:val="Hypertextovodkaz"/>
          <w:rFonts w:ascii="Tahoma" w:eastAsia="Times New Roman" w:hAnsi="Tahoma" w:cs="Tahoma"/>
          <w:bCs/>
          <w:color w:val="000000" w:themeColor="text1"/>
          <w:kern w:val="36"/>
          <w:sz w:val="20"/>
          <w:szCs w:val="20"/>
          <w:u w:val="none"/>
          <w:lang w:eastAsia="cs-CZ"/>
        </w:rPr>
      </w:pPr>
      <w:r w:rsidRPr="006F01A3">
        <w:rPr>
          <w:rStyle w:val="Hypertextovodkaz"/>
          <w:rFonts w:ascii="Tahoma" w:eastAsia="Times New Roman" w:hAnsi="Tahoma" w:cs="Tahoma"/>
          <w:bCs/>
          <w:color w:val="000000" w:themeColor="text1"/>
          <w:kern w:val="36"/>
          <w:sz w:val="20"/>
          <w:szCs w:val="20"/>
          <w:u w:val="none"/>
          <w:lang w:eastAsia="cs-CZ"/>
        </w:rPr>
        <w:t>Návrh předmětné vyhlášky se předkládá mimo Plán přípravy vyhlášek na rok 2021 na základě aktuální potřeby změny právní úpravy obsažené ve vyhlášce č. 226/2015 Sb., o zásadách pro vymezení zóny havarijního plánování a postupu při jejím vymezení a o náležitostech obsahu vnějšího havarijního plánu a jeho struktuře.</w:t>
      </w:r>
    </w:p>
    <w:p w:rsidR="006F01A3" w:rsidRDefault="006F01A3" w:rsidP="006F01A3">
      <w:pPr>
        <w:pStyle w:val="Bezmezer"/>
        <w:jc w:val="both"/>
        <w:rPr>
          <w:rStyle w:val="Hypertextovodkaz"/>
          <w:rFonts w:ascii="Tahoma" w:eastAsia="Times New Roman" w:hAnsi="Tahoma" w:cs="Tahoma"/>
          <w:bCs/>
          <w:color w:val="000000" w:themeColor="text1"/>
          <w:kern w:val="36"/>
          <w:sz w:val="20"/>
          <w:szCs w:val="20"/>
          <w:u w:val="none"/>
          <w:lang w:eastAsia="cs-CZ"/>
        </w:rPr>
      </w:pPr>
    </w:p>
    <w:p w:rsidR="00C35CC0" w:rsidRPr="000959B4" w:rsidRDefault="006F01A3" w:rsidP="006F01A3">
      <w:pPr>
        <w:pStyle w:val="Bezmezer"/>
        <w:jc w:val="both"/>
        <w:rPr>
          <w:rStyle w:val="Hypertextovodkaz"/>
          <w:rFonts w:ascii="Tahoma" w:eastAsia="Times New Roman" w:hAnsi="Tahoma" w:cs="Tahoma"/>
          <w:bCs/>
          <w:color w:val="000000" w:themeColor="text1"/>
          <w:kern w:val="36"/>
          <w:sz w:val="20"/>
          <w:szCs w:val="20"/>
          <w:u w:val="none"/>
          <w:lang w:eastAsia="cs-CZ"/>
        </w:rPr>
      </w:pPr>
      <w:r w:rsidRPr="006F01A3">
        <w:rPr>
          <w:rStyle w:val="Hypertextovodkaz"/>
          <w:rFonts w:ascii="Tahoma" w:eastAsia="Times New Roman" w:hAnsi="Tahoma" w:cs="Tahoma"/>
          <w:bCs/>
          <w:color w:val="000000" w:themeColor="text1"/>
          <w:kern w:val="36"/>
          <w:sz w:val="20"/>
          <w:szCs w:val="20"/>
          <w:u w:val="none"/>
          <w:lang w:eastAsia="cs-CZ"/>
        </w:rPr>
        <w:t>Základním cílem novelizace je vytvořit právní předpoklad pro reálnější stanovování množství nebezpečné látky (toxické kapaliny, látky podporující požár nebo ropné látky), které může při závažné havárii ohrozit obyvatelstvo, a to při zachování požadavků na zajištění bezpečnosti v zóně havarijního plánování.</w:t>
      </w:r>
    </w:p>
    <w:p w:rsidR="00C35CC0" w:rsidRDefault="00C35CC0" w:rsidP="00C35CC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C35CC0" w:rsidRDefault="00C35CC0" w:rsidP="00C35CC0">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6F01A3">
        <w:rPr>
          <w:rStyle w:val="Hypertextovodkaz"/>
          <w:rFonts w:ascii="Tahoma" w:eastAsia="Times New Roman" w:hAnsi="Tahoma" w:cs="Tahoma"/>
          <w:bCs/>
          <w:i/>
          <w:color w:val="000000" w:themeColor="text1"/>
          <w:kern w:val="36"/>
          <w:sz w:val="20"/>
          <w:szCs w:val="20"/>
          <w:u w:val="none"/>
          <w:lang w:eastAsia="cs-CZ"/>
        </w:rPr>
        <w:t xml:space="preserve">HSE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C35CC0" w:rsidRDefault="00C35CC0" w:rsidP="00C35CC0">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C35CC0" w:rsidRDefault="00C35CC0" w:rsidP="00C35CC0">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C35CC0" w:rsidRPr="003F7FFC" w:rsidRDefault="00C35CC0" w:rsidP="00C35CC0">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6F01A3">
        <w:rPr>
          <w:rStyle w:val="Hypertextovodkaz"/>
          <w:rFonts w:ascii="Tahoma" w:eastAsia="Times New Roman" w:hAnsi="Tahoma" w:cs="Tahoma"/>
          <w:bCs/>
          <w:i/>
          <w:color w:val="000000" w:themeColor="text1"/>
          <w:kern w:val="36"/>
          <w:sz w:val="20"/>
          <w:szCs w:val="20"/>
          <w:u w:val="none"/>
          <w:lang w:eastAsia="cs-CZ"/>
        </w:rPr>
        <w:t>HSE – Ing. Zdeněk Stejskal</w:t>
      </w:r>
      <w:r>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
          <w:bCs/>
          <w:i/>
          <w:color w:val="000000" w:themeColor="text1"/>
          <w:kern w:val="36"/>
          <w:sz w:val="20"/>
          <w:szCs w:val="20"/>
          <w:u w:val="none"/>
          <w:lang w:eastAsia="cs-CZ"/>
        </w:rPr>
        <w:t>30. 6. 2021</w:t>
      </w:r>
    </w:p>
    <w:p w:rsidR="00C35CC0" w:rsidRDefault="00C35CC0"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C35CC0" w:rsidRDefault="00C35CC0" w:rsidP="00C35CC0">
      <w:pPr>
        <w:pStyle w:val="Bezmezer"/>
        <w:numPr>
          <w:ilvl w:val="0"/>
          <w:numId w:val="39"/>
        </w:numPr>
        <w:shd w:val="clear" w:color="auto" w:fill="CCFFCC"/>
        <w:spacing w:line="360" w:lineRule="auto"/>
        <w:jc w:val="center"/>
        <w:rPr>
          <w:rFonts w:ascii="Tahoma" w:hAnsi="Tahoma" w:cs="Tahoma"/>
          <w:b/>
          <w:sz w:val="28"/>
          <w:szCs w:val="20"/>
        </w:rPr>
      </w:pPr>
      <w:r>
        <w:rPr>
          <w:rFonts w:ascii="Tahoma" w:hAnsi="Tahoma" w:cs="Tahoma"/>
          <w:b/>
          <w:sz w:val="28"/>
          <w:szCs w:val="20"/>
        </w:rPr>
        <w:t>Stanoviska a judikatura</w:t>
      </w:r>
    </w:p>
    <w:p w:rsidR="00C35CC0" w:rsidRDefault="00C35CC0"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Default="003D0450"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Default="00751F5F" w:rsidP="003D0450">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Výpověď</w:t>
      </w:r>
      <w:r w:rsidRPr="00751F5F">
        <w:rPr>
          <w:rStyle w:val="Hypertextovodkaz"/>
          <w:rFonts w:ascii="Tahoma" w:eastAsia="Times New Roman" w:hAnsi="Tahoma" w:cs="Tahoma"/>
          <w:b/>
          <w:bCs/>
          <w:color w:val="000000" w:themeColor="text1"/>
          <w:kern w:val="36"/>
          <w:sz w:val="24"/>
          <w:szCs w:val="24"/>
          <w:u w:val="none"/>
          <w:lang w:eastAsia="cs-CZ"/>
        </w:rPr>
        <w:t xml:space="preserve"> z pracovního poměru u odborového funkcionáře</w:t>
      </w:r>
      <w:r w:rsidR="005862C0">
        <w:rPr>
          <w:rStyle w:val="Hypertextovodkaz"/>
          <w:rFonts w:ascii="Tahoma" w:eastAsia="Times New Roman" w:hAnsi="Tahoma" w:cs="Tahoma"/>
          <w:b/>
          <w:bCs/>
          <w:color w:val="000000" w:themeColor="text1"/>
          <w:kern w:val="36"/>
          <w:sz w:val="24"/>
          <w:szCs w:val="24"/>
          <w:u w:val="none"/>
          <w:lang w:eastAsia="cs-CZ"/>
        </w:rPr>
        <w:pict>
          <v:rect id="_x0000_i1032" style="width:0;height:1.5pt" o:hralign="center" o:hrstd="t" o:hr="t" fillcolor="#a0a0a0" stroked="f"/>
        </w:pict>
      </w:r>
    </w:p>
    <w:p w:rsidR="003D0450" w:rsidRPr="00543755" w:rsidRDefault="00751F5F" w:rsidP="003D045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sidRPr="00543755">
        <w:rPr>
          <w:rStyle w:val="Hypertextovodkaz"/>
          <w:rFonts w:ascii="Tahoma" w:eastAsia="Times New Roman" w:hAnsi="Tahoma" w:cs="Tahoma"/>
          <w:bCs/>
          <w:color w:val="000000" w:themeColor="text1"/>
          <w:kern w:val="36"/>
          <w:sz w:val="20"/>
          <w:szCs w:val="20"/>
          <w:u w:val="none"/>
          <w:lang w:eastAsia="cs-CZ"/>
        </w:rPr>
        <w:t>Nejvyšší soud, 21 Cdo 2110/2019</w:t>
      </w:r>
    </w:p>
    <w:p w:rsidR="00751F5F" w:rsidRDefault="00751F5F" w:rsidP="003D0450">
      <w:pPr>
        <w:pStyle w:val="Bezmezer"/>
        <w:spacing w:line="276" w:lineRule="auto"/>
        <w:jc w:val="right"/>
        <w:rPr>
          <w:rStyle w:val="Hypertextovodkaz"/>
          <w:rFonts w:ascii="Tahoma" w:eastAsia="Times New Roman" w:hAnsi="Tahoma" w:cs="Tahoma"/>
          <w:b/>
          <w:bCs/>
          <w:color w:val="000000" w:themeColor="text1"/>
          <w:kern w:val="36"/>
          <w:sz w:val="20"/>
          <w:szCs w:val="20"/>
          <w:u w:val="none"/>
          <w:lang w:eastAsia="cs-CZ"/>
        </w:rPr>
      </w:pPr>
    </w:p>
    <w:p w:rsidR="003D0450" w:rsidRDefault="003D0450" w:rsidP="003D0450">
      <w:pPr>
        <w:pStyle w:val="Bezmezer"/>
        <w:spacing w:line="276" w:lineRule="auto"/>
        <w:jc w:val="right"/>
        <w:rPr>
          <w:rStyle w:val="Hypertextovodkaz"/>
          <w:rFonts w:ascii="Tahoma" w:eastAsia="Times New Roman" w:hAnsi="Tahoma" w:cs="Tahoma"/>
          <w:b/>
          <w:bCs/>
          <w:color w:val="000000" w:themeColor="text1"/>
          <w:kern w:val="36"/>
          <w:sz w:val="20"/>
          <w:szCs w:val="20"/>
          <w:u w:val="none"/>
          <w:lang w:eastAsia="cs-CZ"/>
        </w:rPr>
      </w:pPr>
    </w:p>
    <w:p w:rsidR="003D0450" w:rsidRDefault="00751F5F" w:rsidP="003D045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751F5F">
        <w:rPr>
          <w:rStyle w:val="Hypertextovodkaz"/>
          <w:rFonts w:ascii="Tahoma" w:eastAsia="Times New Roman" w:hAnsi="Tahoma" w:cs="Tahoma"/>
          <w:bCs/>
          <w:color w:val="000000" w:themeColor="text1"/>
          <w:kern w:val="36"/>
          <w:sz w:val="20"/>
          <w:szCs w:val="20"/>
          <w:u w:val="none"/>
          <w:lang w:eastAsia="cs-CZ"/>
        </w:rPr>
        <w:t xml:space="preserve">Podle rozsudku Nejvyššího soudu </w:t>
      </w:r>
      <w:r w:rsidR="00FC7600">
        <w:rPr>
          <w:rStyle w:val="Hypertextovodkaz"/>
          <w:rFonts w:ascii="Tahoma" w:eastAsia="Times New Roman" w:hAnsi="Tahoma" w:cs="Tahoma"/>
          <w:bCs/>
          <w:color w:val="000000" w:themeColor="text1"/>
          <w:kern w:val="36"/>
          <w:sz w:val="20"/>
          <w:szCs w:val="20"/>
          <w:u w:val="none"/>
          <w:lang w:eastAsia="cs-CZ"/>
        </w:rPr>
        <w:t xml:space="preserve">je </w:t>
      </w:r>
      <w:r w:rsidRPr="00751F5F">
        <w:rPr>
          <w:rStyle w:val="Hypertextovodkaz"/>
          <w:rFonts w:ascii="Tahoma" w:eastAsia="Times New Roman" w:hAnsi="Tahoma" w:cs="Tahoma"/>
          <w:bCs/>
          <w:color w:val="000000" w:themeColor="text1"/>
          <w:kern w:val="36"/>
          <w:sz w:val="20"/>
          <w:szCs w:val="20"/>
          <w:u w:val="none"/>
          <w:lang w:eastAsia="cs-CZ"/>
        </w:rPr>
        <w:t>zcela na volbě zaměstnavatele, kterého zaměstnance zastávajícího zrušenou pozici propustí, soud není oprávněn tuto volbu přezkoumávat (není-li diskriminační). Pracuje-li na zrušené pozici též odborový funkcionář, je volná úvaha zaměstnavatele omezena tím, že musejí být ještě navíc dány spravedlivé důvody pro to dále ho nezaměstnávat. V žádném případě ale nemusí být při výběru propouštěných zaměstnanců automaticky vynechán jen pro to, že je odborovým funkcionářem.</w:t>
      </w:r>
    </w:p>
    <w:p w:rsidR="00751F5F" w:rsidRDefault="00751F5F" w:rsidP="003D045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Pr="003F7FFC" w:rsidRDefault="003D0450" w:rsidP="003D0450">
      <w:pPr>
        <w:pStyle w:val="Bezmezer"/>
        <w:shd w:val="clear" w:color="auto" w:fill="D9D9D9" w:themeFill="background1" w:themeFillShade="D9"/>
        <w:spacing w:line="276" w:lineRule="auto"/>
        <w:jc w:val="both"/>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POŘ a OŘLZ.</w:t>
      </w:r>
    </w:p>
    <w:p w:rsidR="003D0450" w:rsidRDefault="003D0450" w:rsidP="003D045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43755" w:rsidRDefault="00543755" w:rsidP="003D045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43755" w:rsidRDefault="00543755" w:rsidP="00543755">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543755">
        <w:rPr>
          <w:rStyle w:val="Hypertextovodkaz"/>
          <w:rFonts w:ascii="Tahoma" w:eastAsia="Times New Roman" w:hAnsi="Tahoma" w:cs="Tahoma"/>
          <w:b/>
          <w:bCs/>
          <w:color w:val="000000" w:themeColor="text1"/>
          <w:kern w:val="36"/>
          <w:sz w:val="24"/>
          <w:szCs w:val="24"/>
          <w:u w:val="none"/>
          <w:lang w:eastAsia="cs-CZ"/>
        </w:rPr>
        <w:t>Neodstoupení od smlouvy a náhrada škody</w:t>
      </w:r>
    </w:p>
    <w:p w:rsidR="00543755" w:rsidRDefault="005862C0" w:rsidP="00543755">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3" style="width:0;height:1.5pt" o:hralign="center" o:hrstd="t" o:hr="t" fillcolor="#a0a0a0" stroked="f"/>
        </w:pict>
      </w:r>
    </w:p>
    <w:p w:rsidR="00543755" w:rsidRDefault="00543755" w:rsidP="0054375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sidRPr="00543755">
        <w:rPr>
          <w:rStyle w:val="Hypertextovodkaz"/>
          <w:rFonts w:ascii="Tahoma" w:eastAsia="Times New Roman" w:hAnsi="Tahoma" w:cs="Tahoma"/>
          <w:bCs/>
          <w:color w:val="000000" w:themeColor="text1"/>
          <w:kern w:val="36"/>
          <w:sz w:val="20"/>
          <w:szCs w:val="20"/>
          <w:u w:val="none"/>
          <w:lang w:eastAsia="cs-CZ"/>
        </w:rPr>
        <w:t xml:space="preserve">Nejvyšší soud, </w:t>
      </w:r>
      <w:r>
        <w:rPr>
          <w:rStyle w:val="Hypertextovodkaz"/>
          <w:rFonts w:ascii="Tahoma" w:eastAsia="Times New Roman" w:hAnsi="Tahoma" w:cs="Tahoma"/>
          <w:bCs/>
          <w:color w:val="000000" w:themeColor="text1"/>
          <w:kern w:val="36"/>
          <w:sz w:val="20"/>
          <w:szCs w:val="20"/>
          <w:u w:val="none"/>
          <w:lang w:eastAsia="cs-CZ"/>
        </w:rPr>
        <w:t>25 Cdo 1267/2020</w:t>
      </w:r>
    </w:p>
    <w:p w:rsidR="00543755" w:rsidRDefault="00543755" w:rsidP="0054375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543755" w:rsidRPr="00543755" w:rsidRDefault="00543755" w:rsidP="0054375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543755" w:rsidRDefault="00543755" w:rsidP="0054375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ve svém rozhodnutí konstatoval, že</w:t>
      </w:r>
      <w:r w:rsidRPr="00543755">
        <w:rPr>
          <w:rStyle w:val="Hypertextovodkaz"/>
          <w:rFonts w:ascii="Tahoma" w:eastAsia="Times New Roman" w:hAnsi="Tahoma" w:cs="Tahoma"/>
          <w:bCs/>
          <w:color w:val="000000" w:themeColor="text1"/>
          <w:kern w:val="36"/>
          <w:sz w:val="20"/>
          <w:szCs w:val="20"/>
          <w:u w:val="none"/>
          <w:lang w:eastAsia="cs-CZ"/>
        </w:rPr>
        <w:t xml:space="preserve"> má-li oprávněná strana právo na odstoupení od smlouvy, kterého nevyužije, nemůže pak po protistraně žádat náhradu škody, která by nevznikla, pokud by od smlouvy odstoupila (například vrácení zaplacené kupní ceny).</w:t>
      </w:r>
    </w:p>
    <w:p w:rsidR="005862C0" w:rsidRDefault="005862C0" w:rsidP="0054375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862C0" w:rsidRPr="003F7FFC" w:rsidRDefault="005862C0" w:rsidP="005862C0">
      <w:pPr>
        <w:pStyle w:val="Bezmezer"/>
        <w:shd w:val="clear" w:color="auto" w:fill="D9D9D9" w:themeFill="background1" w:themeFillShade="D9"/>
        <w:spacing w:line="276" w:lineRule="auto"/>
        <w:jc w:val="both"/>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OPS provede podrobnou analýzu rozhodnutí, jakmile bude zveřejněno v plném znění.</w:t>
      </w:r>
      <w:bookmarkStart w:id="0" w:name="_GoBack"/>
      <w:bookmarkEnd w:id="0"/>
    </w:p>
    <w:p w:rsidR="005862C0" w:rsidRPr="003D0450" w:rsidRDefault="005862C0" w:rsidP="0054375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sectPr w:rsidR="005862C0" w:rsidRPr="003D0450" w:rsidSect="008C711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1D" w:rsidRDefault="008C711D" w:rsidP="004F17ED">
      <w:pPr>
        <w:spacing w:after="0" w:line="240" w:lineRule="auto"/>
      </w:pPr>
      <w:r>
        <w:separator/>
      </w:r>
    </w:p>
  </w:endnote>
  <w:endnote w:type="continuationSeparator" w:id="0">
    <w:p w:rsidR="008C711D" w:rsidRDefault="008C711D"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300103"/>
      <w:docPartObj>
        <w:docPartGallery w:val="Page Numbers (Bottom of Page)"/>
        <w:docPartUnique/>
      </w:docPartObj>
    </w:sdtPr>
    <w:sdtEndPr/>
    <w:sdtContent>
      <w:sdt>
        <w:sdtPr>
          <w:id w:val="984128864"/>
          <w:docPartObj>
            <w:docPartGallery w:val="Page Numbers (Top of Page)"/>
            <w:docPartUnique/>
          </w:docPartObj>
        </w:sdtPr>
        <w:sdtEndPr/>
        <w:sdtContent>
          <w:p w:rsidR="008C711D" w:rsidRDefault="008C711D">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5862C0">
              <w:rPr>
                <w:rFonts w:ascii="Tahoma" w:hAnsi="Tahoma" w:cs="Tahoma"/>
                <w:b/>
                <w:bCs/>
                <w:noProof/>
                <w:sz w:val="16"/>
                <w:szCs w:val="16"/>
              </w:rPr>
              <w:t>7</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5862C0">
              <w:rPr>
                <w:rFonts w:ascii="Tahoma" w:hAnsi="Tahoma" w:cs="Tahoma"/>
                <w:b/>
                <w:bCs/>
                <w:noProof/>
                <w:sz w:val="16"/>
                <w:szCs w:val="16"/>
              </w:rPr>
              <w:t>7</w:t>
            </w:r>
            <w:r w:rsidRPr="00FB7F36">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1D" w:rsidRDefault="008C711D" w:rsidP="004F17ED">
      <w:pPr>
        <w:spacing w:after="0" w:line="240" w:lineRule="auto"/>
      </w:pPr>
      <w:r>
        <w:separator/>
      </w:r>
    </w:p>
  </w:footnote>
  <w:footnote w:type="continuationSeparator" w:id="0">
    <w:p w:rsidR="008C711D" w:rsidRDefault="008C711D"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3">
    <w:nsid w:val="0D180E72"/>
    <w:multiLevelType w:val="hybridMultilevel"/>
    <w:tmpl w:val="5E763E14"/>
    <w:lvl w:ilvl="0" w:tplc="04050017">
      <w:start w:val="1"/>
      <w:numFmt w:val="lowerLetter"/>
      <w:lvlText w:val="%1)"/>
      <w:lvlJc w:val="left"/>
      <w:pPr>
        <w:ind w:left="720" w:hanging="360"/>
      </w:pPr>
    </w:lvl>
    <w:lvl w:ilvl="1" w:tplc="F86CDF60">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0CD4A4C"/>
    <w:multiLevelType w:val="hybridMultilevel"/>
    <w:tmpl w:val="942E0ECE"/>
    <w:lvl w:ilvl="0" w:tplc="2892D5DA">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7">
    <w:nsid w:val="1AC64F27"/>
    <w:multiLevelType w:val="multilevel"/>
    <w:tmpl w:val="A5066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2D3224D7"/>
    <w:multiLevelType w:val="hybridMultilevel"/>
    <w:tmpl w:val="85405872"/>
    <w:lvl w:ilvl="0" w:tplc="11706F3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E82707B"/>
    <w:multiLevelType w:val="hybridMultilevel"/>
    <w:tmpl w:val="241C92F8"/>
    <w:lvl w:ilvl="0" w:tplc="0405001B">
      <w:start w:val="1"/>
      <w:numFmt w:val="lowerRoman"/>
      <w:lvlText w:val="%1."/>
      <w:lvlJc w:val="righ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23">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4">
    <w:nsid w:val="3AB273D1"/>
    <w:multiLevelType w:val="hybridMultilevel"/>
    <w:tmpl w:val="C5806E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nsid w:val="3C4A26F7"/>
    <w:multiLevelType w:val="hybridMultilevel"/>
    <w:tmpl w:val="241C92F8"/>
    <w:lvl w:ilvl="0" w:tplc="0405001B">
      <w:start w:val="1"/>
      <w:numFmt w:val="lowerRoman"/>
      <w:lvlText w:val="%1."/>
      <w:lvlJc w:val="righ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6">
    <w:nsid w:val="3D7D37E4"/>
    <w:multiLevelType w:val="hybridMultilevel"/>
    <w:tmpl w:val="6FE058DA"/>
    <w:lvl w:ilvl="0" w:tplc="781AF506">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0484290"/>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3901BC5"/>
    <w:multiLevelType w:val="multilevel"/>
    <w:tmpl w:val="4A0E85BC"/>
    <w:lvl w:ilvl="0">
      <w:start w:val="2"/>
      <w:numFmt w:val="upperRoman"/>
      <w:lvlText w:val="%1."/>
      <w:lvlJc w:val="right"/>
      <w:pPr>
        <w:ind w:left="5464" w:hanging="360"/>
      </w:pPr>
      <w:rPr>
        <w:rFonts w:ascii="Tahoma" w:hAnsi="Tahoma" w:cs="Tahoma" w:hint="default"/>
        <w:b/>
        <w:sz w:val="28"/>
      </w:rPr>
    </w:lvl>
    <w:lvl w:ilvl="1">
      <w:start w:val="1"/>
      <w:numFmt w:val="decimal"/>
      <w:isLgl/>
      <w:lvlText w:val="%1.%2."/>
      <w:lvlJc w:val="left"/>
      <w:pPr>
        <w:ind w:left="6004" w:hanging="720"/>
      </w:pPr>
      <w:rPr>
        <w:rFonts w:hint="default"/>
      </w:rPr>
    </w:lvl>
    <w:lvl w:ilvl="2">
      <w:start w:val="1"/>
      <w:numFmt w:val="decimal"/>
      <w:isLgl/>
      <w:lvlText w:val="%1.%2.%3."/>
      <w:lvlJc w:val="left"/>
      <w:pPr>
        <w:ind w:left="6184" w:hanging="720"/>
      </w:pPr>
      <w:rPr>
        <w:rFonts w:hint="default"/>
      </w:rPr>
    </w:lvl>
    <w:lvl w:ilvl="3">
      <w:start w:val="1"/>
      <w:numFmt w:val="decimal"/>
      <w:isLgl/>
      <w:lvlText w:val="%1.%2.%3.%4."/>
      <w:lvlJc w:val="left"/>
      <w:pPr>
        <w:ind w:left="6724" w:hanging="1080"/>
      </w:pPr>
      <w:rPr>
        <w:rFonts w:hint="default"/>
      </w:rPr>
    </w:lvl>
    <w:lvl w:ilvl="4">
      <w:start w:val="1"/>
      <w:numFmt w:val="decimal"/>
      <w:isLgl/>
      <w:lvlText w:val="%1.%2.%3.%4.%5."/>
      <w:lvlJc w:val="left"/>
      <w:pPr>
        <w:ind w:left="6904" w:hanging="1080"/>
      </w:pPr>
      <w:rPr>
        <w:rFonts w:hint="default"/>
      </w:rPr>
    </w:lvl>
    <w:lvl w:ilvl="5">
      <w:start w:val="1"/>
      <w:numFmt w:val="decimal"/>
      <w:isLgl/>
      <w:lvlText w:val="%1.%2.%3.%4.%5.%6."/>
      <w:lvlJc w:val="left"/>
      <w:pPr>
        <w:ind w:left="7444" w:hanging="1440"/>
      </w:pPr>
      <w:rPr>
        <w:rFonts w:hint="default"/>
      </w:rPr>
    </w:lvl>
    <w:lvl w:ilvl="6">
      <w:start w:val="1"/>
      <w:numFmt w:val="decimal"/>
      <w:isLgl/>
      <w:lvlText w:val="%1.%2.%3.%4.%5.%6.%7."/>
      <w:lvlJc w:val="left"/>
      <w:pPr>
        <w:ind w:left="7624" w:hanging="1440"/>
      </w:pPr>
      <w:rPr>
        <w:rFonts w:hint="default"/>
      </w:rPr>
    </w:lvl>
    <w:lvl w:ilvl="7">
      <w:start w:val="1"/>
      <w:numFmt w:val="decimal"/>
      <w:isLgl/>
      <w:lvlText w:val="%1.%2.%3.%4.%5.%6.%7.%8."/>
      <w:lvlJc w:val="left"/>
      <w:pPr>
        <w:ind w:left="8164" w:hanging="1800"/>
      </w:pPr>
      <w:rPr>
        <w:rFonts w:hint="default"/>
      </w:rPr>
    </w:lvl>
    <w:lvl w:ilvl="8">
      <w:start w:val="1"/>
      <w:numFmt w:val="decimal"/>
      <w:isLgl/>
      <w:lvlText w:val="%1.%2.%3.%4.%5.%6.%7.%8.%9."/>
      <w:lvlJc w:val="left"/>
      <w:pPr>
        <w:ind w:left="8704" w:hanging="2160"/>
      </w:pPr>
      <w:rPr>
        <w:rFonts w:hint="default"/>
      </w:rPr>
    </w:lvl>
  </w:abstractNum>
  <w:abstractNum w:abstractNumId="29">
    <w:nsid w:val="48BE70F4"/>
    <w:multiLevelType w:val="hybridMultilevel"/>
    <w:tmpl w:val="72827694"/>
    <w:lvl w:ilvl="0" w:tplc="E8C6AEC0">
      <w:start w:val="1"/>
      <w:numFmt w:val="bullet"/>
      <w:lvlText w:val=""/>
      <w:lvlJc w:val="left"/>
      <w:pPr>
        <w:ind w:left="720" w:hanging="360"/>
      </w:pPr>
      <w:rPr>
        <w:rFonts w:ascii="Symbol" w:hAnsi="Symbol" w:hint="default"/>
      </w:rPr>
    </w:lvl>
    <w:lvl w:ilvl="1" w:tplc="E8C6AEC0">
      <w:start w:val="1"/>
      <w:numFmt w:val="bullet"/>
      <w:lvlText w:val=""/>
      <w:lvlJc w:val="left"/>
      <w:pPr>
        <w:ind w:left="36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4491D8A"/>
    <w:multiLevelType w:val="hybridMultilevel"/>
    <w:tmpl w:val="09EC22E0"/>
    <w:lvl w:ilvl="0" w:tplc="0405001B">
      <w:start w:val="1"/>
      <w:numFmt w:val="lowerRoman"/>
      <w:lvlText w:val="%1."/>
      <w:lvlJc w:val="right"/>
      <w:pPr>
        <w:ind w:left="1425" w:hanging="360"/>
      </w:pPr>
    </w:lvl>
    <w:lvl w:ilvl="1" w:tplc="0405001B">
      <w:start w:val="1"/>
      <w:numFmt w:val="lowerRoman"/>
      <w:lvlText w:val="%2."/>
      <w:lvlJc w:val="right"/>
      <w:pPr>
        <w:ind w:left="1211"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3">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7">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8">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23"/>
  </w:num>
  <w:num w:numId="3">
    <w:abstractNumId w:val="11"/>
  </w:num>
  <w:num w:numId="4">
    <w:abstractNumId w:val="10"/>
  </w:num>
  <w:num w:numId="5">
    <w:abstractNumId w:val="16"/>
  </w:num>
  <w:num w:numId="6">
    <w:abstractNumId w:val="35"/>
  </w:num>
  <w:num w:numId="7">
    <w:abstractNumId w:val="14"/>
  </w:num>
  <w:num w:numId="8">
    <w:abstractNumId w:val="39"/>
  </w:num>
  <w:num w:numId="9">
    <w:abstractNumId w:val="31"/>
  </w:num>
  <w:num w:numId="10">
    <w:abstractNumId w:val="34"/>
  </w:num>
  <w:num w:numId="11">
    <w:abstractNumId w:val="33"/>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8"/>
  </w:num>
  <w:num w:numId="23">
    <w:abstractNumId w:val="20"/>
  </w:num>
  <w:num w:numId="24">
    <w:abstractNumId w:val="19"/>
  </w:num>
  <w:num w:numId="25">
    <w:abstractNumId w:val="38"/>
  </w:num>
  <w:num w:numId="26">
    <w:abstractNumId w:val="27"/>
  </w:num>
  <w:num w:numId="27">
    <w:abstractNumId w:val="12"/>
  </w:num>
  <w:num w:numId="28">
    <w:abstractNumId w:val="28"/>
  </w:num>
  <w:num w:numId="29">
    <w:abstractNumId w:val="37"/>
  </w:num>
  <w:num w:numId="30">
    <w:abstractNumId w:val="29"/>
  </w:num>
  <w:num w:numId="31">
    <w:abstractNumId w:val="26"/>
  </w:num>
  <w:num w:numId="32">
    <w:abstractNumId w:val="13"/>
  </w:num>
  <w:num w:numId="33">
    <w:abstractNumId w:val="32"/>
  </w:num>
  <w:num w:numId="34">
    <w:abstractNumId w:val="25"/>
  </w:num>
  <w:num w:numId="35">
    <w:abstractNumId w:val="22"/>
  </w:num>
  <w:num w:numId="36">
    <w:abstractNumId w:val="24"/>
  </w:num>
  <w:num w:numId="37">
    <w:abstractNumId w:val="17"/>
  </w:num>
  <w:num w:numId="38">
    <w:abstractNumId w:val="15"/>
  </w:num>
  <w:num w:numId="39">
    <w:abstractNumId w:val="36"/>
  </w:num>
  <w:num w:numId="40">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5877"/>
    <w:rsid w:val="00006337"/>
    <w:rsid w:val="000065C2"/>
    <w:rsid w:val="00006D3F"/>
    <w:rsid w:val="00010406"/>
    <w:rsid w:val="00013763"/>
    <w:rsid w:val="000152BC"/>
    <w:rsid w:val="00017AE6"/>
    <w:rsid w:val="00020DD5"/>
    <w:rsid w:val="0002202C"/>
    <w:rsid w:val="00024354"/>
    <w:rsid w:val="00024EFD"/>
    <w:rsid w:val="00025EAC"/>
    <w:rsid w:val="00026824"/>
    <w:rsid w:val="000331FE"/>
    <w:rsid w:val="0003481B"/>
    <w:rsid w:val="00034EBC"/>
    <w:rsid w:val="00035275"/>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6D5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356"/>
    <w:rsid w:val="00095900"/>
    <w:rsid w:val="000959B4"/>
    <w:rsid w:val="00095F6D"/>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54E9"/>
    <w:rsid w:val="000F2090"/>
    <w:rsid w:val="000F3867"/>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2C6A"/>
    <w:rsid w:val="001336B6"/>
    <w:rsid w:val="00134EB5"/>
    <w:rsid w:val="001351A0"/>
    <w:rsid w:val="00135879"/>
    <w:rsid w:val="00135BEF"/>
    <w:rsid w:val="001367FE"/>
    <w:rsid w:val="00137ACA"/>
    <w:rsid w:val="00137CB0"/>
    <w:rsid w:val="00141501"/>
    <w:rsid w:val="00141666"/>
    <w:rsid w:val="00142322"/>
    <w:rsid w:val="0014406A"/>
    <w:rsid w:val="001440A6"/>
    <w:rsid w:val="00144CDD"/>
    <w:rsid w:val="00145C1F"/>
    <w:rsid w:val="0015004C"/>
    <w:rsid w:val="00150FB7"/>
    <w:rsid w:val="00151B6E"/>
    <w:rsid w:val="00156C6C"/>
    <w:rsid w:val="00161952"/>
    <w:rsid w:val="00161BEA"/>
    <w:rsid w:val="00162805"/>
    <w:rsid w:val="001629CF"/>
    <w:rsid w:val="00162B8A"/>
    <w:rsid w:val="00163DDA"/>
    <w:rsid w:val="0016564F"/>
    <w:rsid w:val="00165B6A"/>
    <w:rsid w:val="00174A2D"/>
    <w:rsid w:val="00175208"/>
    <w:rsid w:val="0017625A"/>
    <w:rsid w:val="001765B5"/>
    <w:rsid w:val="001807E4"/>
    <w:rsid w:val="001810A3"/>
    <w:rsid w:val="00184111"/>
    <w:rsid w:val="00185FC5"/>
    <w:rsid w:val="001875C8"/>
    <w:rsid w:val="001903C1"/>
    <w:rsid w:val="00195DD2"/>
    <w:rsid w:val="001A0C83"/>
    <w:rsid w:val="001A1785"/>
    <w:rsid w:val="001A2D52"/>
    <w:rsid w:val="001A3D61"/>
    <w:rsid w:val="001A3D99"/>
    <w:rsid w:val="001A62A6"/>
    <w:rsid w:val="001A6AF4"/>
    <w:rsid w:val="001A6F8F"/>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2881"/>
    <w:rsid w:val="001D3BAC"/>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17D"/>
    <w:rsid w:val="00206944"/>
    <w:rsid w:val="00206F98"/>
    <w:rsid w:val="00207B8D"/>
    <w:rsid w:val="00212896"/>
    <w:rsid w:val="00212BC6"/>
    <w:rsid w:val="00214FAB"/>
    <w:rsid w:val="00217FEC"/>
    <w:rsid w:val="00220107"/>
    <w:rsid w:val="00220138"/>
    <w:rsid w:val="002205E1"/>
    <w:rsid w:val="0022197B"/>
    <w:rsid w:val="00221F51"/>
    <w:rsid w:val="00222868"/>
    <w:rsid w:val="00224FD6"/>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5C7"/>
    <w:rsid w:val="00253681"/>
    <w:rsid w:val="00254879"/>
    <w:rsid w:val="00255279"/>
    <w:rsid w:val="0025643D"/>
    <w:rsid w:val="00257465"/>
    <w:rsid w:val="00257D6C"/>
    <w:rsid w:val="002610C4"/>
    <w:rsid w:val="002622B6"/>
    <w:rsid w:val="00263CDC"/>
    <w:rsid w:val="002738A3"/>
    <w:rsid w:val="00273D7D"/>
    <w:rsid w:val="002757EC"/>
    <w:rsid w:val="00276A8C"/>
    <w:rsid w:val="00276F8F"/>
    <w:rsid w:val="00283557"/>
    <w:rsid w:val="00283D2E"/>
    <w:rsid w:val="0028484D"/>
    <w:rsid w:val="0028797B"/>
    <w:rsid w:val="002910D6"/>
    <w:rsid w:val="00291DE2"/>
    <w:rsid w:val="00292D21"/>
    <w:rsid w:val="00295C86"/>
    <w:rsid w:val="00296169"/>
    <w:rsid w:val="002962A6"/>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D14F8"/>
    <w:rsid w:val="002D1507"/>
    <w:rsid w:val="002D6498"/>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52A"/>
    <w:rsid w:val="003037DA"/>
    <w:rsid w:val="00304048"/>
    <w:rsid w:val="00304CFA"/>
    <w:rsid w:val="00305BBB"/>
    <w:rsid w:val="00306184"/>
    <w:rsid w:val="003077D1"/>
    <w:rsid w:val="003078D0"/>
    <w:rsid w:val="00310DD6"/>
    <w:rsid w:val="00311B5F"/>
    <w:rsid w:val="00311C47"/>
    <w:rsid w:val="00312C05"/>
    <w:rsid w:val="003131F8"/>
    <w:rsid w:val="00313573"/>
    <w:rsid w:val="003173CE"/>
    <w:rsid w:val="00322DF8"/>
    <w:rsid w:val="003238FB"/>
    <w:rsid w:val="003249E2"/>
    <w:rsid w:val="00327C6A"/>
    <w:rsid w:val="00330B21"/>
    <w:rsid w:val="00333363"/>
    <w:rsid w:val="00335B85"/>
    <w:rsid w:val="00335BB7"/>
    <w:rsid w:val="00343B36"/>
    <w:rsid w:val="00344168"/>
    <w:rsid w:val="00344F47"/>
    <w:rsid w:val="00345551"/>
    <w:rsid w:val="003459A0"/>
    <w:rsid w:val="00345E8F"/>
    <w:rsid w:val="003509DE"/>
    <w:rsid w:val="00351243"/>
    <w:rsid w:val="00351349"/>
    <w:rsid w:val="003526B8"/>
    <w:rsid w:val="003530C9"/>
    <w:rsid w:val="0035347A"/>
    <w:rsid w:val="0035378B"/>
    <w:rsid w:val="00355EAB"/>
    <w:rsid w:val="00360D1A"/>
    <w:rsid w:val="003628E1"/>
    <w:rsid w:val="00363670"/>
    <w:rsid w:val="0036402D"/>
    <w:rsid w:val="00366B64"/>
    <w:rsid w:val="00370ABB"/>
    <w:rsid w:val="00371022"/>
    <w:rsid w:val="0037265F"/>
    <w:rsid w:val="00372802"/>
    <w:rsid w:val="00372FB7"/>
    <w:rsid w:val="00374BCE"/>
    <w:rsid w:val="00376752"/>
    <w:rsid w:val="00380F22"/>
    <w:rsid w:val="00381538"/>
    <w:rsid w:val="00384022"/>
    <w:rsid w:val="0038411B"/>
    <w:rsid w:val="00384A12"/>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450"/>
    <w:rsid w:val="003D05CF"/>
    <w:rsid w:val="003D1358"/>
    <w:rsid w:val="003D13B0"/>
    <w:rsid w:val="003D387C"/>
    <w:rsid w:val="003E7434"/>
    <w:rsid w:val="003F33C4"/>
    <w:rsid w:val="003F4214"/>
    <w:rsid w:val="003F5319"/>
    <w:rsid w:val="003F7FFC"/>
    <w:rsid w:val="00400CA9"/>
    <w:rsid w:val="00402B33"/>
    <w:rsid w:val="00403BCB"/>
    <w:rsid w:val="00403E80"/>
    <w:rsid w:val="004048A1"/>
    <w:rsid w:val="0040539D"/>
    <w:rsid w:val="004062C8"/>
    <w:rsid w:val="00407A61"/>
    <w:rsid w:val="00411B48"/>
    <w:rsid w:val="004128FE"/>
    <w:rsid w:val="00413E46"/>
    <w:rsid w:val="00415958"/>
    <w:rsid w:val="004161B5"/>
    <w:rsid w:val="004168DB"/>
    <w:rsid w:val="0041735C"/>
    <w:rsid w:val="00417839"/>
    <w:rsid w:val="00422050"/>
    <w:rsid w:val="00422CD7"/>
    <w:rsid w:val="00423FDD"/>
    <w:rsid w:val="00424128"/>
    <w:rsid w:val="004242DB"/>
    <w:rsid w:val="00426698"/>
    <w:rsid w:val="00427709"/>
    <w:rsid w:val="00427F2F"/>
    <w:rsid w:val="00434454"/>
    <w:rsid w:val="004353BF"/>
    <w:rsid w:val="00440048"/>
    <w:rsid w:val="0044093C"/>
    <w:rsid w:val="004450E2"/>
    <w:rsid w:val="0044547E"/>
    <w:rsid w:val="00447E10"/>
    <w:rsid w:val="004515D2"/>
    <w:rsid w:val="0045228C"/>
    <w:rsid w:val="004536BC"/>
    <w:rsid w:val="00454762"/>
    <w:rsid w:val="004549DE"/>
    <w:rsid w:val="004559EA"/>
    <w:rsid w:val="0046059F"/>
    <w:rsid w:val="0046265B"/>
    <w:rsid w:val="00462BA8"/>
    <w:rsid w:val="00465991"/>
    <w:rsid w:val="0046696E"/>
    <w:rsid w:val="00466E48"/>
    <w:rsid w:val="0047044D"/>
    <w:rsid w:val="00471191"/>
    <w:rsid w:val="00471384"/>
    <w:rsid w:val="004766A0"/>
    <w:rsid w:val="0048152A"/>
    <w:rsid w:val="004826DF"/>
    <w:rsid w:val="004834C9"/>
    <w:rsid w:val="00483D7E"/>
    <w:rsid w:val="004901A5"/>
    <w:rsid w:val="0049025F"/>
    <w:rsid w:val="00490473"/>
    <w:rsid w:val="00491428"/>
    <w:rsid w:val="00491EB7"/>
    <w:rsid w:val="004935E1"/>
    <w:rsid w:val="00494BA1"/>
    <w:rsid w:val="00496091"/>
    <w:rsid w:val="0049649F"/>
    <w:rsid w:val="004A1140"/>
    <w:rsid w:val="004A22A3"/>
    <w:rsid w:val="004A3DCA"/>
    <w:rsid w:val="004B1669"/>
    <w:rsid w:val="004B16CD"/>
    <w:rsid w:val="004B22E8"/>
    <w:rsid w:val="004B555E"/>
    <w:rsid w:val="004B7992"/>
    <w:rsid w:val="004C0443"/>
    <w:rsid w:val="004C27B8"/>
    <w:rsid w:val="004D0E8C"/>
    <w:rsid w:val="004D207B"/>
    <w:rsid w:val="004D224F"/>
    <w:rsid w:val="004D304C"/>
    <w:rsid w:val="004D60BB"/>
    <w:rsid w:val="004D65E5"/>
    <w:rsid w:val="004D762B"/>
    <w:rsid w:val="004E0C28"/>
    <w:rsid w:val="004E1900"/>
    <w:rsid w:val="004E1905"/>
    <w:rsid w:val="004E29F2"/>
    <w:rsid w:val="004E46C7"/>
    <w:rsid w:val="004E6380"/>
    <w:rsid w:val="004E67B6"/>
    <w:rsid w:val="004E7517"/>
    <w:rsid w:val="004F0300"/>
    <w:rsid w:val="004F17ED"/>
    <w:rsid w:val="004F3002"/>
    <w:rsid w:val="004F3132"/>
    <w:rsid w:val="004F37DA"/>
    <w:rsid w:val="004F3AEB"/>
    <w:rsid w:val="004F69EC"/>
    <w:rsid w:val="004F6AC2"/>
    <w:rsid w:val="00501365"/>
    <w:rsid w:val="005024A6"/>
    <w:rsid w:val="00503ACF"/>
    <w:rsid w:val="005042A6"/>
    <w:rsid w:val="00505738"/>
    <w:rsid w:val="00505B58"/>
    <w:rsid w:val="005062F3"/>
    <w:rsid w:val="00506981"/>
    <w:rsid w:val="005132D4"/>
    <w:rsid w:val="00514132"/>
    <w:rsid w:val="005166A7"/>
    <w:rsid w:val="005170B6"/>
    <w:rsid w:val="005203F3"/>
    <w:rsid w:val="00521193"/>
    <w:rsid w:val="005226BE"/>
    <w:rsid w:val="00524448"/>
    <w:rsid w:val="00525327"/>
    <w:rsid w:val="00525598"/>
    <w:rsid w:val="00525E70"/>
    <w:rsid w:val="0052707D"/>
    <w:rsid w:val="00527B4E"/>
    <w:rsid w:val="005302F5"/>
    <w:rsid w:val="00530CBE"/>
    <w:rsid w:val="00533958"/>
    <w:rsid w:val="00534670"/>
    <w:rsid w:val="005364B8"/>
    <w:rsid w:val="00537993"/>
    <w:rsid w:val="00537BA2"/>
    <w:rsid w:val="00540EA0"/>
    <w:rsid w:val="00542B36"/>
    <w:rsid w:val="00543755"/>
    <w:rsid w:val="00543D4A"/>
    <w:rsid w:val="00544C49"/>
    <w:rsid w:val="005452CF"/>
    <w:rsid w:val="005569BF"/>
    <w:rsid w:val="00562879"/>
    <w:rsid w:val="005629AE"/>
    <w:rsid w:val="005635CB"/>
    <w:rsid w:val="00563B66"/>
    <w:rsid w:val="005643D9"/>
    <w:rsid w:val="0056543F"/>
    <w:rsid w:val="0056735F"/>
    <w:rsid w:val="005725FF"/>
    <w:rsid w:val="00572A6B"/>
    <w:rsid w:val="0057392F"/>
    <w:rsid w:val="0057405A"/>
    <w:rsid w:val="00574AEF"/>
    <w:rsid w:val="00577444"/>
    <w:rsid w:val="005824E2"/>
    <w:rsid w:val="005841CB"/>
    <w:rsid w:val="00584AD1"/>
    <w:rsid w:val="005862C0"/>
    <w:rsid w:val="005874EF"/>
    <w:rsid w:val="00590162"/>
    <w:rsid w:val="005906EB"/>
    <w:rsid w:val="00590D0D"/>
    <w:rsid w:val="00595560"/>
    <w:rsid w:val="005A1D02"/>
    <w:rsid w:val="005A276A"/>
    <w:rsid w:val="005A32E8"/>
    <w:rsid w:val="005A5321"/>
    <w:rsid w:val="005A544B"/>
    <w:rsid w:val="005B1C5E"/>
    <w:rsid w:val="005B3219"/>
    <w:rsid w:val="005B7211"/>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E6591"/>
    <w:rsid w:val="005F197A"/>
    <w:rsid w:val="005F6373"/>
    <w:rsid w:val="0060528B"/>
    <w:rsid w:val="00611C81"/>
    <w:rsid w:val="00612770"/>
    <w:rsid w:val="006129C4"/>
    <w:rsid w:val="00616728"/>
    <w:rsid w:val="00620586"/>
    <w:rsid w:val="00620DEB"/>
    <w:rsid w:val="00621743"/>
    <w:rsid w:val="006247DC"/>
    <w:rsid w:val="00624927"/>
    <w:rsid w:val="00625E80"/>
    <w:rsid w:val="00626608"/>
    <w:rsid w:val="00626DAB"/>
    <w:rsid w:val="0063038F"/>
    <w:rsid w:val="006309EC"/>
    <w:rsid w:val="0063371D"/>
    <w:rsid w:val="00633D0B"/>
    <w:rsid w:val="00634759"/>
    <w:rsid w:val="00634BBB"/>
    <w:rsid w:val="00634ECF"/>
    <w:rsid w:val="0063608A"/>
    <w:rsid w:val="00636CC5"/>
    <w:rsid w:val="0064007D"/>
    <w:rsid w:val="00640821"/>
    <w:rsid w:val="006419FC"/>
    <w:rsid w:val="00642B92"/>
    <w:rsid w:val="006450B7"/>
    <w:rsid w:val="006466FE"/>
    <w:rsid w:val="0064695A"/>
    <w:rsid w:val="00647DFF"/>
    <w:rsid w:val="00651B06"/>
    <w:rsid w:val="00651B71"/>
    <w:rsid w:val="00655121"/>
    <w:rsid w:val="00656175"/>
    <w:rsid w:val="00660572"/>
    <w:rsid w:val="00661CF8"/>
    <w:rsid w:val="006621B9"/>
    <w:rsid w:val="00664BFA"/>
    <w:rsid w:val="00666289"/>
    <w:rsid w:val="00671D1B"/>
    <w:rsid w:val="00681668"/>
    <w:rsid w:val="006819A4"/>
    <w:rsid w:val="00684E6C"/>
    <w:rsid w:val="00685036"/>
    <w:rsid w:val="0068715C"/>
    <w:rsid w:val="00687E51"/>
    <w:rsid w:val="006902F1"/>
    <w:rsid w:val="0069081D"/>
    <w:rsid w:val="006909A9"/>
    <w:rsid w:val="00692BAF"/>
    <w:rsid w:val="00692C0F"/>
    <w:rsid w:val="00695978"/>
    <w:rsid w:val="00696326"/>
    <w:rsid w:val="006A0A7F"/>
    <w:rsid w:val="006A1F9A"/>
    <w:rsid w:val="006A2727"/>
    <w:rsid w:val="006A3533"/>
    <w:rsid w:val="006A4A20"/>
    <w:rsid w:val="006A6AD2"/>
    <w:rsid w:val="006B0435"/>
    <w:rsid w:val="006B099C"/>
    <w:rsid w:val="006B1D5C"/>
    <w:rsid w:val="006B1E00"/>
    <w:rsid w:val="006B2EB6"/>
    <w:rsid w:val="006B4688"/>
    <w:rsid w:val="006B6895"/>
    <w:rsid w:val="006B7EE9"/>
    <w:rsid w:val="006C005F"/>
    <w:rsid w:val="006C14E6"/>
    <w:rsid w:val="006C459B"/>
    <w:rsid w:val="006C4699"/>
    <w:rsid w:val="006C5AD8"/>
    <w:rsid w:val="006C6DAC"/>
    <w:rsid w:val="006C6F55"/>
    <w:rsid w:val="006C7AF7"/>
    <w:rsid w:val="006D07AF"/>
    <w:rsid w:val="006D139A"/>
    <w:rsid w:val="006D2AB7"/>
    <w:rsid w:val="006D2E1E"/>
    <w:rsid w:val="006D437B"/>
    <w:rsid w:val="006D468C"/>
    <w:rsid w:val="006D487E"/>
    <w:rsid w:val="006D5353"/>
    <w:rsid w:val="006E09B3"/>
    <w:rsid w:val="006E0CA1"/>
    <w:rsid w:val="006E28CD"/>
    <w:rsid w:val="006E4B7E"/>
    <w:rsid w:val="006E57D1"/>
    <w:rsid w:val="006F01A3"/>
    <w:rsid w:val="006F2E08"/>
    <w:rsid w:val="006F443D"/>
    <w:rsid w:val="0070119D"/>
    <w:rsid w:val="00701B95"/>
    <w:rsid w:val="00703EE5"/>
    <w:rsid w:val="007060DB"/>
    <w:rsid w:val="00706A9F"/>
    <w:rsid w:val="00707206"/>
    <w:rsid w:val="007105D2"/>
    <w:rsid w:val="0071067F"/>
    <w:rsid w:val="00711675"/>
    <w:rsid w:val="00711F19"/>
    <w:rsid w:val="007148E4"/>
    <w:rsid w:val="007156E4"/>
    <w:rsid w:val="00715A6F"/>
    <w:rsid w:val="00715AD5"/>
    <w:rsid w:val="00721803"/>
    <w:rsid w:val="00721B7D"/>
    <w:rsid w:val="00724B67"/>
    <w:rsid w:val="007250DE"/>
    <w:rsid w:val="00727EBE"/>
    <w:rsid w:val="00730FC1"/>
    <w:rsid w:val="0073165C"/>
    <w:rsid w:val="007342F4"/>
    <w:rsid w:val="007400F7"/>
    <w:rsid w:val="007413F0"/>
    <w:rsid w:val="00741601"/>
    <w:rsid w:val="00745373"/>
    <w:rsid w:val="007503D0"/>
    <w:rsid w:val="00751E42"/>
    <w:rsid w:val="00751F5F"/>
    <w:rsid w:val="00760367"/>
    <w:rsid w:val="00760E95"/>
    <w:rsid w:val="00761984"/>
    <w:rsid w:val="00761C7D"/>
    <w:rsid w:val="0076277F"/>
    <w:rsid w:val="00765FD7"/>
    <w:rsid w:val="00767E86"/>
    <w:rsid w:val="0077167C"/>
    <w:rsid w:val="00772162"/>
    <w:rsid w:val="00773243"/>
    <w:rsid w:val="007767A0"/>
    <w:rsid w:val="00777425"/>
    <w:rsid w:val="00781FFA"/>
    <w:rsid w:val="007825CD"/>
    <w:rsid w:val="00783961"/>
    <w:rsid w:val="0078570F"/>
    <w:rsid w:val="00785AB4"/>
    <w:rsid w:val="00790364"/>
    <w:rsid w:val="00791AB2"/>
    <w:rsid w:val="007955A3"/>
    <w:rsid w:val="007957FF"/>
    <w:rsid w:val="0079795D"/>
    <w:rsid w:val="007A18B0"/>
    <w:rsid w:val="007A56F5"/>
    <w:rsid w:val="007A7BE0"/>
    <w:rsid w:val="007B3DF0"/>
    <w:rsid w:val="007B5156"/>
    <w:rsid w:val="007B7559"/>
    <w:rsid w:val="007C0CD0"/>
    <w:rsid w:val="007C0E18"/>
    <w:rsid w:val="007C2983"/>
    <w:rsid w:val="007C30AF"/>
    <w:rsid w:val="007C3635"/>
    <w:rsid w:val="007C36DB"/>
    <w:rsid w:val="007C3A4B"/>
    <w:rsid w:val="007C4043"/>
    <w:rsid w:val="007C51BB"/>
    <w:rsid w:val="007C520E"/>
    <w:rsid w:val="007D5D46"/>
    <w:rsid w:val="007D72DA"/>
    <w:rsid w:val="007E053D"/>
    <w:rsid w:val="007E2E76"/>
    <w:rsid w:val="007E317C"/>
    <w:rsid w:val="007E5097"/>
    <w:rsid w:val="007E6A31"/>
    <w:rsid w:val="007E7045"/>
    <w:rsid w:val="007F0254"/>
    <w:rsid w:val="007F04D7"/>
    <w:rsid w:val="007F09E2"/>
    <w:rsid w:val="007F154B"/>
    <w:rsid w:val="007F1D75"/>
    <w:rsid w:val="007F3540"/>
    <w:rsid w:val="007F577D"/>
    <w:rsid w:val="0080163B"/>
    <w:rsid w:val="00801E54"/>
    <w:rsid w:val="008020EA"/>
    <w:rsid w:val="008048CD"/>
    <w:rsid w:val="0080530B"/>
    <w:rsid w:val="008105BA"/>
    <w:rsid w:val="00811B3E"/>
    <w:rsid w:val="00812AEE"/>
    <w:rsid w:val="008148A4"/>
    <w:rsid w:val="00815BEF"/>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46D5"/>
    <w:rsid w:val="00836110"/>
    <w:rsid w:val="0083799C"/>
    <w:rsid w:val="00844B2A"/>
    <w:rsid w:val="008472B6"/>
    <w:rsid w:val="00847B08"/>
    <w:rsid w:val="00852426"/>
    <w:rsid w:val="00852FD0"/>
    <w:rsid w:val="0085507A"/>
    <w:rsid w:val="008559F5"/>
    <w:rsid w:val="00855B7C"/>
    <w:rsid w:val="008561A8"/>
    <w:rsid w:val="00856973"/>
    <w:rsid w:val="0086206B"/>
    <w:rsid w:val="00862B3D"/>
    <w:rsid w:val="00863036"/>
    <w:rsid w:val="00863A2B"/>
    <w:rsid w:val="00863E13"/>
    <w:rsid w:val="00864678"/>
    <w:rsid w:val="00865AA6"/>
    <w:rsid w:val="0086604E"/>
    <w:rsid w:val="008662C9"/>
    <w:rsid w:val="008679EA"/>
    <w:rsid w:val="00867E85"/>
    <w:rsid w:val="0087193D"/>
    <w:rsid w:val="008728CF"/>
    <w:rsid w:val="008733A1"/>
    <w:rsid w:val="008741F9"/>
    <w:rsid w:val="00877BA9"/>
    <w:rsid w:val="008803F5"/>
    <w:rsid w:val="0088131E"/>
    <w:rsid w:val="008829CA"/>
    <w:rsid w:val="00883431"/>
    <w:rsid w:val="00885E35"/>
    <w:rsid w:val="00886054"/>
    <w:rsid w:val="00886137"/>
    <w:rsid w:val="008931D7"/>
    <w:rsid w:val="00893510"/>
    <w:rsid w:val="008941B5"/>
    <w:rsid w:val="00894E0D"/>
    <w:rsid w:val="00896C09"/>
    <w:rsid w:val="00896D55"/>
    <w:rsid w:val="00897211"/>
    <w:rsid w:val="008978F9"/>
    <w:rsid w:val="008A1418"/>
    <w:rsid w:val="008A1B9B"/>
    <w:rsid w:val="008A26C7"/>
    <w:rsid w:val="008A3723"/>
    <w:rsid w:val="008A38F7"/>
    <w:rsid w:val="008A5911"/>
    <w:rsid w:val="008B09D3"/>
    <w:rsid w:val="008B2419"/>
    <w:rsid w:val="008B4469"/>
    <w:rsid w:val="008B5061"/>
    <w:rsid w:val="008B5D32"/>
    <w:rsid w:val="008B62F0"/>
    <w:rsid w:val="008C04C1"/>
    <w:rsid w:val="008C1454"/>
    <w:rsid w:val="008C22B8"/>
    <w:rsid w:val="008C43D6"/>
    <w:rsid w:val="008C5AFD"/>
    <w:rsid w:val="008C6A49"/>
    <w:rsid w:val="008C711D"/>
    <w:rsid w:val="008D0BF0"/>
    <w:rsid w:val="008D1F1C"/>
    <w:rsid w:val="008D5292"/>
    <w:rsid w:val="008D540D"/>
    <w:rsid w:val="008D626F"/>
    <w:rsid w:val="008D6A68"/>
    <w:rsid w:val="008D6BFF"/>
    <w:rsid w:val="008E39CB"/>
    <w:rsid w:val="008E4CC7"/>
    <w:rsid w:val="008E77C3"/>
    <w:rsid w:val="008E7880"/>
    <w:rsid w:val="008F311F"/>
    <w:rsid w:val="008F3BD2"/>
    <w:rsid w:val="008F3C49"/>
    <w:rsid w:val="008F5B58"/>
    <w:rsid w:val="00900A97"/>
    <w:rsid w:val="00901B4F"/>
    <w:rsid w:val="00901E8D"/>
    <w:rsid w:val="00902E94"/>
    <w:rsid w:val="00903E6E"/>
    <w:rsid w:val="0090407F"/>
    <w:rsid w:val="00904456"/>
    <w:rsid w:val="00905085"/>
    <w:rsid w:val="0091029A"/>
    <w:rsid w:val="00910943"/>
    <w:rsid w:val="00912943"/>
    <w:rsid w:val="009143FC"/>
    <w:rsid w:val="00914DDA"/>
    <w:rsid w:val="00915451"/>
    <w:rsid w:val="00915456"/>
    <w:rsid w:val="009230B5"/>
    <w:rsid w:val="009231A5"/>
    <w:rsid w:val="009248C4"/>
    <w:rsid w:val="00924E3F"/>
    <w:rsid w:val="0092710B"/>
    <w:rsid w:val="009279A4"/>
    <w:rsid w:val="00927C2D"/>
    <w:rsid w:val="00930985"/>
    <w:rsid w:val="009310E2"/>
    <w:rsid w:val="0093136E"/>
    <w:rsid w:val="00931F21"/>
    <w:rsid w:val="00931F72"/>
    <w:rsid w:val="009333C7"/>
    <w:rsid w:val="00935399"/>
    <w:rsid w:val="00937F20"/>
    <w:rsid w:val="00940DD8"/>
    <w:rsid w:val="00941C55"/>
    <w:rsid w:val="009421EA"/>
    <w:rsid w:val="00942C16"/>
    <w:rsid w:val="00943423"/>
    <w:rsid w:val="00944403"/>
    <w:rsid w:val="00950F60"/>
    <w:rsid w:val="0095537D"/>
    <w:rsid w:val="00957DE3"/>
    <w:rsid w:val="00957E6D"/>
    <w:rsid w:val="00963277"/>
    <w:rsid w:val="009645A1"/>
    <w:rsid w:val="0097133F"/>
    <w:rsid w:val="0097263C"/>
    <w:rsid w:val="009735AF"/>
    <w:rsid w:val="00973927"/>
    <w:rsid w:val="00976DB0"/>
    <w:rsid w:val="009770A0"/>
    <w:rsid w:val="00981081"/>
    <w:rsid w:val="009820A3"/>
    <w:rsid w:val="0098305A"/>
    <w:rsid w:val="009830E2"/>
    <w:rsid w:val="00986431"/>
    <w:rsid w:val="00990563"/>
    <w:rsid w:val="009914AF"/>
    <w:rsid w:val="009916FA"/>
    <w:rsid w:val="00992BB4"/>
    <w:rsid w:val="0099311C"/>
    <w:rsid w:val="00993474"/>
    <w:rsid w:val="009937C8"/>
    <w:rsid w:val="00993A3B"/>
    <w:rsid w:val="009943AD"/>
    <w:rsid w:val="00994FD9"/>
    <w:rsid w:val="0099608F"/>
    <w:rsid w:val="009A232F"/>
    <w:rsid w:val="009A4480"/>
    <w:rsid w:val="009A5022"/>
    <w:rsid w:val="009B2451"/>
    <w:rsid w:val="009B5F82"/>
    <w:rsid w:val="009B7D05"/>
    <w:rsid w:val="009C449E"/>
    <w:rsid w:val="009D0163"/>
    <w:rsid w:val="009D0EF5"/>
    <w:rsid w:val="009D37B7"/>
    <w:rsid w:val="009D6849"/>
    <w:rsid w:val="009F1E7E"/>
    <w:rsid w:val="009F5B9C"/>
    <w:rsid w:val="009F61D5"/>
    <w:rsid w:val="00A00B1A"/>
    <w:rsid w:val="00A00D5C"/>
    <w:rsid w:val="00A00EFE"/>
    <w:rsid w:val="00A05448"/>
    <w:rsid w:val="00A061C6"/>
    <w:rsid w:val="00A06F92"/>
    <w:rsid w:val="00A102ED"/>
    <w:rsid w:val="00A1069C"/>
    <w:rsid w:val="00A1138A"/>
    <w:rsid w:val="00A14697"/>
    <w:rsid w:val="00A16980"/>
    <w:rsid w:val="00A17C8E"/>
    <w:rsid w:val="00A20227"/>
    <w:rsid w:val="00A235E1"/>
    <w:rsid w:val="00A2427F"/>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41"/>
    <w:rsid w:val="00A868D7"/>
    <w:rsid w:val="00A90421"/>
    <w:rsid w:val="00A94D83"/>
    <w:rsid w:val="00A9509D"/>
    <w:rsid w:val="00A965DE"/>
    <w:rsid w:val="00A970A5"/>
    <w:rsid w:val="00A97275"/>
    <w:rsid w:val="00A97A82"/>
    <w:rsid w:val="00AA3152"/>
    <w:rsid w:val="00AA3B8A"/>
    <w:rsid w:val="00AB052A"/>
    <w:rsid w:val="00AB2AC7"/>
    <w:rsid w:val="00AB460C"/>
    <w:rsid w:val="00AB72B7"/>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04DCC"/>
    <w:rsid w:val="00B07D71"/>
    <w:rsid w:val="00B11D59"/>
    <w:rsid w:val="00B11E72"/>
    <w:rsid w:val="00B16007"/>
    <w:rsid w:val="00B16A80"/>
    <w:rsid w:val="00B17807"/>
    <w:rsid w:val="00B22012"/>
    <w:rsid w:val="00B23DBB"/>
    <w:rsid w:val="00B2481A"/>
    <w:rsid w:val="00B256C5"/>
    <w:rsid w:val="00B260C9"/>
    <w:rsid w:val="00B2624B"/>
    <w:rsid w:val="00B279C5"/>
    <w:rsid w:val="00B27A24"/>
    <w:rsid w:val="00B36378"/>
    <w:rsid w:val="00B37871"/>
    <w:rsid w:val="00B40347"/>
    <w:rsid w:val="00B4088F"/>
    <w:rsid w:val="00B445FA"/>
    <w:rsid w:val="00B45331"/>
    <w:rsid w:val="00B469B4"/>
    <w:rsid w:val="00B503F5"/>
    <w:rsid w:val="00B53ECD"/>
    <w:rsid w:val="00B54AC3"/>
    <w:rsid w:val="00B556C5"/>
    <w:rsid w:val="00B57B76"/>
    <w:rsid w:val="00B61873"/>
    <w:rsid w:val="00B61D44"/>
    <w:rsid w:val="00B62A83"/>
    <w:rsid w:val="00B636CE"/>
    <w:rsid w:val="00B64DE1"/>
    <w:rsid w:val="00B6540A"/>
    <w:rsid w:val="00B671E0"/>
    <w:rsid w:val="00B72496"/>
    <w:rsid w:val="00B74BB6"/>
    <w:rsid w:val="00B758C8"/>
    <w:rsid w:val="00B77CFA"/>
    <w:rsid w:val="00B841BD"/>
    <w:rsid w:val="00B90D2F"/>
    <w:rsid w:val="00B9145E"/>
    <w:rsid w:val="00B91E12"/>
    <w:rsid w:val="00B94EF4"/>
    <w:rsid w:val="00B971DF"/>
    <w:rsid w:val="00B97271"/>
    <w:rsid w:val="00B97A23"/>
    <w:rsid w:val="00BA0D2D"/>
    <w:rsid w:val="00BA1990"/>
    <w:rsid w:val="00BA2C53"/>
    <w:rsid w:val="00BA2C82"/>
    <w:rsid w:val="00BA30F2"/>
    <w:rsid w:val="00BA315A"/>
    <w:rsid w:val="00BA7587"/>
    <w:rsid w:val="00BB0B05"/>
    <w:rsid w:val="00BB1BC1"/>
    <w:rsid w:val="00BB4C56"/>
    <w:rsid w:val="00BB55B2"/>
    <w:rsid w:val="00BB62FF"/>
    <w:rsid w:val="00BB7792"/>
    <w:rsid w:val="00BC07F1"/>
    <w:rsid w:val="00BC26B3"/>
    <w:rsid w:val="00BC27A0"/>
    <w:rsid w:val="00BC2E2C"/>
    <w:rsid w:val="00BC309F"/>
    <w:rsid w:val="00BC329B"/>
    <w:rsid w:val="00BC582F"/>
    <w:rsid w:val="00BC6286"/>
    <w:rsid w:val="00BC63BD"/>
    <w:rsid w:val="00BD3E76"/>
    <w:rsid w:val="00BE18F8"/>
    <w:rsid w:val="00BE541E"/>
    <w:rsid w:val="00BE5B7A"/>
    <w:rsid w:val="00BF15EC"/>
    <w:rsid w:val="00BF51D5"/>
    <w:rsid w:val="00BF6038"/>
    <w:rsid w:val="00BF62E2"/>
    <w:rsid w:val="00BF661B"/>
    <w:rsid w:val="00BF70FD"/>
    <w:rsid w:val="00C023AC"/>
    <w:rsid w:val="00C02A29"/>
    <w:rsid w:val="00C05079"/>
    <w:rsid w:val="00C1167A"/>
    <w:rsid w:val="00C11BF0"/>
    <w:rsid w:val="00C14B60"/>
    <w:rsid w:val="00C17383"/>
    <w:rsid w:val="00C17D68"/>
    <w:rsid w:val="00C20B2E"/>
    <w:rsid w:val="00C273B0"/>
    <w:rsid w:val="00C31C60"/>
    <w:rsid w:val="00C34799"/>
    <w:rsid w:val="00C34DBF"/>
    <w:rsid w:val="00C35CC0"/>
    <w:rsid w:val="00C37128"/>
    <w:rsid w:val="00C3782E"/>
    <w:rsid w:val="00C40179"/>
    <w:rsid w:val="00C4324C"/>
    <w:rsid w:val="00C44F97"/>
    <w:rsid w:val="00C470A1"/>
    <w:rsid w:val="00C47373"/>
    <w:rsid w:val="00C47E3E"/>
    <w:rsid w:val="00C50A52"/>
    <w:rsid w:val="00C55A70"/>
    <w:rsid w:val="00C55B8C"/>
    <w:rsid w:val="00C57BCD"/>
    <w:rsid w:val="00C619D5"/>
    <w:rsid w:val="00C63AD4"/>
    <w:rsid w:val="00C6602B"/>
    <w:rsid w:val="00C66CD6"/>
    <w:rsid w:val="00C67418"/>
    <w:rsid w:val="00C70383"/>
    <w:rsid w:val="00C70CB1"/>
    <w:rsid w:val="00C72818"/>
    <w:rsid w:val="00C75530"/>
    <w:rsid w:val="00C77004"/>
    <w:rsid w:val="00C87754"/>
    <w:rsid w:val="00C90508"/>
    <w:rsid w:val="00C915B1"/>
    <w:rsid w:val="00C9199A"/>
    <w:rsid w:val="00C91D01"/>
    <w:rsid w:val="00C928B3"/>
    <w:rsid w:val="00C92B7D"/>
    <w:rsid w:val="00C93C21"/>
    <w:rsid w:val="00C964BD"/>
    <w:rsid w:val="00C976C3"/>
    <w:rsid w:val="00CA1663"/>
    <w:rsid w:val="00CA685A"/>
    <w:rsid w:val="00CA7478"/>
    <w:rsid w:val="00CB0FB3"/>
    <w:rsid w:val="00CB11A0"/>
    <w:rsid w:val="00CB1E73"/>
    <w:rsid w:val="00CB2B4C"/>
    <w:rsid w:val="00CB376B"/>
    <w:rsid w:val="00CB5430"/>
    <w:rsid w:val="00CB6EA4"/>
    <w:rsid w:val="00CB711D"/>
    <w:rsid w:val="00CC0018"/>
    <w:rsid w:val="00CC2A1F"/>
    <w:rsid w:val="00CC444E"/>
    <w:rsid w:val="00CC6958"/>
    <w:rsid w:val="00CD247B"/>
    <w:rsid w:val="00CD493F"/>
    <w:rsid w:val="00CD6D43"/>
    <w:rsid w:val="00CD711D"/>
    <w:rsid w:val="00CE0565"/>
    <w:rsid w:val="00CE29A0"/>
    <w:rsid w:val="00CE32B8"/>
    <w:rsid w:val="00CE36F5"/>
    <w:rsid w:val="00CE413C"/>
    <w:rsid w:val="00CE4377"/>
    <w:rsid w:val="00CE483A"/>
    <w:rsid w:val="00CE724B"/>
    <w:rsid w:val="00CE7FBD"/>
    <w:rsid w:val="00CF014B"/>
    <w:rsid w:val="00CF2948"/>
    <w:rsid w:val="00CF3793"/>
    <w:rsid w:val="00CF3ED9"/>
    <w:rsid w:val="00CF5796"/>
    <w:rsid w:val="00D014C8"/>
    <w:rsid w:val="00D045A8"/>
    <w:rsid w:val="00D04F32"/>
    <w:rsid w:val="00D05022"/>
    <w:rsid w:val="00D0703B"/>
    <w:rsid w:val="00D07E73"/>
    <w:rsid w:val="00D10D0F"/>
    <w:rsid w:val="00D1107C"/>
    <w:rsid w:val="00D1753B"/>
    <w:rsid w:val="00D20249"/>
    <w:rsid w:val="00D21C7F"/>
    <w:rsid w:val="00D2228E"/>
    <w:rsid w:val="00D232D6"/>
    <w:rsid w:val="00D234E4"/>
    <w:rsid w:val="00D25F31"/>
    <w:rsid w:val="00D268C4"/>
    <w:rsid w:val="00D3025E"/>
    <w:rsid w:val="00D33CE6"/>
    <w:rsid w:val="00D340E4"/>
    <w:rsid w:val="00D34946"/>
    <w:rsid w:val="00D352CF"/>
    <w:rsid w:val="00D37117"/>
    <w:rsid w:val="00D37885"/>
    <w:rsid w:val="00D40031"/>
    <w:rsid w:val="00D410F7"/>
    <w:rsid w:val="00D41645"/>
    <w:rsid w:val="00D424F2"/>
    <w:rsid w:val="00D42DDD"/>
    <w:rsid w:val="00D4355F"/>
    <w:rsid w:val="00D43FA7"/>
    <w:rsid w:val="00D45DCA"/>
    <w:rsid w:val="00D46F9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A0EE4"/>
    <w:rsid w:val="00DA2D24"/>
    <w:rsid w:val="00DA494E"/>
    <w:rsid w:val="00DB1E3D"/>
    <w:rsid w:val="00DB3374"/>
    <w:rsid w:val="00DB40CC"/>
    <w:rsid w:val="00DB458D"/>
    <w:rsid w:val="00DB50AC"/>
    <w:rsid w:val="00DB54AF"/>
    <w:rsid w:val="00DB5AF0"/>
    <w:rsid w:val="00DB5E90"/>
    <w:rsid w:val="00DB61CB"/>
    <w:rsid w:val="00DB6BD8"/>
    <w:rsid w:val="00DC02B3"/>
    <w:rsid w:val="00DC0787"/>
    <w:rsid w:val="00DC2570"/>
    <w:rsid w:val="00DD0463"/>
    <w:rsid w:val="00DD1AA1"/>
    <w:rsid w:val="00DD1D0D"/>
    <w:rsid w:val="00DD2059"/>
    <w:rsid w:val="00DD4232"/>
    <w:rsid w:val="00DD47F1"/>
    <w:rsid w:val="00DE312D"/>
    <w:rsid w:val="00DE50EF"/>
    <w:rsid w:val="00DE666A"/>
    <w:rsid w:val="00DE736D"/>
    <w:rsid w:val="00DF16A3"/>
    <w:rsid w:val="00DF35F7"/>
    <w:rsid w:val="00DF5EB7"/>
    <w:rsid w:val="00E01361"/>
    <w:rsid w:val="00E0232B"/>
    <w:rsid w:val="00E03BEF"/>
    <w:rsid w:val="00E04901"/>
    <w:rsid w:val="00E0491D"/>
    <w:rsid w:val="00E06273"/>
    <w:rsid w:val="00E12751"/>
    <w:rsid w:val="00E12DAE"/>
    <w:rsid w:val="00E14027"/>
    <w:rsid w:val="00E15C81"/>
    <w:rsid w:val="00E2287C"/>
    <w:rsid w:val="00E23EF9"/>
    <w:rsid w:val="00E24E8A"/>
    <w:rsid w:val="00E267E1"/>
    <w:rsid w:val="00E3074E"/>
    <w:rsid w:val="00E3131E"/>
    <w:rsid w:val="00E31529"/>
    <w:rsid w:val="00E33D85"/>
    <w:rsid w:val="00E36480"/>
    <w:rsid w:val="00E4476D"/>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905FA"/>
    <w:rsid w:val="00E90F4F"/>
    <w:rsid w:val="00E939BE"/>
    <w:rsid w:val="00E94F5C"/>
    <w:rsid w:val="00E9675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1562"/>
    <w:rsid w:val="00EE45F8"/>
    <w:rsid w:val="00EE72BF"/>
    <w:rsid w:val="00EF2693"/>
    <w:rsid w:val="00EF4375"/>
    <w:rsid w:val="00EF673E"/>
    <w:rsid w:val="00EF6F9B"/>
    <w:rsid w:val="00F00EFC"/>
    <w:rsid w:val="00F01D94"/>
    <w:rsid w:val="00F02B7C"/>
    <w:rsid w:val="00F03500"/>
    <w:rsid w:val="00F03A9F"/>
    <w:rsid w:val="00F059ED"/>
    <w:rsid w:val="00F06517"/>
    <w:rsid w:val="00F104A5"/>
    <w:rsid w:val="00F11B43"/>
    <w:rsid w:val="00F12A4C"/>
    <w:rsid w:val="00F12C83"/>
    <w:rsid w:val="00F13DAD"/>
    <w:rsid w:val="00F166AB"/>
    <w:rsid w:val="00F17069"/>
    <w:rsid w:val="00F2046E"/>
    <w:rsid w:val="00F209B6"/>
    <w:rsid w:val="00F230F8"/>
    <w:rsid w:val="00F23499"/>
    <w:rsid w:val="00F23F63"/>
    <w:rsid w:val="00F249AE"/>
    <w:rsid w:val="00F272E4"/>
    <w:rsid w:val="00F32275"/>
    <w:rsid w:val="00F33E4D"/>
    <w:rsid w:val="00F35345"/>
    <w:rsid w:val="00F367A2"/>
    <w:rsid w:val="00F40DE5"/>
    <w:rsid w:val="00F40F68"/>
    <w:rsid w:val="00F4152A"/>
    <w:rsid w:val="00F501D4"/>
    <w:rsid w:val="00F5181D"/>
    <w:rsid w:val="00F5205D"/>
    <w:rsid w:val="00F52216"/>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165"/>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C7600"/>
    <w:rsid w:val="00FD1885"/>
    <w:rsid w:val="00FD44D4"/>
    <w:rsid w:val="00FD66FD"/>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7754234">
      <w:bodyDiv w:val="1"/>
      <w:marLeft w:val="0"/>
      <w:marRight w:val="0"/>
      <w:marTop w:val="0"/>
      <w:marBottom w:val="0"/>
      <w:divBdr>
        <w:top w:val="none" w:sz="0" w:space="0" w:color="auto"/>
        <w:left w:val="none" w:sz="0" w:space="0" w:color="auto"/>
        <w:bottom w:val="none" w:sz="0" w:space="0" w:color="auto"/>
        <w:right w:val="none" w:sz="0" w:space="0" w:color="auto"/>
      </w:divBdr>
    </w:div>
    <w:div w:id="18823727">
      <w:bodyDiv w:val="1"/>
      <w:marLeft w:val="0"/>
      <w:marRight w:val="0"/>
      <w:marTop w:val="0"/>
      <w:marBottom w:val="0"/>
      <w:divBdr>
        <w:top w:val="none" w:sz="0" w:space="0" w:color="auto"/>
        <w:left w:val="none" w:sz="0" w:space="0" w:color="auto"/>
        <w:bottom w:val="none" w:sz="0" w:space="0" w:color="auto"/>
        <w:right w:val="none" w:sz="0" w:space="0" w:color="auto"/>
      </w:divBdr>
      <w:divsChild>
        <w:div w:id="590159811">
          <w:marLeft w:val="0"/>
          <w:marRight w:val="0"/>
          <w:marTop w:val="0"/>
          <w:marBottom w:val="480"/>
          <w:divBdr>
            <w:top w:val="none" w:sz="0" w:space="0" w:color="auto"/>
            <w:left w:val="none" w:sz="0" w:space="0" w:color="auto"/>
            <w:bottom w:val="none" w:sz="0" w:space="0" w:color="auto"/>
            <w:right w:val="none" w:sz="0" w:space="0" w:color="auto"/>
          </w:divBdr>
        </w:div>
      </w:divsChild>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199057410">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428047964">
          <w:marLeft w:val="0"/>
          <w:marRight w:val="0"/>
          <w:marTop w:val="0"/>
          <w:marBottom w:val="0"/>
          <w:divBdr>
            <w:top w:val="none" w:sz="0" w:space="0" w:color="auto"/>
            <w:left w:val="none" w:sz="0" w:space="0" w:color="auto"/>
            <w:bottom w:val="none" w:sz="0" w:space="0" w:color="auto"/>
            <w:right w:val="none" w:sz="0" w:space="0" w:color="auto"/>
          </w:divBdr>
        </w:div>
        <w:div w:id="948314148">
          <w:marLeft w:val="0"/>
          <w:marRight w:val="0"/>
          <w:marTop w:val="171"/>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38091715">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11581808">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563521078">
      <w:bodyDiv w:val="1"/>
      <w:marLeft w:val="0"/>
      <w:marRight w:val="0"/>
      <w:marTop w:val="0"/>
      <w:marBottom w:val="0"/>
      <w:divBdr>
        <w:top w:val="none" w:sz="0" w:space="0" w:color="auto"/>
        <w:left w:val="none" w:sz="0" w:space="0" w:color="auto"/>
        <w:bottom w:val="none" w:sz="0" w:space="0" w:color="auto"/>
        <w:right w:val="none" w:sz="0" w:space="0" w:color="auto"/>
      </w:divBdr>
    </w:div>
    <w:div w:id="1601136566">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670253221">
      <w:bodyDiv w:val="1"/>
      <w:marLeft w:val="0"/>
      <w:marRight w:val="0"/>
      <w:marTop w:val="0"/>
      <w:marBottom w:val="0"/>
      <w:divBdr>
        <w:top w:val="none" w:sz="0" w:space="0" w:color="auto"/>
        <w:left w:val="none" w:sz="0" w:space="0" w:color="auto"/>
        <w:bottom w:val="none" w:sz="0" w:space="0" w:color="auto"/>
        <w:right w:val="none" w:sz="0" w:space="0" w:color="auto"/>
      </w:divBdr>
      <w:divsChild>
        <w:div w:id="1934895336">
          <w:marLeft w:val="0"/>
          <w:marRight w:val="0"/>
          <w:marTop w:val="480"/>
          <w:marBottom w:val="480"/>
          <w:divBdr>
            <w:top w:val="none" w:sz="0" w:space="0" w:color="auto"/>
            <w:left w:val="none" w:sz="0" w:space="0" w:color="auto"/>
            <w:bottom w:val="none" w:sz="0" w:space="0" w:color="auto"/>
            <w:right w:val="none" w:sz="0" w:space="0" w:color="auto"/>
          </w:divBdr>
        </w:div>
        <w:div w:id="1465737195">
          <w:marLeft w:val="0"/>
          <w:marRight w:val="0"/>
          <w:marTop w:val="240"/>
          <w:marBottom w:val="240"/>
          <w:divBdr>
            <w:top w:val="none" w:sz="0" w:space="0" w:color="auto"/>
            <w:left w:val="none" w:sz="0" w:space="0" w:color="auto"/>
            <w:bottom w:val="none" w:sz="0" w:space="0" w:color="auto"/>
            <w:right w:val="none" w:sz="0" w:space="0" w:color="auto"/>
          </w:divBdr>
        </w:div>
      </w:divsChild>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1979413393">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A04EF-44E7-47CE-922E-1B08C97E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7</Pages>
  <Words>1985</Words>
  <Characters>11716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Šmahelová Michala</dc:creator>
  <cp:keywords/>
  <dc:description/>
  <cp:lastModifiedBy>Matochová Michala</cp:lastModifiedBy>
  <cp:revision>70</cp:revision>
  <cp:lastPrinted>2021-05-07T12:57:00Z</cp:lastPrinted>
  <dcterms:created xsi:type="dcterms:W3CDTF">2020-10-30T13:20:00Z</dcterms:created>
  <dcterms:modified xsi:type="dcterms:W3CDTF">2021-06-07T07:49:00Z</dcterms:modified>
</cp:coreProperties>
</file>