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3038F">
      <w:pPr>
        <w:tabs>
          <w:tab w:val="center" w:pos="4536"/>
        </w:tabs>
        <w:rPr>
          <w:rFonts w:ascii="Tahoma" w:hAnsi="Tahoma" w:cs="Tahoma"/>
          <w:color w:val="000000" w:themeColor="text1"/>
          <w:sz w:val="20"/>
          <w:szCs w:val="20"/>
        </w:rPr>
      </w:pPr>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02F4C0D8" wp14:editId="0296D40C">
            <wp:simplePos x="0" y="0"/>
            <wp:positionH relativeFrom="column">
              <wp:posOffset>1170305</wp:posOffset>
            </wp:positionH>
            <wp:positionV relativeFrom="paragraph">
              <wp:posOffset>-545079</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r w:rsidR="0063038F">
        <w:rPr>
          <w:rFonts w:ascii="Tahoma" w:hAnsi="Tahoma" w:cs="Tahoma"/>
          <w:color w:val="000000" w:themeColor="text1"/>
          <w:sz w:val="20"/>
          <w:szCs w:val="20"/>
        </w:rPr>
        <w:tab/>
      </w:r>
    </w:p>
    <w:p w:rsidR="00661CF8" w:rsidRPr="00DB40CC" w:rsidRDefault="00661CF8" w:rsidP="00661CF8">
      <w:pPr>
        <w:rPr>
          <w:rFonts w:ascii="Tahoma" w:hAnsi="Tahoma" w:cs="Tahoma"/>
          <w:color w:val="000000" w:themeColor="text1"/>
          <w:sz w:val="20"/>
          <w:szCs w:val="20"/>
        </w:rPr>
      </w:pPr>
    </w:p>
    <w:p w:rsidR="00BC309F" w:rsidRDefault="00BC309F"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Default="00915456"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ÚNOR</w:t>
      </w:r>
      <w:r w:rsidR="004D60BB">
        <w:rPr>
          <w:rFonts w:ascii="Tahoma" w:hAnsi="Tahoma" w:cs="Tahoma"/>
          <w:b/>
          <w:color w:val="000000" w:themeColor="text1"/>
          <w:sz w:val="32"/>
          <w:szCs w:val="20"/>
        </w:rPr>
        <w:t xml:space="preserve"> 2021</w:t>
      </w:r>
    </w:p>
    <w:p w:rsidR="00BC309F" w:rsidRPr="00A31A51" w:rsidRDefault="00BC309F" w:rsidP="009B2451">
      <w:pPr>
        <w:pStyle w:val="Bezmezer"/>
        <w:spacing w:line="360" w:lineRule="auto"/>
        <w:jc w:val="center"/>
        <w:rPr>
          <w:rFonts w:ascii="Tahoma" w:hAnsi="Tahoma" w:cs="Tahoma"/>
          <w:b/>
          <w:color w:val="000000" w:themeColor="text1"/>
          <w:sz w:val="18"/>
          <w:szCs w:val="18"/>
        </w:rPr>
      </w:pPr>
    </w:p>
    <w:p w:rsidR="00661CF8" w:rsidRPr="00A31A51" w:rsidRDefault="00661CF8" w:rsidP="001311AC">
      <w:pPr>
        <w:pStyle w:val="Bezmezer"/>
        <w:spacing w:line="360" w:lineRule="auto"/>
        <w:jc w:val="both"/>
        <w:rPr>
          <w:rFonts w:ascii="Tahoma" w:hAnsi="Tahoma" w:cs="Tahoma"/>
          <w:b/>
          <w:color w:val="000000" w:themeColor="text1"/>
          <w:sz w:val="18"/>
          <w:szCs w:val="18"/>
        </w:rPr>
      </w:pPr>
      <w:r w:rsidRPr="00A31A51">
        <w:rPr>
          <w:rFonts w:ascii="Tahoma" w:hAnsi="Tahoma" w:cs="Tahoma"/>
          <w:b/>
          <w:color w:val="000000" w:themeColor="text1"/>
          <w:sz w:val="18"/>
          <w:szCs w:val="18"/>
        </w:rPr>
        <w:t xml:space="preserve">I. Platné právní předpisy vyhlášené ve Sbírce zákonů </w:t>
      </w:r>
    </w:p>
    <w:p w:rsidR="00462BA8" w:rsidRDefault="00462BA8" w:rsidP="00462BA8">
      <w:pPr>
        <w:pStyle w:val="Bezmezer"/>
        <w:spacing w:line="360" w:lineRule="auto"/>
        <w:ind w:left="786"/>
        <w:jc w:val="both"/>
        <w:rPr>
          <w:rFonts w:ascii="Tahoma" w:hAnsi="Tahoma" w:cs="Tahoma"/>
          <w:i/>
          <w:color w:val="000000" w:themeColor="text1"/>
          <w:sz w:val="18"/>
          <w:szCs w:val="18"/>
        </w:rPr>
      </w:pPr>
    </w:p>
    <w:p w:rsidR="004E29F2" w:rsidRPr="00462BA8" w:rsidRDefault="00411B48" w:rsidP="00462BA8">
      <w:pPr>
        <w:pStyle w:val="Bezmezer"/>
        <w:spacing w:line="360" w:lineRule="auto"/>
        <w:ind w:left="786"/>
        <w:jc w:val="both"/>
        <w:rPr>
          <w:rFonts w:ascii="Tahoma" w:hAnsi="Tahoma" w:cs="Tahoma"/>
          <w:b/>
          <w:i/>
          <w:color w:val="000000" w:themeColor="text1"/>
          <w:sz w:val="18"/>
          <w:szCs w:val="18"/>
        </w:rPr>
      </w:pPr>
      <w:r w:rsidRPr="00462BA8">
        <w:rPr>
          <w:rFonts w:ascii="Tahoma" w:hAnsi="Tahoma" w:cs="Tahoma"/>
          <w:i/>
          <w:color w:val="000000" w:themeColor="text1"/>
          <w:sz w:val="18"/>
          <w:szCs w:val="18"/>
        </w:rPr>
        <w:t>Ve sledovaném období nebyly vydány žádné relevantní právní předpisy mající dopad na aktivity společnosti ČEPRO.</w:t>
      </w:r>
    </w:p>
    <w:p w:rsidR="00020DD5" w:rsidRDefault="00020DD5" w:rsidP="008D5292">
      <w:pPr>
        <w:pStyle w:val="Bezmezer"/>
        <w:spacing w:line="360" w:lineRule="auto"/>
        <w:ind w:left="708"/>
        <w:jc w:val="both"/>
        <w:rPr>
          <w:rFonts w:ascii="Tahoma" w:hAnsi="Tahoma" w:cs="Tahoma"/>
          <w:b/>
          <w:i/>
          <w:color w:val="000000" w:themeColor="text1"/>
          <w:sz w:val="18"/>
          <w:szCs w:val="18"/>
        </w:rPr>
      </w:pPr>
    </w:p>
    <w:p w:rsidR="008D5292" w:rsidRPr="002C4C4F" w:rsidRDefault="002C4C4F" w:rsidP="008D5292">
      <w:pPr>
        <w:pStyle w:val="Bezmezer"/>
        <w:spacing w:line="360" w:lineRule="auto"/>
        <w:ind w:left="708"/>
        <w:jc w:val="both"/>
        <w:rPr>
          <w:rFonts w:ascii="Tahoma" w:hAnsi="Tahoma" w:cs="Tahoma"/>
          <w:b/>
          <w:i/>
          <w:color w:val="000000" w:themeColor="text1"/>
          <w:sz w:val="18"/>
          <w:szCs w:val="18"/>
        </w:rPr>
      </w:pPr>
      <w:r w:rsidRPr="002C4C4F">
        <w:rPr>
          <w:rFonts w:ascii="Tahoma" w:hAnsi="Tahoma" w:cs="Tahoma"/>
          <w:b/>
          <w:i/>
          <w:color w:val="000000" w:themeColor="text1"/>
          <w:sz w:val="18"/>
          <w:szCs w:val="18"/>
        </w:rPr>
        <w:t>Legislativní opatření vydávaná v souvislosti s pandemií COVID-19 jsou evidována v přiložené sestavě.</w:t>
      </w:r>
    </w:p>
    <w:p w:rsidR="00F23F63" w:rsidRPr="00A31A51" w:rsidRDefault="00F23F63" w:rsidP="00F23F63">
      <w:pPr>
        <w:pStyle w:val="Bezmezer"/>
        <w:spacing w:line="360" w:lineRule="auto"/>
        <w:ind w:left="1070"/>
        <w:jc w:val="both"/>
        <w:rPr>
          <w:rFonts w:ascii="Tahoma" w:hAnsi="Tahoma" w:cs="Tahoma"/>
          <w:color w:val="000000" w:themeColor="text1"/>
          <w:sz w:val="18"/>
          <w:szCs w:val="18"/>
        </w:rPr>
      </w:pPr>
    </w:p>
    <w:p w:rsidR="00661CF8" w:rsidRPr="005E6591" w:rsidRDefault="00661CF8" w:rsidP="001311AC">
      <w:pPr>
        <w:pStyle w:val="Bezmezer"/>
        <w:spacing w:line="360" w:lineRule="auto"/>
        <w:jc w:val="both"/>
        <w:rPr>
          <w:rFonts w:ascii="Tahoma" w:hAnsi="Tahoma" w:cs="Tahoma"/>
          <w:b/>
          <w:color w:val="000000" w:themeColor="text1"/>
          <w:sz w:val="18"/>
          <w:szCs w:val="18"/>
        </w:rPr>
      </w:pPr>
      <w:r w:rsidRPr="005E6591">
        <w:rPr>
          <w:rFonts w:ascii="Tahoma" w:hAnsi="Tahoma" w:cs="Tahoma"/>
          <w:b/>
          <w:color w:val="000000" w:themeColor="text1"/>
          <w:sz w:val="18"/>
          <w:szCs w:val="18"/>
        </w:rPr>
        <w:t>II. Připravovaná legislativa</w:t>
      </w:r>
    </w:p>
    <w:p w:rsidR="000B6E81" w:rsidRPr="005E6591" w:rsidRDefault="000B6E81" w:rsidP="005906EB">
      <w:pPr>
        <w:pStyle w:val="Bezmezer"/>
        <w:numPr>
          <w:ilvl w:val="0"/>
          <w:numId w:val="27"/>
        </w:numPr>
        <w:spacing w:line="360" w:lineRule="auto"/>
        <w:jc w:val="both"/>
        <w:rPr>
          <w:rFonts w:ascii="Tahoma" w:hAnsi="Tahoma" w:cs="Tahoma"/>
          <w:b/>
          <w:color w:val="000000" w:themeColor="text1"/>
          <w:sz w:val="18"/>
          <w:szCs w:val="18"/>
        </w:rPr>
      </w:pPr>
      <w:r w:rsidRPr="005E6591">
        <w:rPr>
          <w:rFonts w:ascii="Tahoma" w:hAnsi="Tahoma" w:cs="Tahoma"/>
          <w:b/>
          <w:color w:val="000000" w:themeColor="text1"/>
          <w:sz w:val="18"/>
          <w:szCs w:val="18"/>
        </w:rPr>
        <w:t>Výstupy</w:t>
      </w:r>
    </w:p>
    <w:p w:rsidR="002535C7" w:rsidRDefault="00462BA8" w:rsidP="00462BA8">
      <w:pPr>
        <w:pStyle w:val="Bezmezer"/>
        <w:numPr>
          <w:ilvl w:val="0"/>
          <w:numId w:val="2"/>
        </w:numPr>
        <w:spacing w:line="360" w:lineRule="auto"/>
        <w:jc w:val="both"/>
        <w:rPr>
          <w:rFonts w:ascii="Tahoma" w:hAnsi="Tahoma" w:cs="Tahoma"/>
          <w:color w:val="000000" w:themeColor="text1"/>
          <w:sz w:val="18"/>
          <w:szCs w:val="18"/>
        </w:rPr>
      </w:pPr>
      <w:r w:rsidRPr="00462BA8">
        <w:rPr>
          <w:rFonts w:ascii="Tahoma" w:hAnsi="Tahoma" w:cs="Tahoma"/>
          <w:color w:val="000000" w:themeColor="text1"/>
          <w:sz w:val="18"/>
          <w:szCs w:val="18"/>
        </w:rPr>
        <w:t>Návrh vyhlášky, kterou se mění vyhláška č. 428/2001 Sb., kterou se provádí zákon č. 274/2001 Sb., o vodovodech a kanalizacích pro veřejnou potřebu a o změně některých zákonů (zákon o vodovodech a kanalizacích)</w:t>
      </w:r>
    </w:p>
    <w:p w:rsidR="00462BA8" w:rsidRPr="006D5353" w:rsidRDefault="00462BA8" w:rsidP="00462BA8">
      <w:pPr>
        <w:pStyle w:val="Bezmezer"/>
        <w:spacing w:line="360" w:lineRule="auto"/>
        <w:ind w:left="786"/>
        <w:jc w:val="both"/>
        <w:rPr>
          <w:rFonts w:ascii="Tahoma" w:hAnsi="Tahoma" w:cs="Tahoma"/>
          <w:color w:val="000000" w:themeColor="text1"/>
          <w:sz w:val="18"/>
          <w:szCs w:val="18"/>
        </w:rPr>
      </w:pPr>
    </w:p>
    <w:p w:rsidR="004A3DCA" w:rsidRPr="008A3723" w:rsidRDefault="004A3DCA" w:rsidP="005906EB">
      <w:pPr>
        <w:pStyle w:val="Bezmezer"/>
        <w:numPr>
          <w:ilvl w:val="0"/>
          <w:numId w:val="27"/>
        </w:numPr>
        <w:spacing w:line="360" w:lineRule="auto"/>
        <w:jc w:val="both"/>
        <w:rPr>
          <w:rFonts w:ascii="Tahoma" w:hAnsi="Tahoma" w:cs="Tahoma"/>
          <w:b/>
          <w:color w:val="000000" w:themeColor="text1"/>
          <w:sz w:val="18"/>
          <w:szCs w:val="18"/>
        </w:rPr>
      </w:pPr>
      <w:r w:rsidRPr="008A3723">
        <w:rPr>
          <w:rFonts w:ascii="Tahoma" w:hAnsi="Tahoma" w:cs="Tahoma"/>
          <w:b/>
          <w:color w:val="000000" w:themeColor="text1"/>
          <w:sz w:val="18"/>
          <w:szCs w:val="18"/>
        </w:rPr>
        <w:t>Zadání</w:t>
      </w:r>
    </w:p>
    <w:p w:rsidR="008561A8" w:rsidRDefault="00462BA8" w:rsidP="00671D1B">
      <w:pPr>
        <w:pStyle w:val="Odstavecseseznamem"/>
        <w:numPr>
          <w:ilvl w:val="0"/>
          <w:numId w:val="2"/>
        </w:numPr>
        <w:jc w:val="both"/>
        <w:rPr>
          <w:rFonts w:ascii="Tahoma" w:hAnsi="Tahoma" w:cs="Tahoma"/>
          <w:color w:val="000000" w:themeColor="text1"/>
          <w:sz w:val="18"/>
          <w:szCs w:val="18"/>
        </w:rPr>
      </w:pPr>
      <w:r w:rsidRPr="00462BA8">
        <w:rPr>
          <w:rFonts w:ascii="Tahoma" w:hAnsi="Tahoma" w:cs="Tahoma"/>
          <w:color w:val="000000" w:themeColor="text1"/>
          <w:sz w:val="18"/>
          <w:szCs w:val="18"/>
        </w:rPr>
        <w:t>Pozměňovací návrh</w:t>
      </w:r>
      <w:r>
        <w:rPr>
          <w:rFonts w:ascii="Tahoma" w:hAnsi="Tahoma" w:cs="Tahoma"/>
          <w:color w:val="000000" w:themeColor="text1"/>
          <w:sz w:val="18"/>
          <w:szCs w:val="18"/>
        </w:rPr>
        <w:t>,</w:t>
      </w:r>
      <w:r w:rsidRPr="00462BA8">
        <w:rPr>
          <w:rFonts w:ascii="Tahoma" w:hAnsi="Tahoma" w:cs="Tahoma"/>
          <w:color w:val="000000" w:themeColor="text1"/>
          <w:sz w:val="18"/>
          <w:szCs w:val="18"/>
        </w:rPr>
        <w:t xml:space="preserve"> k vládnímu návrhu zákona, kterým se mění zákon č. 165/2012 Sb., o podporovaných zdrojích energie a o změně některých zákonů, ve znění pozdějších předpisů, a zákon č. 458/2000 Sb., o podmínkách podnikání a o výkonu státní správy v energetických odvětvích a o změně některých zákonů (energetický zákon), ve znění pozdějších předpisů</w:t>
      </w:r>
    </w:p>
    <w:p w:rsidR="002962A6" w:rsidRDefault="002962A6" w:rsidP="00671D1B">
      <w:pPr>
        <w:pStyle w:val="Odstavecseseznamem"/>
        <w:numPr>
          <w:ilvl w:val="0"/>
          <w:numId w:val="2"/>
        </w:numPr>
        <w:jc w:val="both"/>
        <w:rPr>
          <w:rFonts w:ascii="Tahoma" w:hAnsi="Tahoma" w:cs="Tahoma"/>
          <w:color w:val="000000" w:themeColor="text1"/>
          <w:sz w:val="18"/>
          <w:szCs w:val="18"/>
        </w:rPr>
      </w:pPr>
      <w:r>
        <w:rPr>
          <w:rFonts w:ascii="Tahoma" w:hAnsi="Tahoma" w:cs="Tahoma"/>
          <w:color w:val="000000" w:themeColor="text1"/>
          <w:sz w:val="18"/>
          <w:szCs w:val="18"/>
        </w:rPr>
        <w:t>Novela zákona č. 262/2006 Sb., zákoník práce</w:t>
      </w:r>
    </w:p>
    <w:p w:rsidR="00462BA8" w:rsidRPr="00462BA8" w:rsidRDefault="00462BA8" w:rsidP="00462BA8">
      <w:pPr>
        <w:pStyle w:val="Odstavecseseznamem"/>
        <w:ind w:left="786"/>
        <w:rPr>
          <w:rFonts w:ascii="Tahoma" w:hAnsi="Tahoma" w:cs="Tahoma"/>
          <w:color w:val="000000" w:themeColor="text1"/>
          <w:sz w:val="18"/>
          <w:szCs w:val="18"/>
        </w:rPr>
      </w:pPr>
    </w:p>
    <w:p w:rsidR="00BA315A" w:rsidRPr="008561A8" w:rsidRDefault="00BA315A" w:rsidP="00BA315A">
      <w:pPr>
        <w:pStyle w:val="Bezmezer"/>
        <w:spacing w:line="360" w:lineRule="auto"/>
        <w:jc w:val="both"/>
        <w:rPr>
          <w:rFonts w:ascii="Tahoma" w:hAnsi="Tahoma" w:cs="Tahoma"/>
          <w:b/>
          <w:color w:val="000000" w:themeColor="text1"/>
          <w:sz w:val="18"/>
          <w:szCs w:val="18"/>
        </w:rPr>
      </w:pPr>
      <w:r w:rsidRPr="008561A8">
        <w:rPr>
          <w:rFonts w:ascii="Tahoma" w:hAnsi="Tahoma" w:cs="Tahoma"/>
          <w:b/>
          <w:color w:val="000000" w:themeColor="text1"/>
          <w:sz w:val="18"/>
          <w:szCs w:val="18"/>
        </w:rPr>
        <w:t>III. Aktuální judikatura a stanoviska</w:t>
      </w:r>
    </w:p>
    <w:p w:rsidR="00E4476D" w:rsidRPr="008561A8" w:rsidRDefault="00462BA8" w:rsidP="00E4476D">
      <w:pPr>
        <w:pStyle w:val="Bezmezer"/>
        <w:numPr>
          <w:ilvl w:val="0"/>
          <w:numId w:val="2"/>
        </w:numPr>
        <w:spacing w:line="360" w:lineRule="auto"/>
        <w:jc w:val="both"/>
        <w:rPr>
          <w:rFonts w:ascii="Tahoma" w:hAnsi="Tahoma" w:cs="Tahoma"/>
          <w:b/>
          <w:color w:val="000000" w:themeColor="text1"/>
          <w:sz w:val="18"/>
          <w:szCs w:val="18"/>
        </w:rPr>
      </w:pPr>
      <w:r>
        <w:rPr>
          <w:rFonts w:ascii="Tahoma" w:hAnsi="Tahoma" w:cs="Tahoma"/>
          <w:color w:val="000000" w:themeColor="text1"/>
          <w:sz w:val="18"/>
          <w:szCs w:val="18"/>
        </w:rPr>
        <w:t>Posouzení pohotovosti dle rozsahu omezení zaměstnance</w:t>
      </w:r>
    </w:p>
    <w:p w:rsidR="00CC2A1F" w:rsidRPr="008561A8" w:rsidRDefault="00462BA8" w:rsidP="00E4476D">
      <w:pPr>
        <w:pStyle w:val="Bezmezer"/>
        <w:numPr>
          <w:ilvl w:val="0"/>
          <w:numId w:val="2"/>
        </w:numPr>
        <w:spacing w:line="360" w:lineRule="auto"/>
        <w:jc w:val="both"/>
        <w:rPr>
          <w:rFonts w:ascii="Tahoma" w:hAnsi="Tahoma" w:cs="Tahoma"/>
          <w:b/>
          <w:color w:val="000000" w:themeColor="text1"/>
          <w:sz w:val="18"/>
          <w:szCs w:val="18"/>
        </w:rPr>
      </w:pPr>
      <w:r>
        <w:rPr>
          <w:rFonts w:ascii="Tahoma" w:hAnsi="Tahoma" w:cs="Tahoma"/>
          <w:color w:val="000000" w:themeColor="text1"/>
          <w:sz w:val="18"/>
          <w:szCs w:val="18"/>
        </w:rPr>
        <w:t>Úroky z prodlení mezi podnikateli a dobré mravy</w:t>
      </w:r>
    </w:p>
    <w:p w:rsidR="00FD66FD" w:rsidRDefault="00FD66FD" w:rsidP="00FD66FD">
      <w:pPr>
        <w:pStyle w:val="Bezmezer"/>
        <w:spacing w:line="360" w:lineRule="auto"/>
        <w:jc w:val="both"/>
        <w:rPr>
          <w:rFonts w:ascii="Tahoma" w:hAnsi="Tahoma" w:cs="Tahoma"/>
          <w:color w:val="000000" w:themeColor="text1"/>
          <w:sz w:val="20"/>
          <w:szCs w:val="20"/>
        </w:rPr>
      </w:pPr>
    </w:p>
    <w:p w:rsidR="00020DD5" w:rsidRDefault="00020DD5" w:rsidP="00FD66FD">
      <w:pPr>
        <w:pStyle w:val="Bezmezer"/>
        <w:spacing w:line="360" w:lineRule="auto"/>
        <w:jc w:val="both"/>
        <w:rPr>
          <w:rFonts w:ascii="Tahoma" w:hAnsi="Tahoma" w:cs="Tahoma"/>
          <w:color w:val="000000" w:themeColor="text1"/>
          <w:sz w:val="20"/>
          <w:szCs w:val="20"/>
        </w:rPr>
      </w:pPr>
    </w:p>
    <w:p w:rsidR="00020DD5" w:rsidRDefault="00020DD5" w:rsidP="00FD66FD">
      <w:pPr>
        <w:pStyle w:val="Bezmezer"/>
        <w:spacing w:line="360" w:lineRule="auto"/>
        <w:jc w:val="both"/>
        <w:rPr>
          <w:rFonts w:ascii="Tahoma" w:hAnsi="Tahoma" w:cs="Tahoma"/>
          <w:color w:val="000000" w:themeColor="text1"/>
          <w:sz w:val="20"/>
          <w:szCs w:val="20"/>
        </w:rPr>
      </w:pPr>
    </w:p>
    <w:p w:rsidR="00020DD5" w:rsidRDefault="00020DD5" w:rsidP="00FD66FD">
      <w:pPr>
        <w:pStyle w:val="Bezmezer"/>
        <w:spacing w:line="360" w:lineRule="auto"/>
        <w:jc w:val="both"/>
        <w:rPr>
          <w:rFonts w:ascii="Tahoma" w:hAnsi="Tahoma" w:cs="Tahoma"/>
          <w:color w:val="000000" w:themeColor="text1"/>
          <w:sz w:val="20"/>
          <w:szCs w:val="20"/>
        </w:rPr>
      </w:pPr>
    </w:p>
    <w:p w:rsidR="00020DD5" w:rsidRDefault="00020DD5" w:rsidP="00FD66FD">
      <w:pPr>
        <w:pStyle w:val="Bezmezer"/>
        <w:spacing w:line="360" w:lineRule="auto"/>
        <w:jc w:val="both"/>
        <w:rPr>
          <w:rFonts w:ascii="Tahoma" w:hAnsi="Tahoma" w:cs="Tahoma"/>
          <w:color w:val="000000" w:themeColor="text1"/>
          <w:sz w:val="20"/>
          <w:szCs w:val="20"/>
        </w:rPr>
      </w:pPr>
    </w:p>
    <w:p w:rsidR="00020DD5" w:rsidRDefault="00020DD5" w:rsidP="00FD66FD">
      <w:pPr>
        <w:pStyle w:val="Bezmezer"/>
        <w:spacing w:line="360" w:lineRule="auto"/>
        <w:jc w:val="both"/>
        <w:rPr>
          <w:rFonts w:ascii="Tahoma" w:hAnsi="Tahoma" w:cs="Tahoma"/>
          <w:color w:val="000000" w:themeColor="text1"/>
          <w:sz w:val="20"/>
          <w:szCs w:val="20"/>
        </w:rPr>
      </w:pPr>
    </w:p>
    <w:p w:rsidR="00020DD5" w:rsidRDefault="00020DD5" w:rsidP="00FD66FD">
      <w:pPr>
        <w:pStyle w:val="Bezmezer"/>
        <w:spacing w:line="360" w:lineRule="auto"/>
        <w:jc w:val="both"/>
        <w:rPr>
          <w:rFonts w:ascii="Tahoma" w:hAnsi="Tahoma" w:cs="Tahoma"/>
          <w:color w:val="000000" w:themeColor="text1"/>
          <w:sz w:val="20"/>
          <w:szCs w:val="20"/>
        </w:rPr>
      </w:pPr>
    </w:p>
    <w:p w:rsidR="00020DD5" w:rsidRDefault="00020DD5" w:rsidP="00FD66FD">
      <w:pPr>
        <w:pStyle w:val="Bezmezer"/>
        <w:spacing w:line="360" w:lineRule="auto"/>
        <w:jc w:val="both"/>
        <w:rPr>
          <w:rFonts w:ascii="Tahoma" w:hAnsi="Tahoma" w:cs="Tahoma"/>
          <w:color w:val="000000" w:themeColor="text1"/>
          <w:sz w:val="20"/>
          <w:szCs w:val="20"/>
        </w:rPr>
      </w:pPr>
    </w:p>
    <w:p w:rsidR="00020DD5" w:rsidRDefault="00020DD5" w:rsidP="00FD66FD">
      <w:pPr>
        <w:pStyle w:val="Bezmezer"/>
        <w:spacing w:line="360" w:lineRule="auto"/>
        <w:jc w:val="both"/>
        <w:rPr>
          <w:rFonts w:ascii="Tahoma" w:hAnsi="Tahoma" w:cs="Tahoma"/>
          <w:color w:val="000000" w:themeColor="text1"/>
          <w:sz w:val="20"/>
          <w:szCs w:val="20"/>
        </w:rPr>
      </w:pPr>
    </w:p>
    <w:p w:rsidR="00BC27A0" w:rsidRPr="00DB40CC" w:rsidRDefault="00D232D6" w:rsidP="004A22A3">
      <w:pPr>
        <w:pStyle w:val="Bezmezer"/>
        <w:numPr>
          <w:ilvl w:val="0"/>
          <w:numId w:val="1"/>
        </w:numPr>
        <w:shd w:val="clear" w:color="auto" w:fill="CCFFCC"/>
        <w:spacing w:line="360" w:lineRule="auto"/>
        <w:jc w:val="center"/>
        <w:rPr>
          <w:rFonts w:ascii="Tahoma" w:hAnsi="Tahoma" w:cs="Tahoma"/>
          <w:b/>
          <w:sz w:val="28"/>
          <w:szCs w:val="20"/>
        </w:rPr>
      </w:pPr>
      <w:r>
        <w:rPr>
          <w:rFonts w:ascii="Tahoma" w:hAnsi="Tahoma" w:cs="Tahoma"/>
          <w:b/>
          <w:sz w:val="28"/>
          <w:szCs w:val="20"/>
        </w:rPr>
        <w:t>Pla</w:t>
      </w:r>
      <w:r w:rsidR="00BC27A0" w:rsidRPr="00DB40CC">
        <w:rPr>
          <w:rFonts w:ascii="Tahoma" w:hAnsi="Tahoma" w:cs="Tahoma"/>
          <w:b/>
          <w:sz w:val="28"/>
          <w:szCs w:val="20"/>
        </w:rPr>
        <w:t>tné právní předpisy vyhlášené ve Sbírce zákonů</w:t>
      </w:r>
    </w:p>
    <w:p w:rsidR="00400CA9" w:rsidRDefault="00400CA9" w:rsidP="00400CA9">
      <w:pPr>
        <w:pStyle w:val="Bezmezer"/>
        <w:spacing w:line="360" w:lineRule="auto"/>
        <w:jc w:val="center"/>
        <w:rPr>
          <w:rFonts w:ascii="Tahoma" w:hAnsi="Tahoma" w:cs="Tahoma"/>
          <w:color w:val="000000" w:themeColor="text1"/>
          <w:sz w:val="20"/>
          <w:szCs w:val="20"/>
        </w:rPr>
      </w:pPr>
    </w:p>
    <w:p w:rsidR="00462BA8" w:rsidRPr="00462BA8" w:rsidRDefault="00462BA8" w:rsidP="00462BA8">
      <w:pPr>
        <w:pStyle w:val="Bezmezer"/>
        <w:spacing w:line="360" w:lineRule="auto"/>
        <w:jc w:val="both"/>
        <w:rPr>
          <w:rFonts w:ascii="Tahoma" w:hAnsi="Tahoma" w:cs="Tahoma"/>
          <w:b/>
          <w:i/>
          <w:color w:val="000000" w:themeColor="text1"/>
          <w:sz w:val="18"/>
          <w:szCs w:val="18"/>
        </w:rPr>
      </w:pPr>
      <w:r w:rsidRPr="00462BA8">
        <w:rPr>
          <w:rFonts w:ascii="Tahoma" w:hAnsi="Tahoma" w:cs="Tahoma"/>
          <w:i/>
          <w:color w:val="000000" w:themeColor="text1"/>
          <w:sz w:val="18"/>
          <w:szCs w:val="18"/>
        </w:rPr>
        <w:t>Ve sledovaném období nebyly vydány žádné relevantní právní předpisy mající dopad na aktivity společnosti ČEPRO.</w:t>
      </w:r>
    </w:p>
    <w:p w:rsidR="00DD4232" w:rsidRDefault="00DD4232" w:rsidP="005906EB">
      <w:pPr>
        <w:pStyle w:val="Bezmezer"/>
        <w:numPr>
          <w:ilvl w:val="0"/>
          <w:numId w:val="28"/>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D4232" w:rsidRPr="00DB40CC" w:rsidRDefault="00DD4232" w:rsidP="00DD4232">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a</w:t>
      </w:r>
      <w:r w:rsidRPr="00914DDA">
        <w:rPr>
          <w:rFonts w:ascii="Tahoma" w:hAnsi="Tahoma" w:cs="Tahoma"/>
          <w:b/>
          <w:sz w:val="28"/>
          <w:szCs w:val="20"/>
        </w:rPr>
        <w:t>)</w:t>
      </w:r>
      <w:r>
        <w:rPr>
          <w:rFonts w:ascii="Tahoma" w:hAnsi="Tahoma" w:cs="Tahoma"/>
          <w:b/>
          <w:sz w:val="28"/>
          <w:szCs w:val="20"/>
        </w:rPr>
        <w:t xml:space="preserve"> výstupy</w:t>
      </w:r>
    </w:p>
    <w:p w:rsidR="00C55A70" w:rsidRDefault="00C55A70" w:rsidP="00DE312D">
      <w:pPr>
        <w:pStyle w:val="Bezmezer"/>
        <w:spacing w:line="360" w:lineRule="auto"/>
        <w:jc w:val="both"/>
        <w:rPr>
          <w:rFonts w:ascii="Tahoma" w:hAnsi="Tahoma" w:cs="Tahoma"/>
          <w:b/>
          <w:i/>
          <w:color w:val="000000" w:themeColor="text1"/>
          <w:sz w:val="18"/>
          <w:szCs w:val="18"/>
        </w:rPr>
      </w:pPr>
    </w:p>
    <w:p w:rsidR="00462BA8" w:rsidRPr="009C449E" w:rsidRDefault="00462BA8" w:rsidP="00462BA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462BA8">
        <w:rPr>
          <w:rStyle w:val="Hypertextovodkaz"/>
          <w:rFonts w:ascii="Tahoma" w:eastAsia="Times New Roman" w:hAnsi="Tahoma" w:cs="Tahoma"/>
          <w:b/>
          <w:bCs/>
          <w:color w:val="000000" w:themeColor="text1"/>
          <w:kern w:val="36"/>
          <w:sz w:val="24"/>
          <w:szCs w:val="24"/>
          <w:u w:val="none"/>
          <w:lang w:eastAsia="cs-CZ"/>
        </w:rPr>
        <w:t>Návrh vyhlášky, kterou se mění vyhláška č. 428/2001 Sb., kterou se provádí zákon č. 274/2001 Sb., o vodovodech a kanalizacích pro veřejnou potřebu a o změně některých zákonů (zákon o vodovodech a kanalizacích)</w:t>
      </w:r>
      <w:r w:rsidR="00F13DAD">
        <w:rPr>
          <w:rStyle w:val="Hypertextovodkaz"/>
          <w:rFonts w:ascii="Tahoma" w:eastAsia="Times New Roman" w:hAnsi="Tahoma" w:cs="Tahoma"/>
          <w:b/>
          <w:bCs/>
          <w:color w:val="000000" w:themeColor="text1"/>
          <w:kern w:val="36"/>
          <w:sz w:val="24"/>
          <w:szCs w:val="24"/>
          <w:u w:val="none"/>
          <w:lang w:eastAsia="cs-CZ"/>
        </w:rPr>
        <w:pict>
          <v:rect id="_x0000_i1025" style="width:0;height:1.5pt" o:hralign="center" o:hrstd="t" o:hr="t" fillcolor="#a0a0a0" stroked="f"/>
        </w:pict>
      </w:r>
    </w:p>
    <w:p w:rsidR="00462BA8" w:rsidRDefault="00462BA8" w:rsidP="00462BA8">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EKLEP </w:t>
      </w:r>
      <w:r w:rsidRPr="00462BA8">
        <w:rPr>
          <w:rStyle w:val="Hypertextovodkaz"/>
          <w:rFonts w:ascii="Tahoma" w:eastAsia="Times New Roman" w:hAnsi="Tahoma" w:cs="Tahoma"/>
          <w:bCs/>
          <w:color w:val="000000" w:themeColor="text1"/>
          <w:kern w:val="36"/>
          <w:sz w:val="20"/>
          <w:szCs w:val="20"/>
          <w:u w:val="none"/>
          <w:lang w:eastAsia="cs-CZ"/>
        </w:rPr>
        <w:t>ALBSBVBE5P3V</w:t>
      </w:r>
    </w:p>
    <w:p w:rsidR="00462BA8" w:rsidRDefault="00462BA8" w:rsidP="00462BA8">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Připomínkové řízení ukončeno</w:t>
      </w:r>
    </w:p>
    <w:p w:rsidR="007F577D" w:rsidRPr="007F577D" w:rsidRDefault="007F577D" w:rsidP="007F577D">
      <w:pPr>
        <w:pStyle w:val="Bezmezer"/>
        <w:jc w:val="both"/>
        <w:rPr>
          <w:rStyle w:val="Hypertextovodkaz"/>
          <w:rFonts w:ascii="Tahoma" w:eastAsia="Times New Roman" w:hAnsi="Tahoma" w:cs="Tahoma"/>
          <w:bCs/>
          <w:color w:val="000000" w:themeColor="text1"/>
          <w:kern w:val="36"/>
          <w:sz w:val="20"/>
          <w:szCs w:val="20"/>
          <w:u w:val="none"/>
          <w:lang w:eastAsia="cs-CZ"/>
        </w:rPr>
      </w:pPr>
    </w:p>
    <w:p w:rsidR="008829CA" w:rsidRDefault="007F577D" w:rsidP="007F577D">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7F577D">
        <w:rPr>
          <w:rStyle w:val="Hypertextovodkaz"/>
          <w:rFonts w:ascii="Tahoma" w:eastAsia="Times New Roman" w:hAnsi="Tahoma" w:cs="Tahoma"/>
          <w:bCs/>
          <w:color w:val="000000" w:themeColor="text1"/>
          <w:kern w:val="36"/>
          <w:sz w:val="20"/>
          <w:szCs w:val="20"/>
          <w:u w:val="none"/>
          <w:lang w:eastAsia="cs-CZ"/>
        </w:rPr>
        <w:t>Cílem navrhované úpravy je zejména reagovat na změny vodního zákona a stanovit technické podmínky pro stavbu a provoz odlehčovacích komor, reagovat na změny zákona o zeměměřictví a stanovit jednoznačnou specifikaci rozsahu dat poskytovaných pro potřeby agendy oboru vodovodů a kanalizací, prodloužit platnost stávajícího dlouhodobého srážkového normálu využívaného pro výpočet množství srážkových vod odváděných do kanalizace, stanovit jednoznačná pravidla pro realizaci plánu financování obnovy vodovodů a kanalizací, provázat výpočet ceny pro vodné a pro stočné s účetními předpisy a aplikovat poznatky z kontrol a praxe.</w:t>
      </w:r>
    </w:p>
    <w:p w:rsidR="007F577D" w:rsidRDefault="007F577D" w:rsidP="007F577D">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7F577D" w:rsidRDefault="007F577D" w:rsidP="007F577D">
      <w:pPr>
        <w:pStyle w:val="Bezmezer"/>
        <w:shd w:val="clear" w:color="auto" w:fill="D9D9D9" w:themeFill="background1" w:themeFillShade="D9"/>
        <w:spacing w:line="276" w:lineRule="auto"/>
        <w:jc w:val="both"/>
        <w:rPr>
          <w:rStyle w:val="Hypertextovodkaz"/>
          <w:rFonts w:ascii="Tahoma" w:eastAsia="Times New Roman" w:hAnsi="Tahoma" w:cs="Tahoma"/>
          <w:b/>
          <w:bCs/>
          <w:i/>
          <w:color w:val="000000" w:themeColor="text1"/>
          <w:kern w:val="36"/>
          <w:sz w:val="20"/>
          <w:szCs w:val="20"/>
          <w:u w:val="none"/>
          <w:lang w:eastAsia="cs-CZ"/>
        </w:rPr>
      </w:pPr>
      <w:r w:rsidRPr="0091029A">
        <w:rPr>
          <w:rStyle w:val="Hypertextovodkaz"/>
          <w:rFonts w:ascii="Tahoma" w:eastAsia="Times New Roman" w:hAnsi="Tahoma" w:cs="Tahoma"/>
          <w:b/>
          <w:bCs/>
          <w:i/>
          <w:color w:val="000000" w:themeColor="text1"/>
          <w:kern w:val="36"/>
          <w:sz w:val="20"/>
          <w:szCs w:val="20"/>
          <w:u w:val="none"/>
          <w:lang w:eastAsia="cs-CZ"/>
        </w:rPr>
        <w:t xml:space="preserve">Závěr věcné analýzy ze strany </w:t>
      </w:r>
      <w:r>
        <w:rPr>
          <w:rStyle w:val="Hypertextovodkaz"/>
          <w:rFonts w:ascii="Tahoma" w:eastAsia="Times New Roman" w:hAnsi="Tahoma" w:cs="Tahoma"/>
          <w:b/>
          <w:bCs/>
          <w:i/>
          <w:color w:val="000000" w:themeColor="text1"/>
          <w:kern w:val="36"/>
          <w:sz w:val="20"/>
          <w:szCs w:val="20"/>
          <w:u w:val="none"/>
          <w:lang w:eastAsia="cs-CZ"/>
        </w:rPr>
        <w:t>OHSE:</w:t>
      </w:r>
    </w:p>
    <w:p w:rsidR="007F577D" w:rsidRDefault="007F577D" w:rsidP="007F577D">
      <w:pPr>
        <w:pStyle w:val="Bezmezer"/>
        <w:shd w:val="clear" w:color="auto" w:fill="D9D9D9" w:themeFill="background1" w:themeFillShade="D9"/>
        <w:spacing w:line="276" w:lineRule="auto"/>
        <w:jc w:val="both"/>
        <w:rPr>
          <w:rStyle w:val="Hypertextovodkaz"/>
          <w:rFonts w:ascii="Tahoma" w:eastAsia="Times New Roman" w:hAnsi="Tahoma" w:cs="Tahoma"/>
          <w:b/>
          <w:bCs/>
          <w:i/>
          <w:color w:val="000000" w:themeColor="text1"/>
          <w:kern w:val="36"/>
          <w:sz w:val="20"/>
          <w:szCs w:val="20"/>
          <w:u w:val="none"/>
          <w:lang w:eastAsia="cs-CZ"/>
        </w:rPr>
      </w:pPr>
    </w:p>
    <w:p w:rsidR="007F577D" w:rsidRDefault="007F577D" w:rsidP="007F577D">
      <w:pPr>
        <w:pStyle w:val="Bezmezer"/>
        <w:shd w:val="clear" w:color="auto" w:fill="D9D9D9" w:themeFill="background1" w:themeFillShade="D9"/>
        <w:spacing w:line="276" w:lineRule="auto"/>
        <w:jc w:val="both"/>
        <w:rPr>
          <w:rStyle w:val="Hypertextovodkaz"/>
          <w:rFonts w:ascii="Tahoma" w:eastAsia="Times New Roman" w:hAnsi="Tahoma" w:cs="Tahoma"/>
          <w:b/>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V případě přijetí vyhlášky je nutné reagovat na níže uvedené změny a provést definované opatření.</w:t>
      </w:r>
    </w:p>
    <w:p w:rsidR="007F577D" w:rsidRDefault="007F577D" w:rsidP="007F577D">
      <w:pPr>
        <w:pStyle w:val="Bezmezer"/>
        <w:shd w:val="clear" w:color="auto" w:fill="D9D9D9" w:themeFill="background1" w:themeFillShade="D9"/>
        <w:spacing w:line="276" w:lineRule="auto"/>
        <w:jc w:val="both"/>
        <w:rPr>
          <w:rStyle w:val="Hypertextovodkaz"/>
          <w:rFonts w:ascii="Tahoma" w:eastAsia="Times New Roman" w:hAnsi="Tahoma" w:cs="Tahoma"/>
          <w:b/>
          <w:bCs/>
          <w:i/>
          <w:color w:val="000000" w:themeColor="text1"/>
          <w:kern w:val="36"/>
          <w:sz w:val="20"/>
          <w:szCs w:val="20"/>
          <w:u w:val="none"/>
          <w:lang w:eastAsia="cs-CZ"/>
        </w:rPr>
      </w:pPr>
    </w:p>
    <w:p w:rsidR="007F577D" w:rsidRDefault="007F577D" w:rsidP="007F577D">
      <w:pPr>
        <w:pStyle w:val="Bezmezer"/>
        <w:shd w:val="clear" w:color="auto" w:fill="D9D9D9" w:themeFill="background1" w:themeFillShade="D9"/>
        <w:spacing w:line="276" w:lineRule="auto"/>
        <w:jc w:val="both"/>
        <w:rPr>
          <w:rStyle w:val="Hypertextovodkaz"/>
          <w:rFonts w:ascii="Tahoma" w:eastAsia="Times New Roman" w:hAnsi="Tahoma" w:cs="Tahoma"/>
          <w:b/>
          <w:bCs/>
          <w:i/>
          <w:color w:val="000000" w:themeColor="text1"/>
          <w:kern w:val="36"/>
          <w:sz w:val="20"/>
          <w:szCs w:val="20"/>
          <w:u w:val="none"/>
          <w:lang w:eastAsia="cs-CZ"/>
        </w:rPr>
      </w:pPr>
    </w:p>
    <w:p w:rsidR="007F577D" w:rsidRDefault="007F577D" w:rsidP="007F577D">
      <w:pPr>
        <w:pStyle w:val="Bezmezer"/>
        <w:shd w:val="clear" w:color="auto" w:fill="D9D9D9" w:themeFill="background1" w:themeFillShade="D9"/>
        <w:spacing w:line="276" w:lineRule="auto"/>
        <w:jc w:val="both"/>
        <w:rPr>
          <w:rStyle w:val="Hypertextovodkaz"/>
          <w:rFonts w:ascii="Tahoma" w:eastAsia="Times New Roman" w:hAnsi="Tahoma" w:cs="Tahoma"/>
          <w:b/>
          <w:bCs/>
          <w:i/>
          <w:color w:val="000000" w:themeColor="text1"/>
          <w:kern w:val="36"/>
          <w:sz w:val="20"/>
          <w:szCs w:val="20"/>
          <w:u w:val="none"/>
          <w:lang w:eastAsia="cs-CZ"/>
        </w:rPr>
      </w:pPr>
    </w:p>
    <w:tbl>
      <w:tblPr>
        <w:tblW w:w="0" w:type="auto"/>
        <w:tblInd w:w="108" w:type="dxa"/>
        <w:shd w:val="clear" w:color="auto" w:fill="D9D9D9" w:themeFill="background1" w:themeFillShade="D9"/>
        <w:tblCellMar>
          <w:left w:w="0" w:type="dxa"/>
          <w:right w:w="0" w:type="dxa"/>
        </w:tblCellMar>
        <w:tblLook w:val="04A0" w:firstRow="1" w:lastRow="0" w:firstColumn="1" w:lastColumn="0" w:noHBand="0" w:noVBand="1"/>
      </w:tblPr>
      <w:tblGrid>
        <w:gridCol w:w="3187"/>
        <w:gridCol w:w="4719"/>
        <w:gridCol w:w="1166"/>
      </w:tblGrid>
      <w:tr w:rsidR="007F577D" w:rsidRPr="007F577D" w:rsidTr="007F577D">
        <w:tc>
          <w:tcPr>
            <w:tcW w:w="318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7F577D" w:rsidRPr="007F577D" w:rsidRDefault="007F577D">
            <w:pPr>
              <w:rPr>
                <w:rFonts w:ascii="Arial" w:hAnsi="Arial" w:cs="Arial"/>
                <w:b/>
                <w:bCs/>
                <w:color w:val="000000" w:themeColor="text1"/>
              </w:rPr>
            </w:pPr>
            <w:r w:rsidRPr="007F577D">
              <w:rPr>
                <w:rFonts w:ascii="Arial" w:hAnsi="Arial" w:cs="Arial"/>
                <w:b/>
                <w:bCs/>
                <w:color w:val="000000" w:themeColor="text1"/>
              </w:rPr>
              <w:t>Změna</w:t>
            </w:r>
          </w:p>
        </w:tc>
        <w:tc>
          <w:tcPr>
            <w:tcW w:w="471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7F577D" w:rsidRPr="007F577D" w:rsidRDefault="007F577D">
            <w:pPr>
              <w:rPr>
                <w:rFonts w:ascii="Arial" w:hAnsi="Arial" w:cs="Arial"/>
                <w:b/>
                <w:bCs/>
                <w:color w:val="000000" w:themeColor="text1"/>
              </w:rPr>
            </w:pPr>
            <w:r w:rsidRPr="007F577D">
              <w:rPr>
                <w:rFonts w:ascii="Arial" w:hAnsi="Arial" w:cs="Arial"/>
                <w:b/>
                <w:bCs/>
                <w:color w:val="000000" w:themeColor="text1"/>
              </w:rPr>
              <w:t xml:space="preserve">Opatření </w:t>
            </w:r>
          </w:p>
        </w:tc>
        <w:tc>
          <w:tcPr>
            <w:tcW w:w="116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7F577D" w:rsidRPr="007F577D" w:rsidRDefault="007F577D">
            <w:pPr>
              <w:rPr>
                <w:rFonts w:ascii="Arial" w:hAnsi="Arial" w:cs="Arial"/>
                <w:b/>
                <w:bCs/>
                <w:color w:val="000000" w:themeColor="text1"/>
              </w:rPr>
            </w:pPr>
            <w:r w:rsidRPr="007F577D">
              <w:rPr>
                <w:rFonts w:ascii="Arial" w:hAnsi="Arial" w:cs="Arial"/>
                <w:b/>
                <w:bCs/>
                <w:color w:val="000000" w:themeColor="text1"/>
              </w:rPr>
              <w:t xml:space="preserve">Úkol </w:t>
            </w:r>
          </w:p>
        </w:tc>
      </w:tr>
      <w:tr w:rsidR="007F577D" w:rsidRPr="007F577D" w:rsidTr="007F577D">
        <w:tc>
          <w:tcPr>
            <w:tcW w:w="3187"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7F577D" w:rsidRPr="007F577D" w:rsidRDefault="007F577D">
            <w:pPr>
              <w:rPr>
                <w:rFonts w:ascii="Arial" w:hAnsi="Arial" w:cs="Arial"/>
                <w:color w:val="000000" w:themeColor="text1"/>
              </w:rPr>
            </w:pPr>
            <w:r w:rsidRPr="007F577D">
              <w:rPr>
                <w:rFonts w:ascii="Arial" w:hAnsi="Arial" w:cs="Arial"/>
                <w:color w:val="000000" w:themeColor="text1"/>
              </w:rPr>
              <w:t xml:space="preserve">Změna rozsahu vybraných údajů z provozní evidence vykazovaných vlastníkem </w:t>
            </w:r>
            <w:proofErr w:type="spellStart"/>
            <w:r w:rsidRPr="007F577D">
              <w:rPr>
                <w:rFonts w:ascii="Arial" w:hAnsi="Arial" w:cs="Arial"/>
                <w:color w:val="000000" w:themeColor="text1"/>
              </w:rPr>
              <w:t>VaK</w:t>
            </w:r>
            <w:proofErr w:type="spellEnd"/>
            <w:r w:rsidRPr="007F577D">
              <w:rPr>
                <w:rFonts w:ascii="Arial" w:hAnsi="Arial" w:cs="Arial"/>
                <w:color w:val="000000" w:themeColor="text1"/>
              </w:rPr>
              <w:t xml:space="preserve"> (§ 7 odst. 2 </w:t>
            </w:r>
            <w:proofErr w:type="spellStart"/>
            <w:r w:rsidRPr="007F577D">
              <w:rPr>
                <w:rFonts w:ascii="Arial" w:hAnsi="Arial" w:cs="Arial"/>
                <w:color w:val="000000" w:themeColor="text1"/>
              </w:rPr>
              <w:t>vyhl</w:t>
            </w:r>
            <w:proofErr w:type="spellEnd"/>
            <w:r w:rsidRPr="007F577D">
              <w:rPr>
                <w:rFonts w:ascii="Arial" w:hAnsi="Arial" w:cs="Arial"/>
                <w:color w:val="000000" w:themeColor="text1"/>
              </w:rPr>
              <w:t>.)</w:t>
            </w:r>
          </w:p>
        </w:tc>
        <w:tc>
          <w:tcPr>
            <w:tcW w:w="4719"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7F577D" w:rsidRPr="007F577D" w:rsidRDefault="007F577D">
            <w:pPr>
              <w:rPr>
                <w:rFonts w:ascii="Arial" w:hAnsi="Arial" w:cs="Arial"/>
                <w:color w:val="000000" w:themeColor="text1"/>
              </w:rPr>
            </w:pPr>
            <w:r w:rsidRPr="007F577D">
              <w:rPr>
                <w:rFonts w:ascii="Arial" w:hAnsi="Arial" w:cs="Arial"/>
                <w:color w:val="000000" w:themeColor="text1"/>
              </w:rPr>
              <w:t xml:space="preserve">Ohlášení vybraných údajů majetkové a provozní evidence </w:t>
            </w:r>
            <w:proofErr w:type="spellStart"/>
            <w:r w:rsidRPr="007F577D">
              <w:rPr>
                <w:rFonts w:ascii="Arial" w:hAnsi="Arial" w:cs="Arial"/>
                <w:color w:val="000000" w:themeColor="text1"/>
              </w:rPr>
              <w:t>VaK</w:t>
            </w:r>
            <w:proofErr w:type="spellEnd"/>
            <w:r w:rsidRPr="007F577D">
              <w:rPr>
                <w:rFonts w:ascii="Arial" w:hAnsi="Arial" w:cs="Arial"/>
                <w:color w:val="000000" w:themeColor="text1"/>
              </w:rPr>
              <w:t xml:space="preserve"> dle změněného rozsahu za 2021 a dále.</w:t>
            </w:r>
          </w:p>
        </w:tc>
        <w:tc>
          <w:tcPr>
            <w:tcW w:w="1166"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7F577D" w:rsidRPr="007F577D" w:rsidRDefault="007F577D">
            <w:pPr>
              <w:rPr>
                <w:rFonts w:ascii="Arial" w:hAnsi="Arial" w:cs="Arial"/>
                <w:color w:val="000000" w:themeColor="text1"/>
              </w:rPr>
            </w:pPr>
            <w:r w:rsidRPr="007F577D">
              <w:rPr>
                <w:rFonts w:ascii="Arial" w:hAnsi="Arial" w:cs="Arial"/>
                <w:color w:val="000000" w:themeColor="text1"/>
              </w:rPr>
              <w:t>OHSE</w:t>
            </w:r>
          </w:p>
        </w:tc>
      </w:tr>
      <w:tr w:rsidR="007F577D" w:rsidRPr="007F577D" w:rsidTr="005A544B">
        <w:tc>
          <w:tcPr>
            <w:tcW w:w="3187" w:type="dxa"/>
            <w:tcBorders>
              <w:top w:val="nil"/>
              <w:left w:val="single" w:sz="8"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hideMark/>
          </w:tcPr>
          <w:p w:rsidR="007F577D" w:rsidRPr="007F577D" w:rsidRDefault="007F577D">
            <w:pPr>
              <w:rPr>
                <w:rFonts w:ascii="Arial" w:hAnsi="Arial" w:cs="Arial"/>
                <w:color w:val="000000" w:themeColor="text1"/>
              </w:rPr>
            </w:pPr>
            <w:r w:rsidRPr="007F577D">
              <w:rPr>
                <w:rFonts w:ascii="Arial" w:hAnsi="Arial" w:cs="Arial"/>
                <w:color w:val="000000" w:themeColor="text1"/>
              </w:rPr>
              <w:t xml:space="preserve">Nově je předepsána pouze digitální forma výkresové dokumentace </w:t>
            </w:r>
            <w:proofErr w:type="spellStart"/>
            <w:r w:rsidRPr="007F577D">
              <w:rPr>
                <w:rFonts w:ascii="Arial" w:hAnsi="Arial" w:cs="Arial"/>
                <w:color w:val="000000" w:themeColor="text1"/>
              </w:rPr>
              <w:t>VaK</w:t>
            </w:r>
            <w:proofErr w:type="spellEnd"/>
            <w:r w:rsidRPr="007F577D">
              <w:rPr>
                <w:rFonts w:ascii="Arial" w:hAnsi="Arial" w:cs="Arial"/>
                <w:color w:val="000000" w:themeColor="text1"/>
              </w:rPr>
              <w:t xml:space="preserve"> v jednotné datové struktuře a rozsahu (§ 10 odst. 4 a příloha 25 </w:t>
            </w:r>
            <w:proofErr w:type="spellStart"/>
            <w:r w:rsidRPr="007F577D">
              <w:rPr>
                <w:rFonts w:ascii="Arial" w:hAnsi="Arial" w:cs="Arial"/>
                <w:color w:val="000000" w:themeColor="text1"/>
              </w:rPr>
              <w:t>vyhl</w:t>
            </w:r>
            <w:proofErr w:type="spellEnd"/>
            <w:r w:rsidRPr="007F577D">
              <w:rPr>
                <w:rFonts w:ascii="Arial" w:hAnsi="Arial" w:cs="Arial"/>
                <w:color w:val="000000" w:themeColor="text1"/>
              </w:rPr>
              <w:t>.)</w:t>
            </w:r>
          </w:p>
        </w:tc>
        <w:tc>
          <w:tcPr>
            <w:tcW w:w="4719" w:type="dxa"/>
            <w:tcBorders>
              <w:top w:val="nil"/>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hideMark/>
          </w:tcPr>
          <w:p w:rsidR="007F577D" w:rsidRPr="007F577D" w:rsidRDefault="007F577D">
            <w:pPr>
              <w:rPr>
                <w:rFonts w:ascii="Arial" w:hAnsi="Arial" w:cs="Arial"/>
                <w:color w:val="000000" w:themeColor="text1"/>
              </w:rPr>
            </w:pPr>
            <w:r w:rsidRPr="007F577D">
              <w:rPr>
                <w:rFonts w:ascii="Arial" w:hAnsi="Arial" w:cs="Arial"/>
                <w:color w:val="000000" w:themeColor="text1"/>
              </w:rPr>
              <w:t xml:space="preserve">Digitalizace výkresové dokumentace </w:t>
            </w:r>
            <w:proofErr w:type="spellStart"/>
            <w:r w:rsidRPr="007F577D">
              <w:rPr>
                <w:rFonts w:ascii="Arial" w:hAnsi="Arial" w:cs="Arial"/>
                <w:color w:val="000000" w:themeColor="text1"/>
              </w:rPr>
              <w:t>VaK</w:t>
            </w:r>
            <w:proofErr w:type="spellEnd"/>
            <w:r w:rsidRPr="007F577D">
              <w:rPr>
                <w:rFonts w:ascii="Arial" w:hAnsi="Arial" w:cs="Arial"/>
                <w:color w:val="000000" w:themeColor="text1"/>
              </w:rPr>
              <w:t xml:space="preserve"> pro veřejnou potřebu do 1. 1. 2023.</w:t>
            </w:r>
          </w:p>
        </w:tc>
        <w:tc>
          <w:tcPr>
            <w:tcW w:w="1166"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7F577D" w:rsidRPr="007F577D" w:rsidRDefault="007F577D">
            <w:pPr>
              <w:rPr>
                <w:rFonts w:ascii="Arial" w:hAnsi="Arial" w:cs="Arial"/>
                <w:color w:val="000000" w:themeColor="text1"/>
              </w:rPr>
            </w:pPr>
            <w:r w:rsidRPr="007F577D">
              <w:rPr>
                <w:rFonts w:ascii="Arial" w:hAnsi="Arial" w:cs="Arial"/>
                <w:color w:val="000000" w:themeColor="text1"/>
              </w:rPr>
              <w:t>PÚ</w:t>
            </w:r>
          </w:p>
        </w:tc>
      </w:tr>
      <w:tr w:rsidR="007F577D" w:rsidRPr="007F577D" w:rsidTr="005A544B">
        <w:tc>
          <w:tcPr>
            <w:tcW w:w="3187"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7F577D" w:rsidRPr="007F577D" w:rsidRDefault="007F577D">
            <w:pPr>
              <w:rPr>
                <w:rFonts w:ascii="Arial" w:hAnsi="Arial" w:cs="Arial"/>
                <w:color w:val="000000" w:themeColor="text1"/>
              </w:rPr>
            </w:pPr>
            <w:r w:rsidRPr="007F577D">
              <w:rPr>
                <w:rFonts w:ascii="Arial" w:hAnsi="Arial" w:cs="Arial"/>
                <w:color w:val="000000" w:themeColor="text1"/>
              </w:rPr>
              <w:lastRenderedPageBreak/>
              <w:t xml:space="preserve">Změna obsahu plánu financování obnovy </w:t>
            </w:r>
            <w:proofErr w:type="spellStart"/>
            <w:r w:rsidRPr="007F577D">
              <w:rPr>
                <w:rFonts w:ascii="Arial" w:hAnsi="Arial" w:cs="Arial"/>
                <w:color w:val="000000" w:themeColor="text1"/>
              </w:rPr>
              <w:t>VaK</w:t>
            </w:r>
            <w:proofErr w:type="spellEnd"/>
            <w:r w:rsidRPr="007F577D">
              <w:rPr>
                <w:rFonts w:ascii="Arial" w:hAnsi="Arial" w:cs="Arial"/>
                <w:color w:val="000000" w:themeColor="text1"/>
              </w:rPr>
              <w:t xml:space="preserve"> a změna lhůty pro aktualizaci plánu z </w:t>
            </w:r>
            <w:proofErr w:type="gramStart"/>
            <w:r w:rsidRPr="007F577D">
              <w:rPr>
                <w:rFonts w:ascii="Arial" w:hAnsi="Arial" w:cs="Arial"/>
                <w:color w:val="000000" w:themeColor="text1"/>
              </w:rPr>
              <w:t>10-ti</w:t>
            </w:r>
            <w:proofErr w:type="gramEnd"/>
            <w:r w:rsidRPr="007F577D">
              <w:rPr>
                <w:rFonts w:ascii="Arial" w:hAnsi="Arial" w:cs="Arial"/>
                <w:color w:val="000000" w:themeColor="text1"/>
              </w:rPr>
              <w:t xml:space="preserve"> na 5 let (§13 odst. 1 až 5 </w:t>
            </w:r>
            <w:proofErr w:type="spellStart"/>
            <w:r w:rsidRPr="007F577D">
              <w:rPr>
                <w:rFonts w:ascii="Arial" w:hAnsi="Arial" w:cs="Arial"/>
                <w:color w:val="000000" w:themeColor="text1"/>
              </w:rPr>
              <w:t>vyhl</w:t>
            </w:r>
            <w:proofErr w:type="spellEnd"/>
            <w:r w:rsidRPr="007F577D">
              <w:rPr>
                <w:rFonts w:ascii="Arial" w:hAnsi="Arial" w:cs="Arial"/>
                <w:color w:val="000000" w:themeColor="text1"/>
              </w:rPr>
              <w:t>.)</w:t>
            </w:r>
          </w:p>
        </w:tc>
        <w:tc>
          <w:tcPr>
            <w:tcW w:w="4719" w:type="dxa"/>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7F577D" w:rsidRPr="007F577D" w:rsidRDefault="007F577D">
            <w:pPr>
              <w:rPr>
                <w:rFonts w:ascii="Arial" w:hAnsi="Arial" w:cs="Arial"/>
                <w:color w:val="000000" w:themeColor="text1"/>
              </w:rPr>
            </w:pPr>
            <w:r w:rsidRPr="007F577D">
              <w:rPr>
                <w:rFonts w:ascii="Arial" w:hAnsi="Arial" w:cs="Arial"/>
                <w:color w:val="000000" w:themeColor="text1"/>
              </w:rPr>
              <w:t xml:space="preserve">Aktualizace plánů financování obnovy </w:t>
            </w:r>
            <w:proofErr w:type="spellStart"/>
            <w:r w:rsidRPr="007F577D">
              <w:rPr>
                <w:rFonts w:ascii="Arial" w:hAnsi="Arial" w:cs="Arial"/>
                <w:color w:val="000000" w:themeColor="text1"/>
              </w:rPr>
              <w:t>VaK</w:t>
            </w:r>
            <w:proofErr w:type="spellEnd"/>
            <w:r w:rsidRPr="007F577D">
              <w:rPr>
                <w:rFonts w:ascii="Arial" w:hAnsi="Arial" w:cs="Arial"/>
                <w:color w:val="000000" w:themeColor="text1"/>
              </w:rPr>
              <w:t xml:space="preserve"> </w:t>
            </w:r>
            <w:proofErr w:type="gramStart"/>
            <w:r w:rsidRPr="007F577D">
              <w:rPr>
                <w:rFonts w:ascii="Arial" w:hAnsi="Arial" w:cs="Arial"/>
                <w:color w:val="000000" w:themeColor="text1"/>
              </w:rPr>
              <w:t>do 5-ti</w:t>
            </w:r>
            <w:proofErr w:type="gramEnd"/>
            <w:r w:rsidRPr="007F577D">
              <w:rPr>
                <w:rFonts w:ascii="Arial" w:hAnsi="Arial" w:cs="Arial"/>
                <w:color w:val="000000" w:themeColor="text1"/>
              </w:rPr>
              <w:t xml:space="preserve"> let od jejich zpracování, popřípadě od jejich poslední aktualizace.</w:t>
            </w:r>
          </w:p>
        </w:tc>
        <w:tc>
          <w:tcPr>
            <w:tcW w:w="1166"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7F577D" w:rsidRPr="007F577D" w:rsidRDefault="007F577D">
            <w:pPr>
              <w:rPr>
                <w:rFonts w:ascii="Arial" w:hAnsi="Arial" w:cs="Arial"/>
                <w:color w:val="000000" w:themeColor="text1"/>
              </w:rPr>
            </w:pPr>
            <w:r w:rsidRPr="007F577D">
              <w:rPr>
                <w:rFonts w:ascii="Arial" w:hAnsi="Arial" w:cs="Arial"/>
                <w:color w:val="000000" w:themeColor="text1"/>
              </w:rPr>
              <w:t>OHSE</w:t>
            </w:r>
          </w:p>
        </w:tc>
      </w:tr>
      <w:tr w:rsidR="007F577D" w:rsidRPr="007F577D" w:rsidTr="007F577D">
        <w:tc>
          <w:tcPr>
            <w:tcW w:w="3187"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7F577D" w:rsidRPr="007F577D" w:rsidRDefault="007F577D">
            <w:pPr>
              <w:rPr>
                <w:rFonts w:ascii="Arial" w:hAnsi="Arial" w:cs="Arial"/>
                <w:color w:val="000000" w:themeColor="text1"/>
              </w:rPr>
            </w:pPr>
            <w:r w:rsidRPr="007F577D">
              <w:rPr>
                <w:rFonts w:ascii="Arial" w:hAnsi="Arial" w:cs="Arial"/>
                <w:color w:val="000000" w:themeColor="text1"/>
              </w:rPr>
              <w:t xml:space="preserve">Změna tvorby, alokace a čerpání finančních prostředků na obnovu </w:t>
            </w:r>
            <w:proofErr w:type="spellStart"/>
            <w:r w:rsidRPr="007F577D">
              <w:rPr>
                <w:rFonts w:ascii="Arial" w:hAnsi="Arial" w:cs="Arial"/>
                <w:color w:val="000000" w:themeColor="text1"/>
              </w:rPr>
              <w:t>VaK</w:t>
            </w:r>
            <w:proofErr w:type="spellEnd"/>
            <w:r w:rsidRPr="007F577D">
              <w:rPr>
                <w:rFonts w:ascii="Arial" w:hAnsi="Arial" w:cs="Arial"/>
                <w:color w:val="000000" w:themeColor="text1"/>
              </w:rPr>
              <w:t xml:space="preserve"> (§13 odst. 6 až 14 </w:t>
            </w:r>
            <w:proofErr w:type="spellStart"/>
            <w:r w:rsidRPr="007F577D">
              <w:rPr>
                <w:rFonts w:ascii="Arial" w:hAnsi="Arial" w:cs="Arial"/>
                <w:color w:val="000000" w:themeColor="text1"/>
              </w:rPr>
              <w:t>vyhl</w:t>
            </w:r>
            <w:proofErr w:type="spellEnd"/>
            <w:r w:rsidRPr="007F577D">
              <w:rPr>
                <w:rFonts w:ascii="Arial" w:hAnsi="Arial" w:cs="Arial"/>
                <w:color w:val="000000" w:themeColor="text1"/>
              </w:rPr>
              <w:t>.)</w:t>
            </w:r>
          </w:p>
        </w:tc>
        <w:tc>
          <w:tcPr>
            <w:tcW w:w="4719"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7F577D" w:rsidRPr="007F577D" w:rsidRDefault="007F577D">
            <w:pPr>
              <w:rPr>
                <w:rFonts w:ascii="Arial" w:hAnsi="Arial" w:cs="Arial"/>
                <w:color w:val="000000" w:themeColor="text1"/>
              </w:rPr>
            </w:pPr>
            <w:r w:rsidRPr="007F577D">
              <w:rPr>
                <w:rFonts w:ascii="Arial" w:hAnsi="Arial" w:cs="Arial"/>
                <w:color w:val="000000" w:themeColor="text1"/>
              </w:rPr>
              <w:t xml:space="preserve">Samostatný bankovní účet vedený pouze pro účely financování obnovy </w:t>
            </w:r>
            <w:proofErr w:type="spellStart"/>
            <w:r w:rsidRPr="007F577D">
              <w:rPr>
                <w:rFonts w:ascii="Arial" w:hAnsi="Arial" w:cs="Arial"/>
                <w:color w:val="000000" w:themeColor="text1"/>
              </w:rPr>
              <w:t>VaK</w:t>
            </w:r>
            <w:proofErr w:type="spellEnd"/>
            <w:r w:rsidRPr="007F577D">
              <w:rPr>
                <w:rFonts w:ascii="Arial" w:hAnsi="Arial" w:cs="Arial"/>
                <w:color w:val="000000" w:themeColor="text1"/>
              </w:rPr>
              <w:t xml:space="preserve">, stanovení interních pravidel pro tvorbu a čerpání finančních prostředků pro obnovu </w:t>
            </w:r>
            <w:proofErr w:type="spellStart"/>
            <w:r w:rsidRPr="007F577D">
              <w:rPr>
                <w:rFonts w:ascii="Arial" w:hAnsi="Arial" w:cs="Arial"/>
                <w:color w:val="000000" w:themeColor="text1"/>
              </w:rPr>
              <w:t>VaK</w:t>
            </w:r>
            <w:proofErr w:type="spellEnd"/>
            <w:r w:rsidRPr="007F577D">
              <w:rPr>
                <w:rFonts w:ascii="Arial" w:hAnsi="Arial" w:cs="Arial"/>
                <w:color w:val="000000" w:themeColor="text1"/>
              </w:rPr>
              <w:t xml:space="preserve"> do 31. 12. 2021.</w:t>
            </w:r>
          </w:p>
        </w:tc>
        <w:tc>
          <w:tcPr>
            <w:tcW w:w="1166"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7F577D" w:rsidRPr="007F577D" w:rsidRDefault="007F577D">
            <w:pPr>
              <w:rPr>
                <w:rFonts w:ascii="Arial" w:hAnsi="Arial" w:cs="Arial"/>
                <w:color w:val="000000" w:themeColor="text1"/>
              </w:rPr>
            </w:pPr>
            <w:r w:rsidRPr="007F577D">
              <w:rPr>
                <w:rFonts w:ascii="Arial" w:hAnsi="Arial" w:cs="Arial"/>
                <w:color w:val="000000" w:themeColor="text1"/>
              </w:rPr>
              <w:t>FÚ</w:t>
            </w:r>
          </w:p>
        </w:tc>
      </w:tr>
      <w:tr w:rsidR="007F577D" w:rsidRPr="007F577D" w:rsidTr="007F577D">
        <w:tc>
          <w:tcPr>
            <w:tcW w:w="3187"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7F577D" w:rsidRPr="007F577D" w:rsidRDefault="007F577D">
            <w:pPr>
              <w:rPr>
                <w:rFonts w:ascii="Arial" w:hAnsi="Arial" w:cs="Arial"/>
                <w:color w:val="000000" w:themeColor="text1"/>
              </w:rPr>
            </w:pPr>
            <w:r w:rsidRPr="007F577D">
              <w:rPr>
                <w:rFonts w:ascii="Arial" w:hAnsi="Arial" w:cs="Arial"/>
                <w:color w:val="000000" w:themeColor="text1"/>
              </w:rPr>
              <w:t xml:space="preserve">Stanovení technických podmínek pro stavbu a provoz odlehčovacích komor (§ 18 odst. 3 </w:t>
            </w:r>
            <w:proofErr w:type="spellStart"/>
            <w:r w:rsidRPr="007F577D">
              <w:rPr>
                <w:rFonts w:ascii="Arial" w:hAnsi="Arial" w:cs="Arial"/>
                <w:color w:val="000000" w:themeColor="text1"/>
              </w:rPr>
              <w:t>vyhl</w:t>
            </w:r>
            <w:proofErr w:type="spellEnd"/>
            <w:r w:rsidRPr="007F577D">
              <w:rPr>
                <w:rFonts w:ascii="Arial" w:hAnsi="Arial" w:cs="Arial"/>
                <w:color w:val="000000" w:themeColor="text1"/>
              </w:rPr>
              <w:t xml:space="preserve">.), stanovení požadavků na projektovou dokumentaci, výstavbu a provoz kanalizací a čistíren odpadních vod (§ 19 odst. 7 až 9, 12 a 13 </w:t>
            </w:r>
            <w:proofErr w:type="spellStart"/>
            <w:r w:rsidRPr="007F577D">
              <w:rPr>
                <w:rFonts w:ascii="Arial" w:hAnsi="Arial" w:cs="Arial"/>
                <w:color w:val="000000" w:themeColor="text1"/>
              </w:rPr>
              <w:t>vyhl</w:t>
            </w:r>
            <w:proofErr w:type="spellEnd"/>
            <w:r w:rsidRPr="007F577D">
              <w:rPr>
                <w:rFonts w:ascii="Arial" w:hAnsi="Arial" w:cs="Arial"/>
                <w:color w:val="000000" w:themeColor="text1"/>
              </w:rPr>
              <w:t>.)</w:t>
            </w:r>
          </w:p>
          <w:p w:rsidR="007F577D" w:rsidRPr="007F577D" w:rsidRDefault="007F577D">
            <w:pPr>
              <w:rPr>
                <w:rFonts w:ascii="Arial" w:hAnsi="Arial" w:cs="Arial"/>
                <w:color w:val="000000" w:themeColor="text1"/>
              </w:rPr>
            </w:pPr>
          </w:p>
        </w:tc>
        <w:tc>
          <w:tcPr>
            <w:tcW w:w="4719"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7F577D" w:rsidRPr="007F577D" w:rsidRDefault="007F577D">
            <w:pPr>
              <w:rPr>
                <w:rFonts w:ascii="Arial" w:hAnsi="Arial" w:cs="Arial"/>
                <w:color w:val="000000" w:themeColor="text1"/>
              </w:rPr>
            </w:pPr>
            <w:r w:rsidRPr="007F577D">
              <w:rPr>
                <w:rFonts w:ascii="Arial" w:hAnsi="Arial" w:cs="Arial"/>
                <w:color w:val="000000" w:themeColor="text1"/>
              </w:rPr>
              <w:t>Zohlednění podmínek a požadavků při výstavbě a rekonstrukci ČOV.</w:t>
            </w:r>
          </w:p>
        </w:tc>
        <w:tc>
          <w:tcPr>
            <w:tcW w:w="1166"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7F577D" w:rsidRPr="007F577D" w:rsidRDefault="007F577D">
            <w:pPr>
              <w:rPr>
                <w:rFonts w:ascii="Arial" w:hAnsi="Arial" w:cs="Arial"/>
                <w:color w:val="000000" w:themeColor="text1"/>
              </w:rPr>
            </w:pPr>
            <w:r w:rsidRPr="007F577D">
              <w:rPr>
                <w:rFonts w:ascii="Arial" w:hAnsi="Arial" w:cs="Arial"/>
                <w:color w:val="000000" w:themeColor="text1"/>
              </w:rPr>
              <w:t>PÚ</w:t>
            </w:r>
          </w:p>
        </w:tc>
      </w:tr>
    </w:tbl>
    <w:p w:rsidR="007F577D" w:rsidRPr="007F577D" w:rsidRDefault="007F577D" w:rsidP="007F577D">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roofErr w:type="spellStart"/>
      <w:r w:rsidRPr="007F577D">
        <w:rPr>
          <w:rStyle w:val="Hypertextovodkaz"/>
          <w:rFonts w:ascii="Tahoma" w:eastAsia="Times New Roman" w:hAnsi="Tahoma" w:cs="Tahoma"/>
          <w:bCs/>
          <w:i/>
          <w:color w:val="000000" w:themeColor="text1"/>
          <w:kern w:val="36"/>
          <w:sz w:val="20"/>
          <w:szCs w:val="20"/>
          <w:u w:val="none"/>
          <w:lang w:eastAsia="cs-CZ"/>
        </w:rPr>
        <w:t>VaK</w:t>
      </w:r>
      <w:proofErr w:type="spellEnd"/>
      <w:r w:rsidRPr="007F577D">
        <w:rPr>
          <w:rStyle w:val="Hypertextovodkaz"/>
          <w:rFonts w:ascii="Tahoma" w:eastAsia="Times New Roman" w:hAnsi="Tahoma" w:cs="Tahoma"/>
          <w:bCs/>
          <w:i/>
          <w:color w:val="000000" w:themeColor="text1"/>
          <w:kern w:val="36"/>
          <w:sz w:val="20"/>
          <w:szCs w:val="20"/>
          <w:u w:val="none"/>
          <w:lang w:eastAsia="cs-CZ"/>
        </w:rPr>
        <w:t xml:space="preserve"> = vodovod a kanalizace pro veřejnou potřebu</w:t>
      </w:r>
    </w:p>
    <w:p w:rsidR="007F577D" w:rsidRDefault="007F577D" w:rsidP="007F577D">
      <w:pPr>
        <w:pStyle w:val="Bezmezer"/>
        <w:shd w:val="clear" w:color="auto" w:fill="D9D9D9" w:themeFill="background1" w:themeFillShade="D9"/>
        <w:spacing w:line="276" w:lineRule="auto"/>
        <w:jc w:val="both"/>
        <w:rPr>
          <w:rStyle w:val="Hypertextovodkaz"/>
          <w:rFonts w:ascii="Tahoma" w:eastAsia="Times New Roman" w:hAnsi="Tahoma" w:cs="Tahoma"/>
          <w:b/>
          <w:bCs/>
          <w:i/>
          <w:color w:val="000000" w:themeColor="text1"/>
          <w:kern w:val="36"/>
          <w:sz w:val="20"/>
          <w:szCs w:val="20"/>
          <w:u w:val="none"/>
          <w:lang w:eastAsia="cs-CZ"/>
        </w:rPr>
      </w:pPr>
    </w:p>
    <w:p w:rsidR="007F577D" w:rsidRDefault="007F577D" w:rsidP="007F577D">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6450B7" w:rsidRPr="00217FEC" w:rsidRDefault="006450B7" w:rsidP="00217FEC">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D8020C" w:rsidRDefault="00D8020C" w:rsidP="00BA315A">
      <w:pPr>
        <w:pStyle w:val="Bezmezer"/>
        <w:numPr>
          <w:ilvl w:val="0"/>
          <w:numId w:val="39"/>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8020C" w:rsidRPr="00DB40CC" w:rsidRDefault="000B6E81" w:rsidP="000B6E81">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b</w:t>
      </w:r>
      <w:r w:rsidR="00D8020C" w:rsidRPr="00914DDA">
        <w:rPr>
          <w:rFonts w:ascii="Tahoma" w:hAnsi="Tahoma" w:cs="Tahoma"/>
          <w:b/>
          <w:sz w:val="28"/>
          <w:szCs w:val="20"/>
        </w:rPr>
        <w:t>)</w:t>
      </w:r>
      <w:r w:rsidR="00D8020C">
        <w:rPr>
          <w:rFonts w:ascii="Tahoma" w:hAnsi="Tahoma" w:cs="Tahoma"/>
          <w:b/>
          <w:sz w:val="28"/>
          <w:szCs w:val="20"/>
        </w:rPr>
        <w:t xml:space="preserve"> zadání</w:t>
      </w:r>
    </w:p>
    <w:p w:rsidR="00D8020C" w:rsidRDefault="00D8020C" w:rsidP="00FB0278">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8A3723" w:rsidRDefault="008A3723" w:rsidP="008A3723">
      <w:pPr>
        <w:pStyle w:val="Bezmezer"/>
        <w:spacing w:line="360" w:lineRule="auto"/>
        <w:jc w:val="both"/>
        <w:rPr>
          <w:rFonts w:ascii="Tahoma" w:hAnsi="Tahoma" w:cs="Tahoma"/>
          <w:b/>
          <w:i/>
          <w:color w:val="000000" w:themeColor="text1"/>
          <w:sz w:val="18"/>
          <w:szCs w:val="18"/>
        </w:rPr>
      </w:pPr>
    </w:p>
    <w:p w:rsidR="008A3723" w:rsidRPr="009C449E" w:rsidRDefault="00671D1B" w:rsidP="009C449E">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671D1B">
        <w:rPr>
          <w:rStyle w:val="Hypertextovodkaz"/>
          <w:rFonts w:ascii="Tahoma" w:eastAsia="Times New Roman" w:hAnsi="Tahoma" w:cs="Tahoma"/>
          <w:b/>
          <w:bCs/>
          <w:color w:val="000000" w:themeColor="text1"/>
          <w:kern w:val="36"/>
          <w:sz w:val="24"/>
          <w:szCs w:val="24"/>
          <w:u w:val="none"/>
          <w:lang w:eastAsia="cs-CZ"/>
        </w:rPr>
        <w:t>Pozměňovací návrh, k vládnímu návrhu zákona, kterým se mění zákon č. 165/2012 Sb., o podporovaných zdrojích energie a o změně některých zákonů, ve znění pozdějších předpisů, a zákon č. 458/2000 Sb., o podmínkách podnikání a o výkonu státní správy v energetických odvětvích a o změně některých zákonů (energetický zákon), ve znění pozdějších předpisů</w:t>
      </w:r>
      <w:r w:rsidR="00F13DAD">
        <w:rPr>
          <w:rStyle w:val="Hypertextovodkaz"/>
          <w:rFonts w:ascii="Tahoma" w:eastAsia="Times New Roman" w:hAnsi="Tahoma" w:cs="Tahoma"/>
          <w:b/>
          <w:bCs/>
          <w:color w:val="000000" w:themeColor="text1"/>
          <w:kern w:val="36"/>
          <w:sz w:val="24"/>
          <w:szCs w:val="24"/>
          <w:u w:val="none"/>
          <w:lang w:eastAsia="cs-CZ"/>
        </w:rPr>
        <w:pict>
          <v:rect id="_x0000_i1026" style="width:0;height:1.5pt" o:hralign="center" o:hrstd="t" o:hr="t" fillcolor="#a0a0a0" stroked="f"/>
        </w:pict>
      </w:r>
    </w:p>
    <w:p w:rsidR="006450B7" w:rsidRDefault="00671D1B" w:rsidP="009C449E">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Sněmovní tisk 870</w:t>
      </w:r>
    </w:p>
    <w:p w:rsidR="009C449E" w:rsidRDefault="00671D1B" w:rsidP="009C449E">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Proběhlo první čtení v PS</w:t>
      </w:r>
    </w:p>
    <w:p w:rsidR="009C449E" w:rsidRDefault="009C449E" w:rsidP="009C449E">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671D1B" w:rsidRPr="00671D1B" w:rsidRDefault="00671D1B" w:rsidP="00671D1B">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V rámci projednávání novely zákona o POZE byl předložen pozměňovací návrh zákona, který se dotýká </w:t>
      </w:r>
      <w:r w:rsidRPr="00671D1B">
        <w:rPr>
          <w:rStyle w:val="Hypertextovodkaz"/>
          <w:rFonts w:ascii="Tahoma" w:eastAsia="Times New Roman" w:hAnsi="Tahoma" w:cs="Tahoma"/>
          <w:bCs/>
          <w:color w:val="000000" w:themeColor="text1"/>
          <w:kern w:val="36"/>
          <w:sz w:val="20"/>
          <w:szCs w:val="20"/>
          <w:u w:val="none"/>
          <w:lang w:eastAsia="cs-CZ"/>
        </w:rPr>
        <w:t>zejména dvou oblastí:</w:t>
      </w:r>
    </w:p>
    <w:p w:rsidR="00671D1B" w:rsidRDefault="00671D1B" w:rsidP="00671D1B">
      <w:pPr>
        <w:pStyle w:val="Bezmezer"/>
        <w:numPr>
          <w:ilvl w:val="0"/>
          <w:numId w:val="44"/>
        </w:numP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671D1B">
        <w:rPr>
          <w:rStyle w:val="Hypertextovodkaz"/>
          <w:rFonts w:ascii="Tahoma" w:eastAsia="Times New Roman" w:hAnsi="Tahoma" w:cs="Tahoma"/>
          <w:bCs/>
          <w:color w:val="000000" w:themeColor="text1"/>
          <w:kern w:val="36"/>
          <w:sz w:val="20"/>
          <w:szCs w:val="20"/>
          <w:u w:val="none"/>
          <w:lang w:eastAsia="cs-CZ"/>
        </w:rPr>
        <w:lastRenderedPageBreak/>
        <w:t>novely zákona o PHM, která umožní na ČS uvést v život porovnání ceny klasických a alternativních paliv, které vyžaduje EU</w:t>
      </w:r>
    </w:p>
    <w:p w:rsidR="007B5156" w:rsidRPr="00671D1B" w:rsidRDefault="00671D1B" w:rsidP="00671D1B">
      <w:pPr>
        <w:pStyle w:val="Bezmezer"/>
        <w:numPr>
          <w:ilvl w:val="0"/>
          <w:numId w:val="44"/>
        </w:numP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671D1B">
        <w:rPr>
          <w:rStyle w:val="Hypertextovodkaz"/>
          <w:rFonts w:ascii="Tahoma" w:eastAsia="Times New Roman" w:hAnsi="Tahoma" w:cs="Tahoma"/>
          <w:bCs/>
          <w:color w:val="000000" w:themeColor="text1"/>
          <w:kern w:val="36"/>
          <w:sz w:val="20"/>
          <w:szCs w:val="20"/>
          <w:u w:val="none"/>
          <w:lang w:eastAsia="cs-CZ"/>
        </w:rPr>
        <w:t>legislativní zavedení benzínu E10 novelou § 19 zákona o ochraně ovzduší.</w:t>
      </w:r>
    </w:p>
    <w:p w:rsidR="007B5156" w:rsidRDefault="007B5156" w:rsidP="007B5156">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7B5156" w:rsidRDefault="007B5156" w:rsidP="007B5156">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sidR="005A544B">
        <w:rPr>
          <w:rStyle w:val="Hypertextovodkaz"/>
          <w:rFonts w:ascii="Tahoma" w:eastAsia="Times New Roman" w:hAnsi="Tahoma" w:cs="Tahoma"/>
          <w:bCs/>
          <w:i/>
          <w:color w:val="000000" w:themeColor="text1"/>
          <w:kern w:val="36"/>
          <w:sz w:val="20"/>
          <w:szCs w:val="20"/>
          <w:u w:val="none"/>
          <w:lang w:eastAsia="cs-CZ"/>
        </w:rPr>
        <w:t>OÚ</w:t>
      </w:r>
      <w:r>
        <w:rPr>
          <w:rStyle w:val="Hypertextovodkaz"/>
          <w:rFonts w:ascii="Tahoma" w:eastAsia="Times New Roman" w:hAnsi="Tahoma" w:cs="Tahoma"/>
          <w:bCs/>
          <w:i/>
          <w:color w:val="000000" w:themeColor="text1"/>
          <w:kern w:val="36"/>
          <w:sz w:val="20"/>
          <w:szCs w:val="20"/>
          <w:u w:val="none"/>
          <w:lang w:eastAsia="cs-CZ"/>
        </w:rPr>
        <w:t xml:space="preserve"> </w:t>
      </w:r>
      <w:r w:rsidRPr="00FE2CDB">
        <w:rPr>
          <w:rStyle w:val="Hypertextovodkaz"/>
          <w:rFonts w:ascii="Tahoma" w:eastAsia="Times New Roman" w:hAnsi="Tahoma" w:cs="Tahoma"/>
          <w:bCs/>
          <w:i/>
          <w:color w:val="000000" w:themeColor="text1"/>
          <w:kern w:val="36"/>
          <w:sz w:val="20"/>
          <w:szCs w:val="20"/>
          <w:u w:val="none"/>
          <w:lang w:eastAsia="cs-CZ"/>
        </w:rPr>
        <w:t>provede věcnou analýzu dopadů a zpracuje případný návrh implementačních opatření do procesů společnosti.</w:t>
      </w:r>
      <w:r>
        <w:rPr>
          <w:rStyle w:val="Hypertextovodkaz"/>
          <w:rFonts w:ascii="Tahoma" w:eastAsia="Times New Roman" w:hAnsi="Tahoma" w:cs="Tahoma"/>
          <w:bCs/>
          <w:i/>
          <w:color w:val="000000" w:themeColor="text1"/>
          <w:kern w:val="36"/>
          <w:sz w:val="20"/>
          <w:szCs w:val="20"/>
          <w:u w:val="none"/>
          <w:lang w:eastAsia="cs-CZ"/>
        </w:rPr>
        <w:t xml:space="preserve"> </w:t>
      </w:r>
      <w:r w:rsidRPr="003F7FFC">
        <w:rPr>
          <w:rStyle w:val="Hypertextovodkaz"/>
          <w:rFonts w:ascii="Tahoma" w:eastAsia="Times New Roman" w:hAnsi="Tahoma" w:cs="Tahoma"/>
          <w:bCs/>
          <w:i/>
          <w:color w:val="000000" w:themeColor="text1"/>
          <w:kern w:val="36"/>
          <w:sz w:val="20"/>
          <w:szCs w:val="20"/>
          <w:u w:val="none"/>
          <w:lang w:eastAsia="cs-CZ"/>
        </w:rPr>
        <w:t>Informaci o zhodnocení dopadů a o stavu implementace zašle na emailovou adresu legislativa@ceproas.cz.</w:t>
      </w:r>
    </w:p>
    <w:p w:rsidR="007B5156" w:rsidRDefault="007B5156" w:rsidP="007B5156">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7B5156" w:rsidRDefault="007B5156" w:rsidP="007B5156">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7B5156" w:rsidRPr="003F7FFC" w:rsidRDefault="007B5156" w:rsidP="007B5156">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sidRPr="00B16A80">
        <w:rPr>
          <w:rStyle w:val="Hypertextovodkaz"/>
          <w:rFonts w:ascii="Tahoma" w:eastAsia="Times New Roman" w:hAnsi="Tahoma" w:cs="Tahoma"/>
          <w:b/>
          <w:bCs/>
          <w:i/>
          <w:color w:val="000000" w:themeColor="text1"/>
          <w:kern w:val="36"/>
          <w:sz w:val="20"/>
          <w:szCs w:val="20"/>
          <w:u w:val="none"/>
          <w:lang w:eastAsia="cs-CZ"/>
        </w:rPr>
        <w:t xml:space="preserve">Odpovědný útvar: </w:t>
      </w:r>
      <w:r w:rsidR="005A544B">
        <w:rPr>
          <w:rStyle w:val="Hypertextovodkaz"/>
          <w:rFonts w:ascii="Tahoma" w:eastAsia="Times New Roman" w:hAnsi="Tahoma" w:cs="Tahoma"/>
          <w:bCs/>
          <w:i/>
          <w:color w:val="000000" w:themeColor="text1"/>
          <w:kern w:val="36"/>
          <w:sz w:val="20"/>
          <w:szCs w:val="20"/>
          <w:u w:val="none"/>
          <w:lang w:eastAsia="cs-CZ"/>
        </w:rPr>
        <w:t>OÚ – Ing. Martin Vojtíšek</w:t>
      </w:r>
      <w:r>
        <w:rPr>
          <w:rStyle w:val="Hypertextovodkaz"/>
          <w:rFonts w:ascii="Tahoma" w:eastAsia="Times New Roman" w:hAnsi="Tahoma" w:cs="Tahoma"/>
          <w:bCs/>
          <w:i/>
          <w:color w:val="000000" w:themeColor="text1"/>
          <w:kern w:val="36"/>
          <w:sz w:val="20"/>
          <w:szCs w:val="20"/>
          <w:u w:val="none"/>
          <w:lang w:eastAsia="cs-CZ"/>
        </w:rPr>
        <w:tab/>
      </w:r>
      <w:r w:rsidRPr="00B16A80">
        <w:rPr>
          <w:rStyle w:val="Hypertextovodkaz"/>
          <w:rFonts w:ascii="Tahoma" w:eastAsia="Times New Roman" w:hAnsi="Tahoma" w:cs="Tahoma"/>
          <w:b/>
          <w:bCs/>
          <w:i/>
          <w:color w:val="000000" w:themeColor="text1"/>
          <w:kern w:val="36"/>
          <w:sz w:val="20"/>
          <w:szCs w:val="20"/>
          <w:u w:val="none"/>
          <w:lang w:eastAsia="cs-CZ"/>
        </w:rPr>
        <w:t>Termín:</w:t>
      </w:r>
      <w:r w:rsidRPr="00B16A80">
        <w:rPr>
          <w:rStyle w:val="Hypertextovodkaz"/>
          <w:rFonts w:ascii="Tahoma" w:eastAsia="Times New Roman" w:hAnsi="Tahoma" w:cs="Tahoma"/>
          <w:bCs/>
          <w:i/>
          <w:color w:val="000000" w:themeColor="text1"/>
          <w:kern w:val="36"/>
          <w:sz w:val="20"/>
          <w:szCs w:val="20"/>
          <w:u w:val="none"/>
          <w:lang w:eastAsia="cs-CZ"/>
        </w:rPr>
        <w:t xml:space="preserve">  </w:t>
      </w:r>
      <w:proofErr w:type="gramStart"/>
      <w:r>
        <w:rPr>
          <w:rStyle w:val="Hypertextovodkaz"/>
          <w:rFonts w:ascii="Tahoma" w:eastAsia="Times New Roman" w:hAnsi="Tahoma" w:cs="Tahoma"/>
          <w:b/>
          <w:bCs/>
          <w:i/>
          <w:color w:val="000000" w:themeColor="text1"/>
          <w:kern w:val="36"/>
          <w:sz w:val="20"/>
          <w:szCs w:val="20"/>
          <w:u w:val="none"/>
          <w:lang w:eastAsia="cs-CZ"/>
        </w:rPr>
        <w:t>30.4.2021</w:t>
      </w:r>
      <w:proofErr w:type="gramEnd"/>
    </w:p>
    <w:p w:rsidR="007B5156" w:rsidRDefault="007B5156" w:rsidP="007B5156">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2962A6" w:rsidRPr="009C449E" w:rsidRDefault="002962A6" w:rsidP="002962A6">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2962A6">
        <w:rPr>
          <w:rStyle w:val="Hypertextovodkaz"/>
          <w:rFonts w:ascii="Tahoma" w:eastAsia="Times New Roman" w:hAnsi="Tahoma" w:cs="Tahoma"/>
          <w:b/>
          <w:bCs/>
          <w:color w:val="000000" w:themeColor="text1"/>
          <w:kern w:val="36"/>
          <w:sz w:val="24"/>
          <w:szCs w:val="24"/>
          <w:u w:val="none"/>
          <w:lang w:eastAsia="cs-CZ"/>
        </w:rPr>
        <w:t>Novela zákona č. 262/2006 Sb., zákoník práce</w:t>
      </w:r>
      <w:r w:rsidR="00F13DAD">
        <w:rPr>
          <w:rStyle w:val="Hypertextovodkaz"/>
          <w:rFonts w:ascii="Tahoma" w:eastAsia="Times New Roman" w:hAnsi="Tahoma" w:cs="Tahoma"/>
          <w:b/>
          <w:bCs/>
          <w:color w:val="000000" w:themeColor="text1"/>
          <w:kern w:val="36"/>
          <w:sz w:val="24"/>
          <w:szCs w:val="24"/>
          <w:u w:val="none"/>
          <w:lang w:eastAsia="cs-CZ"/>
        </w:rPr>
        <w:pict>
          <v:rect id="_x0000_i1027" style="width:0;height:1.5pt" o:hralign="center" o:hrstd="t" o:hr="t" fillcolor="#a0a0a0" stroked="f"/>
        </w:pict>
      </w:r>
    </w:p>
    <w:p w:rsidR="002962A6" w:rsidRDefault="002962A6" w:rsidP="002962A6">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Sněmovní tisk 1167</w:t>
      </w:r>
    </w:p>
    <w:p w:rsidR="002962A6" w:rsidRDefault="002962A6" w:rsidP="002962A6">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Předloženo vládě k vyjádření</w:t>
      </w:r>
    </w:p>
    <w:p w:rsidR="002962A6" w:rsidRDefault="002962A6" w:rsidP="002962A6">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2962A6" w:rsidRPr="002962A6" w:rsidRDefault="002962A6" w:rsidP="002962A6">
      <w:pPr>
        <w:pStyle w:val="Bezmezer"/>
        <w:jc w:val="both"/>
        <w:rPr>
          <w:rStyle w:val="Hypertextovodkaz"/>
          <w:rFonts w:ascii="Tahoma" w:eastAsia="Times New Roman" w:hAnsi="Tahoma" w:cs="Tahoma"/>
          <w:bCs/>
          <w:color w:val="000000" w:themeColor="text1"/>
          <w:kern w:val="36"/>
          <w:sz w:val="20"/>
          <w:szCs w:val="20"/>
          <w:u w:val="none"/>
          <w:lang w:eastAsia="cs-CZ"/>
        </w:rPr>
      </w:pPr>
      <w:r w:rsidRPr="002962A6">
        <w:rPr>
          <w:rStyle w:val="Hypertextovodkaz"/>
          <w:rFonts w:ascii="Tahoma" w:eastAsia="Times New Roman" w:hAnsi="Tahoma" w:cs="Tahoma"/>
          <w:bCs/>
          <w:color w:val="000000" w:themeColor="text1"/>
          <w:kern w:val="36"/>
          <w:sz w:val="20"/>
          <w:szCs w:val="20"/>
          <w:u w:val="none"/>
          <w:lang w:eastAsia="cs-CZ"/>
        </w:rPr>
        <w:t>Cílem předkládané novely Zákoníku práce je podpořit širok</w:t>
      </w:r>
      <w:r>
        <w:rPr>
          <w:rStyle w:val="Hypertextovodkaz"/>
          <w:rFonts w:ascii="Tahoma" w:eastAsia="Times New Roman" w:hAnsi="Tahoma" w:cs="Tahoma"/>
          <w:bCs/>
          <w:color w:val="000000" w:themeColor="text1"/>
          <w:kern w:val="36"/>
          <w:sz w:val="20"/>
          <w:szCs w:val="20"/>
          <w:u w:val="none"/>
          <w:lang w:eastAsia="cs-CZ"/>
        </w:rPr>
        <w:t xml:space="preserve">é skupiny zaměstnanců v oblasti </w:t>
      </w:r>
      <w:r w:rsidRPr="002962A6">
        <w:rPr>
          <w:rStyle w:val="Hypertextovodkaz"/>
          <w:rFonts w:ascii="Tahoma" w:eastAsia="Times New Roman" w:hAnsi="Tahoma" w:cs="Tahoma"/>
          <w:bCs/>
          <w:color w:val="000000" w:themeColor="text1"/>
          <w:kern w:val="36"/>
          <w:sz w:val="20"/>
          <w:szCs w:val="20"/>
          <w:u w:val="none"/>
          <w:lang w:eastAsia="cs-CZ"/>
        </w:rPr>
        <w:t>flexibility práce, slaďování práce a rodiny a motivovat i podp</w:t>
      </w:r>
      <w:r>
        <w:rPr>
          <w:rStyle w:val="Hypertextovodkaz"/>
          <w:rFonts w:ascii="Tahoma" w:eastAsia="Times New Roman" w:hAnsi="Tahoma" w:cs="Tahoma"/>
          <w:bCs/>
          <w:color w:val="000000" w:themeColor="text1"/>
          <w:kern w:val="36"/>
          <w:sz w:val="20"/>
          <w:szCs w:val="20"/>
          <w:u w:val="none"/>
          <w:lang w:eastAsia="cs-CZ"/>
        </w:rPr>
        <w:t xml:space="preserve">ořit zaměstnavatele k tomu, aby </w:t>
      </w:r>
      <w:r w:rsidRPr="002962A6">
        <w:rPr>
          <w:rStyle w:val="Hypertextovodkaz"/>
          <w:rFonts w:ascii="Tahoma" w:eastAsia="Times New Roman" w:hAnsi="Tahoma" w:cs="Tahoma"/>
          <w:bCs/>
          <w:color w:val="000000" w:themeColor="text1"/>
          <w:kern w:val="36"/>
          <w:sz w:val="20"/>
          <w:szCs w:val="20"/>
          <w:u w:val="none"/>
          <w:lang w:eastAsia="cs-CZ"/>
        </w:rPr>
        <w:t xml:space="preserve">home office byli schopni za jasných a jednoduchých pravidel realizovat. </w:t>
      </w:r>
    </w:p>
    <w:p w:rsidR="002962A6" w:rsidRDefault="002962A6" w:rsidP="002962A6">
      <w:pPr>
        <w:pStyle w:val="Bezmezer"/>
        <w:jc w:val="both"/>
        <w:rPr>
          <w:rStyle w:val="Hypertextovodkaz"/>
          <w:rFonts w:ascii="Tahoma" w:eastAsia="Times New Roman" w:hAnsi="Tahoma" w:cs="Tahoma"/>
          <w:bCs/>
          <w:color w:val="000000" w:themeColor="text1"/>
          <w:kern w:val="36"/>
          <w:sz w:val="20"/>
          <w:szCs w:val="20"/>
          <w:u w:val="none"/>
          <w:lang w:eastAsia="cs-CZ"/>
        </w:rPr>
      </w:pPr>
    </w:p>
    <w:p w:rsidR="002962A6" w:rsidRPr="002962A6" w:rsidRDefault="002962A6" w:rsidP="002962A6">
      <w:pPr>
        <w:pStyle w:val="Bezmezer"/>
        <w:jc w:val="both"/>
        <w:rPr>
          <w:rStyle w:val="Hypertextovodkaz"/>
          <w:rFonts w:ascii="Tahoma" w:eastAsia="Times New Roman" w:hAnsi="Tahoma" w:cs="Tahoma"/>
          <w:bCs/>
          <w:color w:val="000000" w:themeColor="text1"/>
          <w:kern w:val="36"/>
          <w:sz w:val="20"/>
          <w:szCs w:val="20"/>
          <w:u w:val="none"/>
          <w:lang w:eastAsia="cs-CZ"/>
        </w:rPr>
      </w:pPr>
      <w:r w:rsidRPr="002962A6">
        <w:rPr>
          <w:rStyle w:val="Hypertextovodkaz"/>
          <w:rFonts w:ascii="Tahoma" w:eastAsia="Times New Roman" w:hAnsi="Tahoma" w:cs="Tahoma"/>
          <w:bCs/>
          <w:color w:val="000000" w:themeColor="text1"/>
          <w:kern w:val="36"/>
          <w:sz w:val="20"/>
          <w:szCs w:val="20"/>
          <w:u w:val="none"/>
          <w:lang w:eastAsia="cs-CZ"/>
        </w:rPr>
        <w:t>Navrhovaná úprava dále upravuje důležitou oblast úhrady nákladů, souvisejících s home office</w:t>
      </w:r>
      <w:r w:rsidR="00F13DAD">
        <w:rPr>
          <w:rStyle w:val="Hypertextovodkaz"/>
          <w:rFonts w:ascii="Tahoma" w:eastAsia="Times New Roman" w:hAnsi="Tahoma" w:cs="Tahoma"/>
          <w:bCs/>
          <w:color w:val="000000" w:themeColor="text1"/>
          <w:kern w:val="36"/>
          <w:sz w:val="20"/>
          <w:szCs w:val="20"/>
          <w:u w:val="none"/>
          <w:lang w:eastAsia="cs-CZ"/>
        </w:rPr>
        <w:t xml:space="preserve">. </w:t>
      </w:r>
      <w:bookmarkStart w:id="0" w:name="_GoBack"/>
      <w:bookmarkEnd w:id="0"/>
      <w:r w:rsidRPr="002962A6">
        <w:rPr>
          <w:rStyle w:val="Hypertextovodkaz"/>
          <w:rFonts w:ascii="Tahoma" w:eastAsia="Times New Roman" w:hAnsi="Tahoma" w:cs="Tahoma"/>
          <w:bCs/>
          <w:color w:val="000000" w:themeColor="text1"/>
          <w:kern w:val="36"/>
          <w:sz w:val="20"/>
          <w:szCs w:val="20"/>
          <w:u w:val="none"/>
          <w:lang w:eastAsia="cs-CZ"/>
        </w:rPr>
        <w:t>Zaměstnavatel je povinen při výkonu práce mimo pracoviště</w:t>
      </w:r>
      <w:r>
        <w:rPr>
          <w:rStyle w:val="Hypertextovodkaz"/>
          <w:rFonts w:ascii="Tahoma" w:eastAsia="Times New Roman" w:hAnsi="Tahoma" w:cs="Tahoma"/>
          <w:bCs/>
          <w:color w:val="000000" w:themeColor="text1"/>
          <w:kern w:val="36"/>
          <w:sz w:val="20"/>
          <w:szCs w:val="20"/>
          <w:u w:val="none"/>
          <w:lang w:eastAsia="cs-CZ"/>
        </w:rPr>
        <w:t xml:space="preserve"> zaměstnavatele hradit náklady </w:t>
      </w:r>
      <w:r w:rsidRPr="002962A6">
        <w:rPr>
          <w:rStyle w:val="Hypertextovodkaz"/>
          <w:rFonts w:ascii="Tahoma" w:eastAsia="Times New Roman" w:hAnsi="Tahoma" w:cs="Tahoma"/>
          <w:bCs/>
          <w:color w:val="000000" w:themeColor="text1"/>
          <w:kern w:val="36"/>
          <w:sz w:val="20"/>
          <w:szCs w:val="20"/>
          <w:u w:val="none"/>
          <w:lang w:eastAsia="cs-CZ"/>
        </w:rPr>
        <w:t xml:space="preserve">spojené s komunikací mezi zaměstnancem a zaměstnavatelem </w:t>
      </w:r>
      <w:r>
        <w:rPr>
          <w:rStyle w:val="Hypertextovodkaz"/>
          <w:rFonts w:ascii="Tahoma" w:eastAsia="Times New Roman" w:hAnsi="Tahoma" w:cs="Tahoma"/>
          <w:bCs/>
          <w:color w:val="000000" w:themeColor="text1"/>
          <w:kern w:val="36"/>
          <w:sz w:val="20"/>
          <w:szCs w:val="20"/>
          <w:u w:val="none"/>
          <w:lang w:eastAsia="cs-CZ"/>
        </w:rPr>
        <w:t xml:space="preserve">a další náklady, které vzniknou </w:t>
      </w:r>
      <w:r w:rsidRPr="002962A6">
        <w:rPr>
          <w:rStyle w:val="Hypertextovodkaz"/>
          <w:rFonts w:ascii="Tahoma" w:eastAsia="Times New Roman" w:hAnsi="Tahoma" w:cs="Tahoma"/>
          <w:bCs/>
          <w:color w:val="000000" w:themeColor="text1"/>
          <w:kern w:val="36"/>
          <w:sz w:val="20"/>
          <w:szCs w:val="20"/>
          <w:u w:val="none"/>
          <w:lang w:eastAsia="cs-CZ"/>
        </w:rPr>
        <w:t>zaměstnanci při výkonu práce a které s výkonem práce bezpro</w:t>
      </w:r>
      <w:r>
        <w:rPr>
          <w:rStyle w:val="Hypertextovodkaz"/>
          <w:rFonts w:ascii="Tahoma" w:eastAsia="Times New Roman" w:hAnsi="Tahoma" w:cs="Tahoma"/>
          <w:bCs/>
          <w:color w:val="000000" w:themeColor="text1"/>
          <w:kern w:val="36"/>
          <w:sz w:val="20"/>
          <w:szCs w:val="20"/>
          <w:u w:val="none"/>
          <w:lang w:eastAsia="cs-CZ"/>
        </w:rPr>
        <w:t xml:space="preserve">středně souvisejí; tyto náklady </w:t>
      </w:r>
      <w:r w:rsidRPr="002962A6">
        <w:rPr>
          <w:rStyle w:val="Hypertextovodkaz"/>
          <w:rFonts w:ascii="Tahoma" w:eastAsia="Times New Roman" w:hAnsi="Tahoma" w:cs="Tahoma"/>
          <w:bCs/>
          <w:color w:val="000000" w:themeColor="text1"/>
          <w:kern w:val="36"/>
          <w:sz w:val="20"/>
          <w:szCs w:val="20"/>
          <w:u w:val="none"/>
          <w:lang w:eastAsia="cs-CZ"/>
        </w:rPr>
        <w:t>nesmí být zahrnuty ve mzdě, platu nebo odměně z doho</w:t>
      </w:r>
      <w:r>
        <w:rPr>
          <w:rStyle w:val="Hypertextovodkaz"/>
          <w:rFonts w:ascii="Tahoma" w:eastAsia="Times New Roman" w:hAnsi="Tahoma" w:cs="Tahoma"/>
          <w:bCs/>
          <w:color w:val="000000" w:themeColor="text1"/>
          <w:kern w:val="36"/>
          <w:sz w:val="20"/>
          <w:szCs w:val="20"/>
          <w:u w:val="none"/>
          <w:lang w:eastAsia="cs-CZ"/>
        </w:rPr>
        <w:t xml:space="preserve">dy. Zaměstnavatel a zaměstnanec </w:t>
      </w:r>
      <w:r w:rsidRPr="002962A6">
        <w:rPr>
          <w:rStyle w:val="Hypertextovodkaz"/>
          <w:rFonts w:ascii="Tahoma" w:eastAsia="Times New Roman" w:hAnsi="Tahoma" w:cs="Tahoma"/>
          <w:bCs/>
          <w:color w:val="000000" w:themeColor="text1"/>
          <w:kern w:val="36"/>
          <w:sz w:val="20"/>
          <w:szCs w:val="20"/>
          <w:u w:val="none"/>
          <w:lang w:eastAsia="cs-CZ"/>
        </w:rPr>
        <w:t>mohou sjednat úhradu těchto nákladů paušální částkou.</w:t>
      </w:r>
    </w:p>
    <w:p w:rsidR="002962A6" w:rsidRDefault="002962A6" w:rsidP="002962A6">
      <w:pPr>
        <w:pStyle w:val="Bezmezer"/>
        <w:jc w:val="both"/>
        <w:rPr>
          <w:rStyle w:val="Hypertextovodkaz"/>
          <w:rFonts w:ascii="Tahoma" w:eastAsia="Times New Roman" w:hAnsi="Tahoma" w:cs="Tahoma"/>
          <w:bCs/>
          <w:color w:val="000000" w:themeColor="text1"/>
          <w:kern w:val="36"/>
          <w:sz w:val="20"/>
          <w:szCs w:val="20"/>
          <w:u w:val="none"/>
          <w:lang w:eastAsia="cs-CZ"/>
        </w:rPr>
      </w:pPr>
    </w:p>
    <w:p w:rsidR="002962A6" w:rsidRDefault="002962A6" w:rsidP="002962A6">
      <w:pPr>
        <w:pStyle w:val="Bezmezer"/>
        <w:jc w:val="both"/>
        <w:rPr>
          <w:rStyle w:val="Hypertextovodkaz"/>
          <w:rFonts w:ascii="Tahoma" w:eastAsia="Times New Roman" w:hAnsi="Tahoma" w:cs="Tahoma"/>
          <w:bCs/>
          <w:color w:val="000000" w:themeColor="text1"/>
          <w:kern w:val="36"/>
          <w:sz w:val="20"/>
          <w:szCs w:val="20"/>
          <w:u w:val="none"/>
          <w:lang w:eastAsia="cs-CZ"/>
        </w:rPr>
      </w:pPr>
      <w:r w:rsidRPr="002962A6">
        <w:rPr>
          <w:rStyle w:val="Hypertextovodkaz"/>
          <w:rFonts w:ascii="Tahoma" w:eastAsia="Times New Roman" w:hAnsi="Tahoma" w:cs="Tahoma"/>
          <w:bCs/>
          <w:color w:val="000000" w:themeColor="text1"/>
          <w:kern w:val="36"/>
          <w:sz w:val="20"/>
          <w:szCs w:val="20"/>
          <w:u w:val="none"/>
          <w:lang w:eastAsia="cs-CZ"/>
        </w:rPr>
        <w:t>Pro výkon home office má zaměstnavatel také poskytnout odpov</w:t>
      </w:r>
      <w:r>
        <w:rPr>
          <w:rStyle w:val="Hypertextovodkaz"/>
          <w:rFonts w:ascii="Tahoma" w:eastAsia="Times New Roman" w:hAnsi="Tahoma" w:cs="Tahoma"/>
          <w:bCs/>
          <w:color w:val="000000" w:themeColor="text1"/>
          <w:kern w:val="36"/>
          <w:sz w:val="20"/>
          <w:szCs w:val="20"/>
          <w:u w:val="none"/>
          <w:lang w:eastAsia="cs-CZ"/>
        </w:rPr>
        <w:t xml:space="preserve">ídající techniku a vybavení, na </w:t>
      </w:r>
      <w:r w:rsidRPr="002962A6">
        <w:rPr>
          <w:rStyle w:val="Hypertextovodkaz"/>
          <w:rFonts w:ascii="Tahoma" w:eastAsia="Times New Roman" w:hAnsi="Tahoma" w:cs="Tahoma"/>
          <w:bCs/>
          <w:color w:val="000000" w:themeColor="text1"/>
          <w:kern w:val="36"/>
          <w:sz w:val="20"/>
          <w:szCs w:val="20"/>
          <w:u w:val="none"/>
          <w:lang w:eastAsia="cs-CZ"/>
        </w:rPr>
        <w:t>druhé straně zaměstnanec má plně respektovat a dodržovat p</w:t>
      </w:r>
      <w:r>
        <w:rPr>
          <w:rStyle w:val="Hypertextovodkaz"/>
          <w:rFonts w:ascii="Tahoma" w:eastAsia="Times New Roman" w:hAnsi="Tahoma" w:cs="Tahoma"/>
          <w:bCs/>
          <w:color w:val="000000" w:themeColor="text1"/>
          <w:kern w:val="36"/>
          <w:sz w:val="20"/>
          <w:szCs w:val="20"/>
          <w:u w:val="none"/>
          <w:lang w:eastAsia="cs-CZ"/>
        </w:rPr>
        <w:t xml:space="preserve">ravidla spojená s ochranou dat, </w:t>
      </w:r>
      <w:r w:rsidRPr="002962A6">
        <w:rPr>
          <w:rStyle w:val="Hypertextovodkaz"/>
          <w:rFonts w:ascii="Tahoma" w:eastAsia="Times New Roman" w:hAnsi="Tahoma" w:cs="Tahoma"/>
          <w:bCs/>
          <w:color w:val="000000" w:themeColor="text1"/>
          <w:kern w:val="36"/>
          <w:sz w:val="20"/>
          <w:szCs w:val="20"/>
          <w:u w:val="none"/>
          <w:lang w:eastAsia="cs-CZ"/>
        </w:rPr>
        <w:t>know-how svého zaměstnavatele atd.</w:t>
      </w:r>
    </w:p>
    <w:p w:rsidR="002962A6" w:rsidRPr="002962A6" w:rsidRDefault="002962A6" w:rsidP="002962A6">
      <w:pPr>
        <w:pStyle w:val="Bezmezer"/>
        <w:jc w:val="both"/>
        <w:rPr>
          <w:rStyle w:val="Hypertextovodkaz"/>
          <w:rFonts w:ascii="Tahoma" w:eastAsia="Times New Roman" w:hAnsi="Tahoma" w:cs="Tahoma"/>
          <w:bCs/>
          <w:color w:val="000000" w:themeColor="text1"/>
          <w:kern w:val="36"/>
          <w:sz w:val="20"/>
          <w:szCs w:val="20"/>
          <w:u w:val="none"/>
          <w:lang w:eastAsia="cs-CZ"/>
        </w:rPr>
      </w:pPr>
    </w:p>
    <w:p w:rsidR="002962A6" w:rsidRPr="002962A6" w:rsidRDefault="002962A6" w:rsidP="002962A6">
      <w:pPr>
        <w:pStyle w:val="Bezmezer"/>
        <w:jc w:val="both"/>
        <w:rPr>
          <w:rStyle w:val="Hypertextovodkaz"/>
          <w:rFonts w:ascii="Tahoma" w:eastAsia="Times New Roman" w:hAnsi="Tahoma" w:cs="Tahoma"/>
          <w:bCs/>
          <w:color w:val="000000" w:themeColor="text1"/>
          <w:kern w:val="36"/>
          <w:sz w:val="20"/>
          <w:szCs w:val="20"/>
          <w:u w:val="none"/>
          <w:lang w:eastAsia="cs-CZ"/>
        </w:rPr>
      </w:pPr>
      <w:r w:rsidRPr="002962A6">
        <w:rPr>
          <w:rStyle w:val="Hypertextovodkaz"/>
          <w:rFonts w:ascii="Tahoma" w:eastAsia="Times New Roman" w:hAnsi="Tahoma" w:cs="Tahoma"/>
          <w:bCs/>
          <w:color w:val="000000" w:themeColor="text1"/>
          <w:kern w:val="36"/>
          <w:sz w:val="20"/>
          <w:szCs w:val="20"/>
          <w:u w:val="none"/>
          <w:lang w:eastAsia="cs-CZ"/>
        </w:rPr>
        <w:t>Významnou oblastí je duševní hygiena: v rámci home</w:t>
      </w:r>
      <w:r>
        <w:rPr>
          <w:rStyle w:val="Hypertextovodkaz"/>
          <w:rFonts w:ascii="Tahoma" w:eastAsia="Times New Roman" w:hAnsi="Tahoma" w:cs="Tahoma"/>
          <w:bCs/>
          <w:color w:val="000000" w:themeColor="text1"/>
          <w:kern w:val="36"/>
          <w:sz w:val="20"/>
          <w:szCs w:val="20"/>
          <w:u w:val="none"/>
          <w:lang w:eastAsia="cs-CZ"/>
        </w:rPr>
        <w:t xml:space="preserve"> office tak má být zaměstnancům </w:t>
      </w:r>
      <w:r w:rsidRPr="002962A6">
        <w:rPr>
          <w:rStyle w:val="Hypertextovodkaz"/>
          <w:rFonts w:ascii="Tahoma" w:eastAsia="Times New Roman" w:hAnsi="Tahoma" w:cs="Tahoma"/>
          <w:bCs/>
          <w:color w:val="000000" w:themeColor="text1"/>
          <w:kern w:val="36"/>
          <w:sz w:val="20"/>
          <w:szCs w:val="20"/>
          <w:u w:val="none"/>
          <w:lang w:eastAsia="cs-CZ"/>
        </w:rPr>
        <w:t>umožněn nejen kontakt s ostatními členy týmu, kolegy; ale tak</w:t>
      </w:r>
      <w:r>
        <w:rPr>
          <w:rStyle w:val="Hypertextovodkaz"/>
          <w:rFonts w:ascii="Tahoma" w:eastAsia="Times New Roman" w:hAnsi="Tahoma" w:cs="Tahoma"/>
          <w:bCs/>
          <w:color w:val="000000" w:themeColor="text1"/>
          <w:kern w:val="36"/>
          <w:sz w:val="20"/>
          <w:szCs w:val="20"/>
          <w:u w:val="none"/>
          <w:lang w:eastAsia="cs-CZ"/>
        </w:rPr>
        <w:t xml:space="preserve">é právo na "vypnutí" - tj. čas, </w:t>
      </w:r>
      <w:r w:rsidRPr="002962A6">
        <w:rPr>
          <w:rStyle w:val="Hypertextovodkaz"/>
          <w:rFonts w:ascii="Tahoma" w:eastAsia="Times New Roman" w:hAnsi="Tahoma" w:cs="Tahoma"/>
          <w:bCs/>
          <w:color w:val="000000" w:themeColor="text1"/>
          <w:kern w:val="36"/>
          <w:sz w:val="20"/>
          <w:szCs w:val="20"/>
          <w:u w:val="none"/>
          <w:lang w:eastAsia="cs-CZ"/>
        </w:rPr>
        <w:t xml:space="preserve">kdy má zaměstnanec volno dle standardního rozvržení pracovní </w:t>
      </w:r>
      <w:r>
        <w:rPr>
          <w:rStyle w:val="Hypertextovodkaz"/>
          <w:rFonts w:ascii="Tahoma" w:eastAsia="Times New Roman" w:hAnsi="Tahoma" w:cs="Tahoma"/>
          <w:bCs/>
          <w:color w:val="000000" w:themeColor="text1"/>
          <w:kern w:val="36"/>
          <w:sz w:val="20"/>
          <w:szCs w:val="20"/>
          <w:u w:val="none"/>
          <w:lang w:eastAsia="cs-CZ"/>
        </w:rPr>
        <w:t xml:space="preserve">doby, a ve kterém si práci může </w:t>
      </w:r>
      <w:r w:rsidRPr="002962A6">
        <w:rPr>
          <w:rStyle w:val="Hypertextovodkaz"/>
          <w:rFonts w:ascii="Tahoma" w:eastAsia="Times New Roman" w:hAnsi="Tahoma" w:cs="Tahoma"/>
          <w:bCs/>
          <w:color w:val="000000" w:themeColor="text1"/>
          <w:kern w:val="36"/>
          <w:sz w:val="20"/>
          <w:szCs w:val="20"/>
          <w:u w:val="none"/>
          <w:lang w:eastAsia="cs-CZ"/>
        </w:rPr>
        <w:t>dobrovolně rozložit, nikoliv být úkolován zaměstnava</w:t>
      </w:r>
      <w:r>
        <w:rPr>
          <w:rStyle w:val="Hypertextovodkaz"/>
          <w:rFonts w:ascii="Tahoma" w:eastAsia="Times New Roman" w:hAnsi="Tahoma" w:cs="Tahoma"/>
          <w:bCs/>
          <w:color w:val="000000" w:themeColor="text1"/>
          <w:kern w:val="36"/>
          <w:sz w:val="20"/>
          <w:szCs w:val="20"/>
          <w:u w:val="none"/>
          <w:lang w:eastAsia="cs-CZ"/>
        </w:rPr>
        <w:t xml:space="preserve">telem; zaměstnavatel tak nemůže </w:t>
      </w:r>
      <w:r w:rsidRPr="002962A6">
        <w:rPr>
          <w:rStyle w:val="Hypertextovodkaz"/>
          <w:rFonts w:ascii="Tahoma" w:eastAsia="Times New Roman" w:hAnsi="Tahoma" w:cs="Tahoma"/>
          <w:bCs/>
          <w:color w:val="000000" w:themeColor="text1"/>
          <w:kern w:val="36"/>
          <w:sz w:val="20"/>
          <w:szCs w:val="20"/>
          <w:u w:val="none"/>
          <w:lang w:eastAsia="cs-CZ"/>
        </w:rPr>
        <w:t>vyžadovat výkon práce zaměstnance v době mezi 20h – 6h, o so</w:t>
      </w:r>
      <w:r>
        <w:rPr>
          <w:rStyle w:val="Hypertextovodkaz"/>
          <w:rFonts w:ascii="Tahoma" w:eastAsia="Times New Roman" w:hAnsi="Tahoma" w:cs="Tahoma"/>
          <w:bCs/>
          <w:color w:val="000000" w:themeColor="text1"/>
          <w:kern w:val="36"/>
          <w:sz w:val="20"/>
          <w:szCs w:val="20"/>
          <w:u w:val="none"/>
          <w:lang w:eastAsia="cs-CZ"/>
        </w:rPr>
        <w:t xml:space="preserve">botách, nedělích a ve svátcích, </w:t>
      </w:r>
      <w:r w:rsidRPr="002962A6">
        <w:rPr>
          <w:rStyle w:val="Hypertextovodkaz"/>
          <w:rFonts w:ascii="Tahoma" w:eastAsia="Times New Roman" w:hAnsi="Tahoma" w:cs="Tahoma"/>
          <w:bCs/>
          <w:color w:val="000000" w:themeColor="text1"/>
          <w:kern w:val="36"/>
          <w:sz w:val="20"/>
          <w:szCs w:val="20"/>
          <w:u w:val="none"/>
          <w:lang w:eastAsia="cs-CZ"/>
        </w:rPr>
        <w:t>nevyplývá-li z povahy práce nezbytnost práci v této době nařizovat.</w:t>
      </w:r>
    </w:p>
    <w:p w:rsidR="002962A6" w:rsidRDefault="002962A6" w:rsidP="002962A6">
      <w:pPr>
        <w:pStyle w:val="Bezmezer"/>
        <w:jc w:val="both"/>
        <w:rPr>
          <w:rStyle w:val="Hypertextovodkaz"/>
          <w:rFonts w:ascii="Tahoma" w:eastAsia="Times New Roman" w:hAnsi="Tahoma" w:cs="Tahoma"/>
          <w:bCs/>
          <w:color w:val="000000" w:themeColor="text1"/>
          <w:kern w:val="36"/>
          <w:sz w:val="20"/>
          <w:szCs w:val="20"/>
          <w:u w:val="none"/>
          <w:lang w:eastAsia="cs-CZ"/>
        </w:rPr>
      </w:pPr>
    </w:p>
    <w:p w:rsidR="008561A8" w:rsidRDefault="002962A6" w:rsidP="002962A6">
      <w:pPr>
        <w:pStyle w:val="Bezmezer"/>
        <w:jc w:val="both"/>
        <w:rPr>
          <w:rStyle w:val="Hypertextovodkaz"/>
          <w:rFonts w:ascii="Tahoma" w:eastAsia="Times New Roman" w:hAnsi="Tahoma" w:cs="Tahoma"/>
          <w:bCs/>
          <w:color w:val="000000" w:themeColor="text1"/>
          <w:kern w:val="36"/>
          <w:sz w:val="20"/>
          <w:szCs w:val="20"/>
          <w:u w:val="none"/>
          <w:lang w:eastAsia="cs-CZ"/>
        </w:rPr>
      </w:pPr>
      <w:r w:rsidRPr="002962A6">
        <w:rPr>
          <w:rStyle w:val="Hypertextovodkaz"/>
          <w:rFonts w:ascii="Tahoma" w:eastAsia="Times New Roman" w:hAnsi="Tahoma" w:cs="Tahoma"/>
          <w:bCs/>
          <w:color w:val="000000" w:themeColor="text1"/>
          <w:kern w:val="36"/>
          <w:sz w:val="20"/>
          <w:szCs w:val="20"/>
          <w:u w:val="none"/>
          <w:lang w:eastAsia="cs-CZ"/>
        </w:rPr>
        <w:t>Ustanovení BOZP se při výkonu práce mimo pracoviště zamě</w:t>
      </w:r>
      <w:r>
        <w:rPr>
          <w:rStyle w:val="Hypertextovodkaz"/>
          <w:rFonts w:ascii="Tahoma" w:eastAsia="Times New Roman" w:hAnsi="Tahoma" w:cs="Tahoma"/>
          <w:bCs/>
          <w:color w:val="000000" w:themeColor="text1"/>
          <w:kern w:val="36"/>
          <w:sz w:val="20"/>
          <w:szCs w:val="20"/>
          <w:u w:val="none"/>
          <w:lang w:eastAsia="cs-CZ"/>
        </w:rPr>
        <w:t xml:space="preserve">stnavatele použijí přiměřeně. V </w:t>
      </w:r>
      <w:r w:rsidRPr="002962A6">
        <w:rPr>
          <w:rStyle w:val="Hypertextovodkaz"/>
          <w:rFonts w:ascii="Tahoma" w:eastAsia="Times New Roman" w:hAnsi="Tahoma" w:cs="Tahoma"/>
          <w:bCs/>
          <w:color w:val="000000" w:themeColor="text1"/>
          <w:kern w:val="36"/>
          <w:sz w:val="20"/>
          <w:szCs w:val="20"/>
          <w:u w:val="none"/>
          <w:lang w:eastAsia="cs-CZ"/>
        </w:rPr>
        <w:t>případě, že se zaměstnanci při výkonu práce na dálku stane pr</w:t>
      </w:r>
      <w:r>
        <w:rPr>
          <w:rStyle w:val="Hypertextovodkaz"/>
          <w:rFonts w:ascii="Tahoma" w:eastAsia="Times New Roman" w:hAnsi="Tahoma" w:cs="Tahoma"/>
          <w:bCs/>
          <w:color w:val="000000" w:themeColor="text1"/>
          <w:kern w:val="36"/>
          <w:sz w:val="20"/>
          <w:szCs w:val="20"/>
          <w:u w:val="none"/>
          <w:lang w:eastAsia="cs-CZ"/>
        </w:rPr>
        <w:t xml:space="preserve">acovní úraz, je povinen umožnit </w:t>
      </w:r>
      <w:r w:rsidRPr="002962A6">
        <w:rPr>
          <w:rStyle w:val="Hypertextovodkaz"/>
          <w:rFonts w:ascii="Tahoma" w:eastAsia="Times New Roman" w:hAnsi="Tahoma" w:cs="Tahoma"/>
          <w:bCs/>
          <w:color w:val="000000" w:themeColor="text1"/>
          <w:kern w:val="36"/>
          <w:sz w:val="20"/>
          <w:szCs w:val="20"/>
          <w:u w:val="none"/>
          <w:lang w:eastAsia="cs-CZ"/>
        </w:rPr>
        <w:t>zaměstnavateli provést šetření objasnění příčin a okolností vzniku pracovního úrazu.</w:t>
      </w:r>
      <w:r w:rsidRPr="002962A6">
        <w:rPr>
          <w:rStyle w:val="Hypertextovodkaz"/>
          <w:rFonts w:ascii="Tahoma" w:eastAsia="Times New Roman" w:hAnsi="Tahoma" w:cs="Tahoma"/>
          <w:bCs/>
          <w:color w:val="000000" w:themeColor="text1"/>
          <w:kern w:val="36"/>
          <w:sz w:val="20"/>
          <w:szCs w:val="20"/>
          <w:u w:val="none"/>
          <w:lang w:eastAsia="cs-CZ"/>
        </w:rPr>
        <w:cr/>
      </w:r>
    </w:p>
    <w:p w:rsidR="002962A6" w:rsidRDefault="002962A6" w:rsidP="002962A6">
      <w:pPr>
        <w:pStyle w:val="Bezmezer"/>
        <w:jc w:val="both"/>
        <w:rPr>
          <w:rStyle w:val="Hypertextovodkaz"/>
          <w:rFonts w:ascii="Tahoma" w:eastAsia="Times New Roman" w:hAnsi="Tahoma" w:cs="Tahoma"/>
          <w:bCs/>
          <w:color w:val="000000" w:themeColor="text1"/>
          <w:kern w:val="36"/>
          <w:sz w:val="20"/>
          <w:szCs w:val="20"/>
          <w:u w:val="none"/>
          <w:lang w:eastAsia="cs-CZ"/>
        </w:rPr>
      </w:pPr>
    </w:p>
    <w:p w:rsidR="002962A6" w:rsidRDefault="002962A6" w:rsidP="002962A6">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2962A6" w:rsidRDefault="002962A6" w:rsidP="002962A6">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 xml:space="preserve">OŘLZ </w:t>
      </w:r>
      <w:r w:rsidRPr="00FE2CDB">
        <w:rPr>
          <w:rStyle w:val="Hypertextovodkaz"/>
          <w:rFonts w:ascii="Tahoma" w:eastAsia="Times New Roman" w:hAnsi="Tahoma" w:cs="Tahoma"/>
          <w:bCs/>
          <w:i/>
          <w:color w:val="000000" w:themeColor="text1"/>
          <w:kern w:val="36"/>
          <w:sz w:val="20"/>
          <w:szCs w:val="20"/>
          <w:u w:val="none"/>
          <w:lang w:eastAsia="cs-CZ"/>
        </w:rPr>
        <w:t>provede věcnou analýzu dopadů a zpracuje případný návrh implementačních opatření do procesů společnosti.</w:t>
      </w:r>
      <w:r>
        <w:rPr>
          <w:rStyle w:val="Hypertextovodkaz"/>
          <w:rFonts w:ascii="Tahoma" w:eastAsia="Times New Roman" w:hAnsi="Tahoma" w:cs="Tahoma"/>
          <w:bCs/>
          <w:i/>
          <w:color w:val="000000" w:themeColor="text1"/>
          <w:kern w:val="36"/>
          <w:sz w:val="20"/>
          <w:szCs w:val="20"/>
          <w:u w:val="none"/>
          <w:lang w:eastAsia="cs-CZ"/>
        </w:rPr>
        <w:t xml:space="preserve"> </w:t>
      </w:r>
      <w:r w:rsidRPr="003F7FFC">
        <w:rPr>
          <w:rStyle w:val="Hypertextovodkaz"/>
          <w:rFonts w:ascii="Tahoma" w:eastAsia="Times New Roman" w:hAnsi="Tahoma" w:cs="Tahoma"/>
          <w:bCs/>
          <w:i/>
          <w:color w:val="000000" w:themeColor="text1"/>
          <w:kern w:val="36"/>
          <w:sz w:val="20"/>
          <w:szCs w:val="20"/>
          <w:u w:val="none"/>
          <w:lang w:eastAsia="cs-CZ"/>
        </w:rPr>
        <w:t>Informaci o zhodnocení dopadů a o stavu implementace zašle na emailovou adresu legislativa@ceproas.cz.</w:t>
      </w:r>
    </w:p>
    <w:p w:rsidR="002962A6" w:rsidRDefault="002962A6" w:rsidP="002962A6">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2962A6" w:rsidRDefault="002962A6" w:rsidP="002962A6">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2962A6" w:rsidRPr="003F7FFC" w:rsidRDefault="002962A6" w:rsidP="002962A6">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sidRPr="00B16A80">
        <w:rPr>
          <w:rStyle w:val="Hypertextovodkaz"/>
          <w:rFonts w:ascii="Tahoma" w:eastAsia="Times New Roman" w:hAnsi="Tahoma" w:cs="Tahoma"/>
          <w:b/>
          <w:bCs/>
          <w:i/>
          <w:color w:val="000000" w:themeColor="text1"/>
          <w:kern w:val="36"/>
          <w:sz w:val="20"/>
          <w:szCs w:val="20"/>
          <w:u w:val="none"/>
          <w:lang w:eastAsia="cs-CZ"/>
        </w:rPr>
        <w:t xml:space="preserve">Odpovědný útvar: </w:t>
      </w:r>
      <w:r>
        <w:rPr>
          <w:rStyle w:val="Hypertextovodkaz"/>
          <w:rFonts w:ascii="Tahoma" w:eastAsia="Times New Roman" w:hAnsi="Tahoma" w:cs="Tahoma"/>
          <w:bCs/>
          <w:i/>
          <w:color w:val="000000" w:themeColor="text1"/>
          <w:kern w:val="36"/>
          <w:sz w:val="20"/>
          <w:szCs w:val="20"/>
          <w:u w:val="none"/>
          <w:lang w:eastAsia="cs-CZ"/>
        </w:rPr>
        <w:t xml:space="preserve">OŘLZ – Mgr. Andrea Kanta </w:t>
      </w:r>
      <w:r>
        <w:rPr>
          <w:rStyle w:val="Hypertextovodkaz"/>
          <w:rFonts w:ascii="Tahoma" w:eastAsia="Times New Roman" w:hAnsi="Tahoma" w:cs="Tahoma"/>
          <w:bCs/>
          <w:i/>
          <w:color w:val="000000" w:themeColor="text1"/>
          <w:kern w:val="36"/>
          <w:sz w:val="20"/>
          <w:szCs w:val="20"/>
          <w:u w:val="none"/>
          <w:lang w:eastAsia="cs-CZ"/>
        </w:rPr>
        <w:tab/>
      </w:r>
      <w:r w:rsidRPr="00B16A80">
        <w:rPr>
          <w:rStyle w:val="Hypertextovodkaz"/>
          <w:rFonts w:ascii="Tahoma" w:eastAsia="Times New Roman" w:hAnsi="Tahoma" w:cs="Tahoma"/>
          <w:b/>
          <w:bCs/>
          <w:i/>
          <w:color w:val="000000" w:themeColor="text1"/>
          <w:kern w:val="36"/>
          <w:sz w:val="20"/>
          <w:szCs w:val="20"/>
          <w:u w:val="none"/>
          <w:lang w:eastAsia="cs-CZ"/>
        </w:rPr>
        <w:t>Termín:</w:t>
      </w:r>
      <w:r w:rsidRPr="00B16A80">
        <w:rPr>
          <w:rStyle w:val="Hypertextovodkaz"/>
          <w:rFonts w:ascii="Tahoma" w:eastAsia="Times New Roman" w:hAnsi="Tahoma" w:cs="Tahoma"/>
          <w:bCs/>
          <w:i/>
          <w:color w:val="000000" w:themeColor="text1"/>
          <w:kern w:val="36"/>
          <w:sz w:val="20"/>
          <w:szCs w:val="20"/>
          <w:u w:val="none"/>
          <w:lang w:eastAsia="cs-CZ"/>
        </w:rPr>
        <w:t xml:space="preserve">  </w:t>
      </w:r>
      <w:proofErr w:type="gramStart"/>
      <w:r>
        <w:rPr>
          <w:rStyle w:val="Hypertextovodkaz"/>
          <w:rFonts w:ascii="Tahoma" w:eastAsia="Times New Roman" w:hAnsi="Tahoma" w:cs="Tahoma"/>
          <w:b/>
          <w:bCs/>
          <w:i/>
          <w:color w:val="000000" w:themeColor="text1"/>
          <w:kern w:val="36"/>
          <w:sz w:val="20"/>
          <w:szCs w:val="20"/>
          <w:u w:val="none"/>
          <w:lang w:eastAsia="cs-CZ"/>
        </w:rPr>
        <w:t>30.4.2021</w:t>
      </w:r>
      <w:proofErr w:type="gramEnd"/>
    </w:p>
    <w:p w:rsidR="002962A6" w:rsidRDefault="002962A6" w:rsidP="002962A6">
      <w:pPr>
        <w:pStyle w:val="Bezmezer"/>
        <w:jc w:val="both"/>
        <w:rPr>
          <w:rStyle w:val="Hypertextovodkaz"/>
          <w:rFonts w:ascii="Tahoma" w:eastAsia="Times New Roman" w:hAnsi="Tahoma" w:cs="Tahoma"/>
          <w:bCs/>
          <w:color w:val="000000" w:themeColor="text1"/>
          <w:kern w:val="36"/>
          <w:sz w:val="20"/>
          <w:szCs w:val="20"/>
          <w:u w:val="none"/>
          <w:lang w:eastAsia="cs-CZ"/>
        </w:rPr>
      </w:pPr>
    </w:p>
    <w:p w:rsidR="0056543F" w:rsidRDefault="0056543F" w:rsidP="002962A6">
      <w:pPr>
        <w:pStyle w:val="Bezmezer"/>
        <w:jc w:val="both"/>
        <w:rPr>
          <w:rStyle w:val="Hypertextovodkaz"/>
          <w:rFonts w:ascii="Tahoma" w:eastAsia="Times New Roman" w:hAnsi="Tahoma" w:cs="Tahoma"/>
          <w:bCs/>
          <w:color w:val="000000" w:themeColor="text1"/>
          <w:kern w:val="36"/>
          <w:sz w:val="20"/>
          <w:szCs w:val="20"/>
          <w:u w:val="none"/>
          <w:lang w:eastAsia="cs-CZ"/>
        </w:rPr>
      </w:pPr>
    </w:p>
    <w:p w:rsidR="00BA315A" w:rsidRDefault="00BA315A" w:rsidP="00BA315A">
      <w:pPr>
        <w:pStyle w:val="Bezmezer"/>
        <w:numPr>
          <w:ilvl w:val="0"/>
          <w:numId w:val="28"/>
        </w:numPr>
        <w:shd w:val="clear" w:color="auto" w:fill="CCFFCC"/>
        <w:spacing w:line="360" w:lineRule="auto"/>
        <w:jc w:val="center"/>
        <w:rPr>
          <w:rFonts w:ascii="Tahoma" w:hAnsi="Tahoma" w:cs="Tahoma"/>
          <w:b/>
          <w:sz w:val="28"/>
          <w:szCs w:val="20"/>
        </w:rPr>
      </w:pPr>
      <w:r>
        <w:rPr>
          <w:rFonts w:ascii="Tahoma" w:hAnsi="Tahoma" w:cs="Tahoma"/>
          <w:b/>
          <w:sz w:val="28"/>
          <w:szCs w:val="20"/>
        </w:rPr>
        <w:lastRenderedPageBreak/>
        <w:t>Aktuální stanoviska a judikatura</w:t>
      </w:r>
    </w:p>
    <w:p w:rsidR="00BA315A" w:rsidRDefault="00BA315A" w:rsidP="00BA315A">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BA315A" w:rsidRPr="00374BCE" w:rsidRDefault="0045228C" w:rsidP="0045228C">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45228C">
        <w:rPr>
          <w:rStyle w:val="Hypertextovodkaz"/>
          <w:rFonts w:ascii="Tahoma" w:eastAsia="Times New Roman" w:hAnsi="Tahoma" w:cs="Tahoma"/>
          <w:b/>
          <w:bCs/>
          <w:color w:val="000000" w:themeColor="text1"/>
          <w:kern w:val="36"/>
          <w:sz w:val="24"/>
          <w:szCs w:val="24"/>
          <w:u w:val="none"/>
          <w:lang w:eastAsia="cs-CZ"/>
        </w:rPr>
        <w:t>Posouzení pohotovosti dle rozsahu omezení zaměstnance</w:t>
      </w:r>
      <w:r w:rsidR="00F13DAD">
        <w:rPr>
          <w:rStyle w:val="Hypertextovodkaz"/>
          <w:rFonts w:ascii="Tahoma" w:eastAsia="Times New Roman" w:hAnsi="Tahoma" w:cs="Tahoma"/>
          <w:b/>
          <w:bCs/>
          <w:color w:val="000000" w:themeColor="text1"/>
          <w:kern w:val="36"/>
          <w:sz w:val="24"/>
          <w:szCs w:val="24"/>
          <w:u w:val="none"/>
          <w:lang w:eastAsia="cs-CZ"/>
        </w:rPr>
        <w:pict>
          <v:rect id="_x0000_i1028" style="width:0;height:1.5pt" o:hralign="center" o:hrstd="t" o:hr="t" fillcolor="#a0a0a0" stroked="f"/>
        </w:pict>
      </w:r>
    </w:p>
    <w:p w:rsidR="00BA315A" w:rsidRPr="00374BCE" w:rsidRDefault="0045228C" w:rsidP="00BA315A">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Soudní dvůr Evropské unie</w:t>
      </w:r>
    </w:p>
    <w:p w:rsidR="00483D7E" w:rsidRDefault="00483D7E" w:rsidP="0045228C">
      <w:pPr>
        <w:pStyle w:val="Bezmezer"/>
        <w:spacing w:line="276" w:lineRule="auto"/>
        <w:jc w:val="both"/>
        <w:rPr>
          <w:rFonts w:ascii="Tahoma" w:hAnsi="Tahoma" w:cs="Tahoma"/>
          <w:color w:val="000000" w:themeColor="text1"/>
          <w:sz w:val="18"/>
          <w:szCs w:val="18"/>
        </w:rPr>
      </w:pPr>
    </w:p>
    <w:p w:rsidR="0045228C" w:rsidRPr="0045228C" w:rsidRDefault="0045228C" w:rsidP="0045228C">
      <w:pPr>
        <w:pStyle w:val="Bezmezer"/>
        <w:spacing w:line="276" w:lineRule="auto"/>
        <w:jc w:val="both"/>
        <w:rPr>
          <w:rFonts w:ascii="Tahoma" w:hAnsi="Tahoma" w:cs="Tahoma"/>
          <w:color w:val="000000" w:themeColor="text1"/>
          <w:sz w:val="18"/>
          <w:szCs w:val="18"/>
        </w:rPr>
      </w:pPr>
      <w:r>
        <w:rPr>
          <w:rFonts w:ascii="Tahoma" w:hAnsi="Tahoma" w:cs="Tahoma"/>
          <w:color w:val="000000" w:themeColor="text1"/>
          <w:sz w:val="18"/>
          <w:szCs w:val="18"/>
        </w:rPr>
        <w:t xml:space="preserve">SDEU se zabýval případem, kdy </w:t>
      </w:r>
      <w:r w:rsidRPr="0045228C">
        <w:rPr>
          <w:rFonts w:ascii="Tahoma" w:hAnsi="Tahoma" w:cs="Tahoma"/>
          <w:color w:val="000000" w:themeColor="text1"/>
          <w:sz w:val="18"/>
          <w:szCs w:val="18"/>
        </w:rPr>
        <w:t xml:space="preserve">byl odborný technik pověřen zajišťováním provozu televizních vysílacích středisek nacházejících se na vrcholu hory ve Slovinsku po dobu několika po sobě jdoucích dnů. Kromě dvanácti hodin běžné pracovní doby držel pracovní pohotovosti v délce šesti hodin denně v režimu pracovní pohotovosti na zavolání. Během těchto dob nebyl povinen setrvat v dotčeném vysílacím středisku, ale musel být telefonicky dosažitelný a být schopen se v případě potřeby vrátit do střediska ve lhůtě jedné hodiny. Vzhledem k zeměpisné poloze vysílacích středisek, obtížně přístupných, se v nich ve skutečnosti musel během svých pracovních pohotovostí zdržovat ve služebním bytě, který mu poskytl jeho zaměstnavatel, bez velkých možností pro volnočasové aktivity. </w:t>
      </w:r>
    </w:p>
    <w:p w:rsidR="0045228C" w:rsidRPr="0045228C" w:rsidRDefault="0045228C" w:rsidP="0045228C">
      <w:pPr>
        <w:pStyle w:val="Bezmezer"/>
        <w:spacing w:line="276" w:lineRule="auto"/>
        <w:jc w:val="both"/>
        <w:rPr>
          <w:rFonts w:ascii="Tahoma" w:hAnsi="Tahoma" w:cs="Tahoma"/>
          <w:color w:val="000000" w:themeColor="text1"/>
          <w:sz w:val="18"/>
          <w:szCs w:val="18"/>
        </w:rPr>
      </w:pPr>
    </w:p>
    <w:p w:rsidR="0045228C" w:rsidRPr="0045228C" w:rsidRDefault="0045228C" w:rsidP="0045228C">
      <w:pPr>
        <w:pStyle w:val="Bezmezer"/>
        <w:spacing w:line="276" w:lineRule="auto"/>
        <w:jc w:val="both"/>
        <w:rPr>
          <w:rFonts w:ascii="Tahoma" w:hAnsi="Tahoma" w:cs="Tahoma"/>
          <w:color w:val="000000" w:themeColor="text1"/>
          <w:sz w:val="18"/>
          <w:szCs w:val="18"/>
        </w:rPr>
      </w:pPr>
      <w:r>
        <w:rPr>
          <w:rFonts w:ascii="Tahoma" w:hAnsi="Tahoma" w:cs="Tahoma"/>
          <w:color w:val="000000" w:themeColor="text1"/>
          <w:sz w:val="18"/>
          <w:szCs w:val="18"/>
        </w:rPr>
        <w:t>Dále byl posuzován případ, kdy operační důstojník</w:t>
      </w:r>
      <w:r w:rsidRPr="0045228C">
        <w:rPr>
          <w:rFonts w:ascii="Tahoma" w:hAnsi="Tahoma" w:cs="Tahoma"/>
          <w:color w:val="000000" w:themeColor="text1"/>
          <w:sz w:val="18"/>
          <w:szCs w:val="18"/>
        </w:rPr>
        <w:t xml:space="preserve"> vykonával </w:t>
      </w:r>
      <w:r>
        <w:rPr>
          <w:rFonts w:ascii="Tahoma" w:hAnsi="Tahoma" w:cs="Tahoma"/>
          <w:color w:val="000000" w:themeColor="text1"/>
          <w:sz w:val="18"/>
          <w:szCs w:val="18"/>
        </w:rPr>
        <w:t>službu jako hasič</w:t>
      </w:r>
      <w:r w:rsidRPr="0045228C">
        <w:rPr>
          <w:rFonts w:ascii="Tahoma" w:hAnsi="Tahoma" w:cs="Tahoma"/>
          <w:color w:val="000000" w:themeColor="text1"/>
          <w:sz w:val="18"/>
          <w:szCs w:val="18"/>
        </w:rPr>
        <w:t xml:space="preserve"> (Německo). Z tohoto titulu musel vedle pravidelné služby držet pravidelně pracovní pohotovosti v režimu pracovní pohotovosti na zavolání. Během těchto dob nebyl povinen být přítomen na místě určeném zaměstnavatelem, ale musel být dosažitelný a v případě poplachu být s to se ve lhůtě 20 minut dostavit na hranici města se zásahovým oblekem a služebním vozidlem, které mu bylo dáno k dispozici.</w:t>
      </w:r>
    </w:p>
    <w:p w:rsidR="0045228C" w:rsidRPr="0045228C" w:rsidRDefault="0045228C" w:rsidP="0045228C">
      <w:pPr>
        <w:pStyle w:val="Bezmezer"/>
        <w:spacing w:line="276" w:lineRule="auto"/>
        <w:jc w:val="both"/>
        <w:rPr>
          <w:rFonts w:ascii="Tahoma" w:hAnsi="Tahoma" w:cs="Tahoma"/>
          <w:color w:val="000000" w:themeColor="text1"/>
          <w:sz w:val="18"/>
          <w:szCs w:val="18"/>
        </w:rPr>
      </w:pPr>
    </w:p>
    <w:p w:rsidR="0045228C" w:rsidRPr="0045228C" w:rsidRDefault="0045228C" w:rsidP="0045228C">
      <w:pPr>
        <w:pStyle w:val="Bezmezer"/>
        <w:spacing w:line="276" w:lineRule="auto"/>
        <w:jc w:val="both"/>
        <w:rPr>
          <w:rFonts w:ascii="Tahoma" w:hAnsi="Tahoma" w:cs="Tahoma"/>
          <w:color w:val="000000" w:themeColor="text1"/>
          <w:sz w:val="18"/>
          <w:szCs w:val="18"/>
        </w:rPr>
      </w:pPr>
      <w:r w:rsidRPr="0045228C">
        <w:rPr>
          <w:rFonts w:ascii="Tahoma" w:hAnsi="Tahoma" w:cs="Tahoma"/>
          <w:color w:val="000000" w:themeColor="text1"/>
          <w:sz w:val="18"/>
          <w:szCs w:val="18"/>
        </w:rPr>
        <w:t xml:space="preserve">Soudní dvůr rozhodl, že </w:t>
      </w:r>
      <w:r w:rsidRPr="0045228C">
        <w:rPr>
          <w:rFonts w:ascii="Tahoma" w:hAnsi="Tahoma" w:cs="Tahoma"/>
          <w:b/>
          <w:color w:val="000000" w:themeColor="text1"/>
          <w:sz w:val="18"/>
          <w:szCs w:val="18"/>
        </w:rPr>
        <w:t>doby pracovní pohotovosti, včetně dob v režimu pracovní pohotovosti na zavolání, spadají v plném rozsahu rovněž pod pojem „pracovní doba“, pokud omezení uložená pracovníkovi během těchto dob objektivně a velmi významně ovlivňují jeho možnost volně nakládat s časem, během něhož jeho profesní služby nejsou vyžadovány, a věnovat se vlastním zájmům</w:t>
      </w:r>
      <w:r w:rsidRPr="0045228C">
        <w:rPr>
          <w:rFonts w:ascii="Tahoma" w:hAnsi="Tahoma" w:cs="Tahoma"/>
          <w:color w:val="000000" w:themeColor="text1"/>
          <w:sz w:val="18"/>
          <w:szCs w:val="18"/>
        </w:rPr>
        <w:t>. Naopak v případě neexistence takových omezení musí být za „pracovní dobu“ považována pouze doba související s výkonem práce, která je případně skutečně vykonána během těchto dob pracovní pohotovosti.</w:t>
      </w:r>
    </w:p>
    <w:p w:rsidR="0045228C" w:rsidRPr="0045228C" w:rsidRDefault="0045228C" w:rsidP="0045228C">
      <w:pPr>
        <w:pStyle w:val="Bezmezer"/>
        <w:spacing w:line="276" w:lineRule="auto"/>
        <w:jc w:val="both"/>
        <w:rPr>
          <w:rFonts w:ascii="Tahoma" w:hAnsi="Tahoma" w:cs="Tahoma"/>
          <w:color w:val="000000" w:themeColor="text1"/>
          <w:sz w:val="18"/>
          <w:szCs w:val="18"/>
        </w:rPr>
      </w:pPr>
    </w:p>
    <w:p w:rsidR="0045228C" w:rsidRDefault="0045228C" w:rsidP="0045228C">
      <w:pPr>
        <w:pStyle w:val="Bezmezer"/>
        <w:spacing w:line="276" w:lineRule="auto"/>
        <w:jc w:val="both"/>
        <w:rPr>
          <w:rFonts w:ascii="Tahoma" w:hAnsi="Tahoma" w:cs="Tahoma"/>
          <w:color w:val="000000" w:themeColor="text1"/>
          <w:sz w:val="18"/>
          <w:szCs w:val="18"/>
        </w:rPr>
      </w:pPr>
      <w:r w:rsidRPr="0045228C">
        <w:rPr>
          <w:rFonts w:ascii="Tahoma" w:hAnsi="Tahoma" w:cs="Tahoma"/>
          <w:color w:val="000000" w:themeColor="text1"/>
          <w:sz w:val="18"/>
          <w:szCs w:val="18"/>
        </w:rPr>
        <w:t>Soudní dvůr uvádí, že skutečnost, že doba pracovní pohotovosti, kterou nelze kvalifikovat jako „pracovní dobu“, je považována za „dobu odpočinku“, nemá vliv na zvláštní povinnosti stanovené směrnicí 89/3912 a uložené zaměstnavatelům. Zaměstnavatelé zejména nemohou zavádět doby pracovní pohotovosti tak dlouhé nebo časté, že představují riziko pro bezpečnost nebo zdraví pracovníků, a to bez ohledu na skutečnost, že jsou tyto doby kvalifikovány jako „doby odpočinku“ ve smyslu směrnice 2003/88.</w:t>
      </w:r>
    </w:p>
    <w:p w:rsidR="0045228C" w:rsidRDefault="0045228C" w:rsidP="0045228C">
      <w:pPr>
        <w:pStyle w:val="Bezmezer"/>
        <w:spacing w:line="276" w:lineRule="auto"/>
        <w:jc w:val="both"/>
        <w:rPr>
          <w:rFonts w:ascii="Tahoma" w:hAnsi="Tahoma" w:cs="Tahoma"/>
          <w:color w:val="000000" w:themeColor="text1"/>
          <w:sz w:val="18"/>
          <w:szCs w:val="18"/>
        </w:rPr>
      </w:pPr>
    </w:p>
    <w:p w:rsidR="0045228C" w:rsidRDefault="0045228C" w:rsidP="0045228C">
      <w:pPr>
        <w:pStyle w:val="Bezmezer"/>
        <w:spacing w:line="276" w:lineRule="auto"/>
        <w:jc w:val="both"/>
        <w:rPr>
          <w:rFonts w:ascii="Tahoma" w:hAnsi="Tahoma" w:cs="Tahoma"/>
          <w:color w:val="000000" w:themeColor="text1"/>
          <w:sz w:val="18"/>
          <w:szCs w:val="18"/>
        </w:rPr>
      </w:pPr>
    </w:p>
    <w:p w:rsidR="0045228C" w:rsidRDefault="0045228C" w:rsidP="0045228C">
      <w:pPr>
        <w:pStyle w:val="Bezmezer"/>
        <w:spacing w:line="276" w:lineRule="auto"/>
        <w:rPr>
          <w:rFonts w:ascii="Tahoma" w:hAnsi="Tahoma" w:cs="Tahoma"/>
          <w:color w:val="000000" w:themeColor="text1"/>
          <w:sz w:val="18"/>
          <w:szCs w:val="18"/>
        </w:rPr>
      </w:pPr>
    </w:p>
    <w:p w:rsidR="006A6AD2" w:rsidRPr="003F7FFC" w:rsidRDefault="006A6AD2" w:rsidP="0045228C">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Na vědomí </w:t>
      </w:r>
      <w:r w:rsidR="00730FC1">
        <w:rPr>
          <w:rStyle w:val="Hypertextovodkaz"/>
          <w:rFonts w:ascii="Tahoma" w:eastAsia="Times New Roman" w:hAnsi="Tahoma" w:cs="Tahoma"/>
          <w:b/>
          <w:bCs/>
          <w:i/>
          <w:color w:val="000000" w:themeColor="text1"/>
          <w:kern w:val="36"/>
          <w:sz w:val="20"/>
          <w:szCs w:val="20"/>
          <w:u w:val="none"/>
          <w:lang w:eastAsia="cs-CZ"/>
        </w:rPr>
        <w:t>POŘ</w:t>
      </w:r>
      <w:r w:rsidR="0045228C">
        <w:rPr>
          <w:rStyle w:val="Hypertextovodkaz"/>
          <w:rFonts w:ascii="Tahoma" w:eastAsia="Times New Roman" w:hAnsi="Tahoma" w:cs="Tahoma"/>
          <w:b/>
          <w:bCs/>
          <w:i/>
          <w:color w:val="000000" w:themeColor="text1"/>
          <w:kern w:val="36"/>
          <w:sz w:val="20"/>
          <w:szCs w:val="20"/>
          <w:u w:val="none"/>
          <w:lang w:eastAsia="cs-CZ"/>
        </w:rPr>
        <w:t xml:space="preserve"> a OŘLZ</w:t>
      </w:r>
      <w:r w:rsidR="00730FC1">
        <w:rPr>
          <w:rStyle w:val="Hypertextovodkaz"/>
          <w:rFonts w:ascii="Tahoma" w:eastAsia="Times New Roman" w:hAnsi="Tahoma" w:cs="Tahoma"/>
          <w:b/>
          <w:bCs/>
          <w:i/>
          <w:color w:val="000000" w:themeColor="text1"/>
          <w:kern w:val="36"/>
          <w:sz w:val="20"/>
          <w:szCs w:val="20"/>
          <w:u w:val="none"/>
          <w:lang w:eastAsia="cs-CZ"/>
        </w:rPr>
        <w:t>.</w:t>
      </w:r>
    </w:p>
    <w:p w:rsidR="00CC2A1F" w:rsidRDefault="00CC2A1F">
      <w:pPr>
        <w:rPr>
          <w:rStyle w:val="Hypertextovodkaz"/>
          <w:rFonts w:ascii="Tahoma" w:hAnsi="Tahoma" w:cs="Tahoma"/>
          <w:b/>
          <w:color w:val="000000" w:themeColor="text1"/>
          <w:kern w:val="36"/>
          <w:sz w:val="24"/>
          <w:szCs w:val="24"/>
          <w:u w:val="none"/>
          <w:lang w:eastAsia="cs-CZ"/>
        </w:rPr>
      </w:pPr>
    </w:p>
    <w:p w:rsidR="00CC2A1F" w:rsidRPr="00374BCE" w:rsidRDefault="00AB72B7" w:rsidP="00AB72B7">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AB72B7">
        <w:rPr>
          <w:rStyle w:val="Hypertextovodkaz"/>
          <w:rFonts w:ascii="Tahoma" w:eastAsia="Times New Roman" w:hAnsi="Tahoma" w:cs="Tahoma"/>
          <w:b/>
          <w:bCs/>
          <w:color w:val="000000" w:themeColor="text1"/>
          <w:kern w:val="36"/>
          <w:sz w:val="24"/>
          <w:szCs w:val="24"/>
          <w:u w:val="none"/>
          <w:lang w:eastAsia="cs-CZ"/>
        </w:rPr>
        <w:t>Úroky z prodlení mezi podnikateli a dobré mravy</w:t>
      </w:r>
      <w:r w:rsidR="00F13DAD">
        <w:rPr>
          <w:rStyle w:val="Hypertextovodkaz"/>
          <w:rFonts w:ascii="Tahoma" w:eastAsia="Times New Roman" w:hAnsi="Tahoma" w:cs="Tahoma"/>
          <w:b/>
          <w:bCs/>
          <w:color w:val="000000" w:themeColor="text1"/>
          <w:kern w:val="36"/>
          <w:sz w:val="24"/>
          <w:szCs w:val="24"/>
          <w:u w:val="none"/>
          <w:lang w:eastAsia="cs-CZ"/>
        </w:rPr>
        <w:pict>
          <v:rect id="_x0000_i1029" style="width:0;height:1.5pt" o:hralign="center" o:hrstd="t" o:hr="t" fillcolor="#a0a0a0" stroked="f"/>
        </w:pict>
      </w:r>
    </w:p>
    <w:p w:rsidR="00CC2A1F" w:rsidRPr="00374BCE" w:rsidRDefault="00483D7E" w:rsidP="00CC2A1F">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 s</w:t>
      </w:r>
      <w:r w:rsidR="00CC2A1F">
        <w:rPr>
          <w:rStyle w:val="Hypertextovodkaz"/>
          <w:rFonts w:ascii="Tahoma" w:eastAsia="Times New Roman" w:hAnsi="Tahoma" w:cs="Tahoma"/>
          <w:bCs/>
          <w:color w:val="000000" w:themeColor="text1"/>
          <w:kern w:val="36"/>
          <w:sz w:val="20"/>
          <w:szCs w:val="20"/>
          <w:u w:val="none"/>
          <w:lang w:eastAsia="cs-CZ"/>
        </w:rPr>
        <w:t xml:space="preserve">p. zn. </w:t>
      </w:r>
      <w:r w:rsidR="00AB72B7">
        <w:rPr>
          <w:rStyle w:val="Hypertextovodkaz"/>
          <w:rFonts w:ascii="Tahoma" w:eastAsia="Times New Roman" w:hAnsi="Tahoma" w:cs="Tahoma"/>
          <w:bCs/>
          <w:color w:val="000000" w:themeColor="text1"/>
          <w:kern w:val="36"/>
          <w:sz w:val="20"/>
          <w:szCs w:val="20"/>
          <w:u w:val="none"/>
          <w:lang w:eastAsia="cs-CZ"/>
        </w:rPr>
        <w:t>22. 9. 2020</w:t>
      </w:r>
    </w:p>
    <w:p w:rsidR="00483D7E" w:rsidRDefault="00483D7E" w:rsidP="00CC2A1F">
      <w:pPr>
        <w:pStyle w:val="Bezmezer"/>
        <w:spacing w:line="360" w:lineRule="auto"/>
        <w:jc w:val="both"/>
        <w:rPr>
          <w:rFonts w:ascii="Tahoma" w:hAnsi="Tahoma" w:cs="Tahoma"/>
          <w:color w:val="000000" w:themeColor="text1"/>
          <w:sz w:val="18"/>
          <w:szCs w:val="18"/>
        </w:rPr>
      </w:pPr>
    </w:p>
    <w:p w:rsidR="00CC2A1F" w:rsidRDefault="00AB72B7" w:rsidP="00CC2A1F">
      <w:pPr>
        <w:pStyle w:val="Bezmezer"/>
        <w:spacing w:line="360" w:lineRule="auto"/>
        <w:jc w:val="both"/>
        <w:rPr>
          <w:rFonts w:ascii="Tahoma" w:hAnsi="Tahoma" w:cs="Tahoma"/>
          <w:color w:val="000000" w:themeColor="text1"/>
          <w:sz w:val="18"/>
          <w:szCs w:val="18"/>
        </w:rPr>
      </w:pPr>
      <w:r w:rsidRPr="00AB72B7">
        <w:rPr>
          <w:rFonts w:ascii="Tahoma" w:hAnsi="Tahoma" w:cs="Tahoma"/>
          <w:color w:val="000000" w:themeColor="text1"/>
          <w:sz w:val="18"/>
          <w:szCs w:val="18"/>
        </w:rPr>
        <w:t xml:space="preserve">Nejvyšší soud ČR </w:t>
      </w:r>
      <w:r>
        <w:rPr>
          <w:rFonts w:ascii="Tahoma" w:hAnsi="Tahoma" w:cs="Tahoma"/>
          <w:color w:val="000000" w:themeColor="text1"/>
          <w:sz w:val="18"/>
          <w:szCs w:val="18"/>
        </w:rPr>
        <w:t xml:space="preserve">se </w:t>
      </w:r>
      <w:r w:rsidRPr="00AB72B7">
        <w:rPr>
          <w:rFonts w:ascii="Tahoma" w:hAnsi="Tahoma" w:cs="Tahoma"/>
          <w:color w:val="000000" w:themeColor="text1"/>
          <w:sz w:val="18"/>
          <w:szCs w:val="18"/>
        </w:rPr>
        <w:t xml:space="preserve">poprvé v poměrech právní úpravy </w:t>
      </w:r>
      <w:r>
        <w:rPr>
          <w:rFonts w:ascii="Tahoma" w:hAnsi="Tahoma" w:cs="Tahoma"/>
          <w:color w:val="000000" w:themeColor="text1"/>
          <w:sz w:val="18"/>
          <w:szCs w:val="18"/>
        </w:rPr>
        <w:t xml:space="preserve">nového </w:t>
      </w:r>
      <w:r w:rsidRPr="00AB72B7">
        <w:rPr>
          <w:rFonts w:ascii="Tahoma" w:hAnsi="Tahoma" w:cs="Tahoma"/>
          <w:color w:val="000000" w:themeColor="text1"/>
          <w:sz w:val="18"/>
          <w:szCs w:val="18"/>
        </w:rPr>
        <w:t>občanského zákoníku zabýval otázkou výše úroků z prodlení mezi podnikateli s ohledem na obecný korektiv dobrých mravů.</w:t>
      </w:r>
    </w:p>
    <w:p w:rsidR="00AB72B7" w:rsidRDefault="00AB72B7" w:rsidP="00CC2A1F">
      <w:pPr>
        <w:pStyle w:val="Bezmezer"/>
        <w:spacing w:line="360" w:lineRule="auto"/>
        <w:jc w:val="both"/>
        <w:rPr>
          <w:rFonts w:ascii="Tahoma" w:hAnsi="Tahoma" w:cs="Tahoma"/>
          <w:color w:val="000000" w:themeColor="text1"/>
          <w:sz w:val="18"/>
          <w:szCs w:val="18"/>
        </w:rPr>
      </w:pPr>
    </w:p>
    <w:p w:rsidR="00AB72B7" w:rsidRDefault="00AB72B7" w:rsidP="00CC2A1F">
      <w:pPr>
        <w:pStyle w:val="Bezmezer"/>
        <w:spacing w:line="360" w:lineRule="auto"/>
        <w:jc w:val="both"/>
        <w:rPr>
          <w:rFonts w:ascii="Tahoma" w:hAnsi="Tahoma" w:cs="Tahoma"/>
          <w:color w:val="000000" w:themeColor="text1"/>
          <w:sz w:val="18"/>
          <w:szCs w:val="18"/>
        </w:rPr>
      </w:pPr>
      <w:r w:rsidRPr="00AB72B7">
        <w:rPr>
          <w:rFonts w:ascii="Tahoma" w:hAnsi="Tahoma" w:cs="Tahoma"/>
          <w:color w:val="000000" w:themeColor="text1"/>
          <w:sz w:val="18"/>
          <w:szCs w:val="18"/>
        </w:rPr>
        <w:lastRenderedPageBreak/>
        <w:t>V předmětném rozsudku Nejvyšší soud posuzoval smlouvu o úvěru uzavřenou mezi podnikateli, ve které si účastníci sjednali úrok z prodlení ve výši 0,5 % denně z dlužné částky a namítanou neplatnost tohoto ujednání pro rozpor s dobrými mravy.</w:t>
      </w:r>
    </w:p>
    <w:p w:rsidR="00AB72B7" w:rsidRDefault="00AB72B7" w:rsidP="00CC2A1F">
      <w:pPr>
        <w:pStyle w:val="Bezmezer"/>
        <w:spacing w:line="360" w:lineRule="auto"/>
        <w:jc w:val="both"/>
        <w:rPr>
          <w:rFonts w:ascii="Tahoma" w:hAnsi="Tahoma" w:cs="Tahoma"/>
          <w:color w:val="000000" w:themeColor="text1"/>
          <w:sz w:val="18"/>
          <w:szCs w:val="18"/>
        </w:rPr>
      </w:pPr>
    </w:p>
    <w:p w:rsidR="00AB72B7" w:rsidRDefault="00AB72B7" w:rsidP="00CC2A1F">
      <w:pPr>
        <w:pStyle w:val="Bezmezer"/>
        <w:spacing w:line="360" w:lineRule="auto"/>
        <w:jc w:val="both"/>
        <w:rPr>
          <w:rFonts w:ascii="Tahoma" w:hAnsi="Tahoma" w:cs="Tahoma"/>
          <w:color w:val="000000" w:themeColor="text1"/>
          <w:sz w:val="18"/>
          <w:szCs w:val="18"/>
        </w:rPr>
      </w:pPr>
      <w:r w:rsidRPr="00AB72B7">
        <w:rPr>
          <w:rFonts w:ascii="Tahoma" w:hAnsi="Tahoma" w:cs="Tahoma"/>
          <w:color w:val="000000" w:themeColor="text1"/>
          <w:sz w:val="18"/>
          <w:szCs w:val="18"/>
        </w:rPr>
        <w:t>Nejvyšší soud dospěl k závěru, že za rozporné s dobrými mravy lze považovat pouze takové ujednání o výši úroků z prodlení, které se výrazně odchyluje od sazby úroku z prodlení stanovené nařízením vlády způsobem, jenž by znamenal, že vzhledem k okolnostem dané věci sjednaný úrok z prodlení již neslouží pouze k plnění jeho funkcí (tj. sankčně-motivačních, reparačních), ale má zneužívající (</w:t>
      </w:r>
      <w:proofErr w:type="spellStart"/>
      <w:r w:rsidRPr="00AB72B7">
        <w:rPr>
          <w:rFonts w:ascii="Tahoma" w:hAnsi="Tahoma" w:cs="Tahoma"/>
          <w:color w:val="000000" w:themeColor="text1"/>
          <w:sz w:val="18"/>
          <w:szCs w:val="18"/>
        </w:rPr>
        <w:t>šikanózní</w:t>
      </w:r>
      <w:proofErr w:type="spellEnd"/>
      <w:r w:rsidRPr="00AB72B7">
        <w:rPr>
          <w:rFonts w:ascii="Tahoma" w:hAnsi="Tahoma" w:cs="Tahoma"/>
          <w:color w:val="000000" w:themeColor="text1"/>
          <w:sz w:val="18"/>
          <w:szCs w:val="18"/>
        </w:rPr>
        <w:t>) charakter.</w:t>
      </w:r>
    </w:p>
    <w:p w:rsidR="00AB72B7" w:rsidRPr="00AB72B7" w:rsidRDefault="00AB72B7" w:rsidP="00AB72B7">
      <w:pPr>
        <w:pStyle w:val="Bezmezer"/>
        <w:spacing w:line="360" w:lineRule="auto"/>
        <w:jc w:val="both"/>
        <w:rPr>
          <w:rFonts w:ascii="Tahoma" w:hAnsi="Tahoma" w:cs="Tahoma"/>
          <w:color w:val="000000" w:themeColor="text1"/>
          <w:sz w:val="18"/>
          <w:szCs w:val="18"/>
        </w:rPr>
      </w:pPr>
      <w:r w:rsidRPr="00AB72B7">
        <w:rPr>
          <w:rFonts w:ascii="Tahoma" w:hAnsi="Tahoma" w:cs="Tahoma"/>
          <w:color w:val="000000" w:themeColor="text1"/>
          <w:sz w:val="18"/>
          <w:szCs w:val="18"/>
        </w:rPr>
        <w:t>Z konkrétních okolností, které by dle Nejvyššího soudu měly soudy při rozhodování o přiměřenosti úroků z prodlení brát v úvahu, lze zmínit:</w:t>
      </w:r>
    </w:p>
    <w:p w:rsidR="00AB72B7" w:rsidRPr="00AB72B7" w:rsidRDefault="00AB72B7" w:rsidP="00AB72B7">
      <w:pPr>
        <w:pStyle w:val="Bezmezer"/>
        <w:spacing w:line="360" w:lineRule="auto"/>
        <w:jc w:val="both"/>
        <w:rPr>
          <w:rFonts w:ascii="Tahoma" w:hAnsi="Tahoma" w:cs="Tahoma"/>
          <w:color w:val="000000" w:themeColor="text1"/>
          <w:sz w:val="18"/>
          <w:szCs w:val="18"/>
        </w:rPr>
      </w:pPr>
    </w:p>
    <w:p w:rsidR="00AB72B7" w:rsidRDefault="00AB72B7" w:rsidP="00AB72B7">
      <w:pPr>
        <w:pStyle w:val="Bezmezer"/>
        <w:numPr>
          <w:ilvl w:val="0"/>
          <w:numId w:val="45"/>
        </w:numPr>
        <w:spacing w:line="360" w:lineRule="auto"/>
        <w:jc w:val="both"/>
        <w:rPr>
          <w:rFonts w:ascii="Tahoma" w:hAnsi="Tahoma" w:cs="Tahoma"/>
          <w:color w:val="000000" w:themeColor="text1"/>
          <w:sz w:val="18"/>
          <w:szCs w:val="18"/>
        </w:rPr>
      </w:pPr>
      <w:r w:rsidRPr="00AB72B7">
        <w:rPr>
          <w:rFonts w:ascii="Tahoma" w:hAnsi="Tahoma" w:cs="Tahoma"/>
          <w:color w:val="000000" w:themeColor="text1"/>
          <w:sz w:val="18"/>
          <w:szCs w:val="18"/>
        </w:rPr>
        <w:t>rizikovost obchodu vzhledem k předchozímu chování dlužníka či k jeho tehdy aktuální situaci;</w:t>
      </w:r>
    </w:p>
    <w:p w:rsidR="00AB72B7" w:rsidRDefault="00AB72B7" w:rsidP="00AB72B7">
      <w:pPr>
        <w:pStyle w:val="Bezmezer"/>
        <w:numPr>
          <w:ilvl w:val="0"/>
          <w:numId w:val="45"/>
        </w:numPr>
        <w:spacing w:line="360" w:lineRule="auto"/>
        <w:jc w:val="both"/>
        <w:rPr>
          <w:rFonts w:ascii="Tahoma" w:hAnsi="Tahoma" w:cs="Tahoma"/>
          <w:color w:val="000000" w:themeColor="text1"/>
          <w:sz w:val="18"/>
          <w:szCs w:val="18"/>
        </w:rPr>
      </w:pPr>
      <w:r w:rsidRPr="00AB72B7">
        <w:rPr>
          <w:rFonts w:ascii="Tahoma" w:hAnsi="Tahoma" w:cs="Tahoma"/>
          <w:color w:val="000000" w:themeColor="text1"/>
          <w:sz w:val="18"/>
          <w:szCs w:val="18"/>
        </w:rPr>
        <w:t>jaký je předpoklad vývoje škod způsobených věřiteli prodlením dlužníka během času;</w:t>
      </w:r>
    </w:p>
    <w:p w:rsidR="00AB72B7" w:rsidRDefault="00AB72B7" w:rsidP="00AB72B7">
      <w:pPr>
        <w:pStyle w:val="Bezmezer"/>
        <w:numPr>
          <w:ilvl w:val="0"/>
          <w:numId w:val="45"/>
        </w:numPr>
        <w:spacing w:line="360" w:lineRule="auto"/>
        <w:jc w:val="both"/>
        <w:rPr>
          <w:rFonts w:ascii="Tahoma" w:hAnsi="Tahoma" w:cs="Tahoma"/>
          <w:color w:val="000000" w:themeColor="text1"/>
          <w:sz w:val="18"/>
          <w:szCs w:val="18"/>
        </w:rPr>
      </w:pPr>
      <w:r w:rsidRPr="00AB72B7">
        <w:rPr>
          <w:rFonts w:ascii="Tahoma" w:hAnsi="Tahoma" w:cs="Tahoma"/>
          <w:color w:val="000000" w:themeColor="text1"/>
          <w:sz w:val="18"/>
          <w:szCs w:val="18"/>
        </w:rPr>
        <w:t>skutečnost, zda současně s úroky z prodlení byla sjednána i jiná sankce za prodlení plnící obdobné funkce (například smluvní pokuta);</w:t>
      </w:r>
    </w:p>
    <w:p w:rsidR="00AB72B7" w:rsidRDefault="00AB72B7" w:rsidP="00AB72B7">
      <w:pPr>
        <w:pStyle w:val="Bezmezer"/>
        <w:numPr>
          <w:ilvl w:val="0"/>
          <w:numId w:val="45"/>
        </w:numPr>
        <w:spacing w:line="360" w:lineRule="auto"/>
        <w:jc w:val="both"/>
        <w:rPr>
          <w:rFonts w:ascii="Tahoma" w:hAnsi="Tahoma" w:cs="Tahoma"/>
          <w:color w:val="000000" w:themeColor="text1"/>
          <w:sz w:val="18"/>
          <w:szCs w:val="18"/>
        </w:rPr>
      </w:pPr>
      <w:r w:rsidRPr="00AB72B7">
        <w:rPr>
          <w:rFonts w:ascii="Tahoma" w:hAnsi="Tahoma" w:cs="Tahoma"/>
          <w:color w:val="000000" w:themeColor="text1"/>
          <w:sz w:val="18"/>
          <w:szCs w:val="18"/>
        </w:rPr>
        <w:t>obchodní zvyklosti stran a samotné okolnosti sjednávání, tedy například skutečnost, zda již byla obdobná výše úroků z prodlení mezi stranami sjednávána v minulosti;</w:t>
      </w:r>
    </w:p>
    <w:p w:rsidR="00AB72B7" w:rsidRDefault="00AB72B7" w:rsidP="00AB72B7">
      <w:pPr>
        <w:pStyle w:val="Bezmezer"/>
        <w:numPr>
          <w:ilvl w:val="0"/>
          <w:numId w:val="45"/>
        </w:numPr>
        <w:spacing w:line="360" w:lineRule="auto"/>
        <w:jc w:val="both"/>
        <w:rPr>
          <w:rFonts w:ascii="Tahoma" w:hAnsi="Tahoma" w:cs="Tahoma"/>
          <w:color w:val="000000" w:themeColor="text1"/>
          <w:sz w:val="18"/>
          <w:szCs w:val="18"/>
        </w:rPr>
      </w:pPr>
      <w:r w:rsidRPr="00AB72B7">
        <w:rPr>
          <w:rFonts w:ascii="Tahoma" w:hAnsi="Tahoma" w:cs="Tahoma"/>
          <w:color w:val="000000" w:themeColor="text1"/>
          <w:sz w:val="18"/>
          <w:szCs w:val="18"/>
        </w:rPr>
        <w:t>majetkové poměry účastníků v době uzavření smlouvy a případně též vědomost o jejich očekávaných budoucích poměrech; či</w:t>
      </w:r>
    </w:p>
    <w:p w:rsidR="00AB72B7" w:rsidRPr="00AB72B7" w:rsidRDefault="00AB72B7" w:rsidP="00AB72B7">
      <w:pPr>
        <w:pStyle w:val="Bezmezer"/>
        <w:numPr>
          <w:ilvl w:val="0"/>
          <w:numId w:val="45"/>
        </w:numPr>
        <w:spacing w:line="360" w:lineRule="auto"/>
        <w:jc w:val="both"/>
        <w:rPr>
          <w:rFonts w:ascii="Tahoma" w:hAnsi="Tahoma" w:cs="Tahoma"/>
          <w:color w:val="000000" w:themeColor="text1"/>
          <w:sz w:val="18"/>
          <w:szCs w:val="18"/>
        </w:rPr>
      </w:pPr>
      <w:r w:rsidRPr="00AB72B7">
        <w:rPr>
          <w:rFonts w:ascii="Tahoma" w:hAnsi="Tahoma" w:cs="Tahoma"/>
          <w:color w:val="000000" w:themeColor="text1"/>
          <w:sz w:val="18"/>
          <w:szCs w:val="18"/>
        </w:rPr>
        <w:t>skutečnost, že ve vztazích mezi podnikateli, kteří vystupují jako profesionálové, je obecně vnímání hranice jednání, které již není z pohledu dobrých mravů akceptovatelné, odlišné od vztahů nepodnikatelských, typicky od vztahů spotřebitelských.</w:t>
      </w:r>
    </w:p>
    <w:p w:rsidR="00AB72B7" w:rsidRDefault="00AB72B7" w:rsidP="00CC2A1F">
      <w:pPr>
        <w:pStyle w:val="Bezmezer"/>
        <w:spacing w:line="360" w:lineRule="auto"/>
        <w:jc w:val="both"/>
        <w:rPr>
          <w:rFonts w:ascii="Tahoma" w:hAnsi="Tahoma" w:cs="Tahoma"/>
          <w:color w:val="000000" w:themeColor="text1"/>
          <w:sz w:val="18"/>
          <w:szCs w:val="18"/>
        </w:rPr>
      </w:pPr>
    </w:p>
    <w:p w:rsidR="00291DE2" w:rsidRPr="00761C7D" w:rsidRDefault="00CC2A1F" w:rsidP="008C711D">
      <w:pPr>
        <w:pStyle w:val="Bezmezer"/>
        <w:shd w:val="clear" w:color="auto" w:fill="D9D9D9" w:themeFill="background1" w:themeFillShade="D9"/>
        <w:spacing w:line="276" w:lineRule="auto"/>
        <w:rPr>
          <w:rStyle w:val="Hypertextovodkaz"/>
          <w:rFonts w:ascii="Tahoma" w:hAnsi="Tahoma" w:cs="Tahoma"/>
          <w:b/>
          <w:color w:val="000000" w:themeColor="text1"/>
          <w:kern w:val="36"/>
          <w:sz w:val="24"/>
          <w:szCs w:val="24"/>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Na vědomí </w:t>
      </w:r>
      <w:r w:rsidR="008C711D">
        <w:rPr>
          <w:rStyle w:val="Hypertextovodkaz"/>
          <w:rFonts w:ascii="Tahoma" w:eastAsia="Times New Roman" w:hAnsi="Tahoma" w:cs="Tahoma"/>
          <w:b/>
          <w:bCs/>
          <w:i/>
          <w:color w:val="000000" w:themeColor="text1"/>
          <w:kern w:val="36"/>
          <w:sz w:val="20"/>
          <w:szCs w:val="20"/>
          <w:u w:val="none"/>
          <w:lang w:eastAsia="cs-CZ"/>
        </w:rPr>
        <w:t>P</w:t>
      </w:r>
      <w:r w:rsidR="00483D7E">
        <w:rPr>
          <w:rStyle w:val="Hypertextovodkaz"/>
          <w:rFonts w:ascii="Tahoma" w:eastAsia="Times New Roman" w:hAnsi="Tahoma" w:cs="Tahoma"/>
          <w:b/>
          <w:bCs/>
          <w:i/>
          <w:color w:val="000000" w:themeColor="text1"/>
          <w:kern w:val="36"/>
          <w:sz w:val="20"/>
          <w:szCs w:val="20"/>
          <w:u w:val="none"/>
          <w:lang w:eastAsia="cs-CZ"/>
        </w:rPr>
        <w:t>OŘ/OPS.</w:t>
      </w:r>
    </w:p>
    <w:sectPr w:rsidR="00291DE2" w:rsidRPr="00761C7D" w:rsidSect="008C711D">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11D" w:rsidRDefault="008C711D" w:rsidP="004F17ED">
      <w:pPr>
        <w:spacing w:after="0" w:line="240" w:lineRule="auto"/>
      </w:pPr>
      <w:r>
        <w:separator/>
      </w:r>
    </w:p>
  </w:endnote>
  <w:endnote w:type="continuationSeparator" w:id="0">
    <w:p w:rsidR="008C711D" w:rsidRDefault="008C711D"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300103"/>
      <w:docPartObj>
        <w:docPartGallery w:val="Page Numbers (Bottom of Page)"/>
        <w:docPartUnique/>
      </w:docPartObj>
    </w:sdtPr>
    <w:sdtEndPr/>
    <w:sdtContent>
      <w:sdt>
        <w:sdtPr>
          <w:id w:val="984128864"/>
          <w:docPartObj>
            <w:docPartGallery w:val="Page Numbers (Top of Page)"/>
            <w:docPartUnique/>
          </w:docPartObj>
        </w:sdtPr>
        <w:sdtEndPr/>
        <w:sdtContent>
          <w:p w:rsidR="008C711D" w:rsidRDefault="008C711D">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F13DAD">
              <w:rPr>
                <w:rFonts w:ascii="Tahoma" w:hAnsi="Tahoma" w:cs="Tahoma"/>
                <w:b/>
                <w:bCs/>
                <w:noProof/>
                <w:sz w:val="16"/>
                <w:szCs w:val="16"/>
              </w:rPr>
              <w:t>2</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F13DAD">
              <w:rPr>
                <w:rFonts w:ascii="Tahoma" w:hAnsi="Tahoma" w:cs="Tahoma"/>
                <w:b/>
                <w:bCs/>
                <w:noProof/>
                <w:sz w:val="16"/>
                <w:szCs w:val="16"/>
              </w:rPr>
              <w:t>6</w:t>
            </w:r>
            <w:r w:rsidRPr="00FB7F36">
              <w:rPr>
                <w:rFonts w:ascii="Tahoma" w:hAnsi="Tahoma" w:cs="Tahoma"/>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11D" w:rsidRDefault="008C711D" w:rsidP="004F17ED">
      <w:pPr>
        <w:spacing w:after="0" w:line="240" w:lineRule="auto"/>
      </w:pPr>
      <w:r>
        <w:separator/>
      </w:r>
    </w:p>
  </w:footnote>
  <w:footnote w:type="continuationSeparator" w:id="0">
    <w:p w:rsidR="008C711D" w:rsidRDefault="008C711D"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891C21"/>
    <w:multiLevelType w:val="hybridMultilevel"/>
    <w:tmpl w:val="BE14B064"/>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1">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2">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3">
    <w:nsid w:val="06342C76"/>
    <w:multiLevelType w:val="multilevel"/>
    <w:tmpl w:val="4A0E85BC"/>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4">
    <w:nsid w:val="08933047"/>
    <w:multiLevelType w:val="hybridMultilevel"/>
    <w:tmpl w:val="5DAAD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0B487BDB"/>
    <w:multiLevelType w:val="hybridMultilevel"/>
    <w:tmpl w:val="2F8A38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8">
    <w:nsid w:val="1A3D5227"/>
    <w:multiLevelType w:val="hybridMultilevel"/>
    <w:tmpl w:val="DD4E75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21">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nsid w:val="303C2180"/>
    <w:multiLevelType w:val="hybridMultilevel"/>
    <w:tmpl w:val="E7507280"/>
    <w:lvl w:ilvl="0" w:tplc="1C4E1C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4">
    <w:nsid w:val="3A6F6F2A"/>
    <w:multiLevelType w:val="hybridMultilevel"/>
    <w:tmpl w:val="E25EC07E"/>
    <w:lvl w:ilvl="0" w:tplc="28580D62">
      <w:start w:val="2"/>
      <w:numFmt w:val="bullet"/>
      <w:lvlText w:val="-"/>
      <w:lvlJc w:val="left"/>
      <w:pPr>
        <w:ind w:left="644" w:hanging="360"/>
      </w:pPr>
      <w:rPr>
        <w:rFonts w:ascii="Calibri" w:eastAsiaTheme="minorHAnsi" w:hAnsi="Calibri" w:cs="Calibri" w:hint="default"/>
        <w:b/>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5">
    <w:nsid w:val="3E3D593B"/>
    <w:multiLevelType w:val="hybridMultilevel"/>
    <w:tmpl w:val="796207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0484290"/>
    <w:multiLevelType w:val="hybridMultilevel"/>
    <w:tmpl w:val="DD4E75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0E25ADF"/>
    <w:multiLevelType w:val="hybridMultilevel"/>
    <w:tmpl w:val="D5C2F4DA"/>
    <w:lvl w:ilvl="0" w:tplc="2DCAE3EE">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3901BC5"/>
    <w:multiLevelType w:val="multilevel"/>
    <w:tmpl w:val="4A0E85BC"/>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9">
    <w:nsid w:val="474D0B6D"/>
    <w:multiLevelType w:val="hybridMultilevel"/>
    <w:tmpl w:val="1F5EBA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9231A78"/>
    <w:multiLevelType w:val="hybridMultilevel"/>
    <w:tmpl w:val="799484BC"/>
    <w:lvl w:ilvl="0" w:tplc="04050005">
      <w:start w:val="1"/>
      <w:numFmt w:val="bullet"/>
      <w:lvlText w:val=""/>
      <w:lvlJc w:val="left"/>
      <w:pPr>
        <w:ind w:left="786" w:hanging="360"/>
      </w:pPr>
      <w:rPr>
        <w:rFonts w:ascii="Wingdings" w:hAnsi="Wingding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1">
    <w:nsid w:val="4ED46AED"/>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32">
    <w:nsid w:val="502A0E88"/>
    <w:multiLevelType w:val="hybridMultilevel"/>
    <w:tmpl w:val="2466CFA0"/>
    <w:lvl w:ilvl="0" w:tplc="2EA49FFC">
      <w:start w:val="3"/>
      <w:numFmt w:val="bullet"/>
      <w:lvlText w:val="-"/>
      <w:lvlJc w:val="left"/>
      <w:pPr>
        <w:ind w:left="1068" w:hanging="360"/>
      </w:pPr>
      <w:rPr>
        <w:rFonts w:ascii="Tahoma" w:eastAsiaTheme="minorHAnsi" w:hAnsi="Tahoma" w:cs="Tahoma"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3">
    <w:nsid w:val="551C6D97"/>
    <w:multiLevelType w:val="hybridMultilevel"/>
    <w:tmpl w:val="F7A888D0"/>
    <w:lvl w:ilvl="0" w:tplc="3DF42D6C">
      <w:start w:val="4"/>
      <w:numFmt w:val="bullet"/>
      <w:lvlText w:val="-"/>
      <w:lvlJc w:val="left"/>
      <w:pPr>
        <w:ind w:left="360" w:hanging="360"/>
      </w:pPr>
      <w:rPr>
        <w:rFonts w:ascii="Tahoma" w:eastAsia="Times New Roman" w:hAnsi="Tahoma" w:cs="Tahoma"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4">
    <w:nsid w:val="56640868"/>
    <w:multiLevelType w:val="hybridMultilevel"/>
    <w:tmpl w:val="7E68D6AE"/>
    <w:lvl w:ilvl="0" w:tplc="E196C5D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078386B"/>
    <w:multiLevelType w:val="hybridMultilevel"/>
    <w:tmpl w:val="25CA013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7527D5B"/>
    <w:multiLevelType w:val="hybridMultilevel"/>
    <w:tmpl w:val="A5DED2D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E4D58CB"/>
    <w:multiLevelType w:val="hybridMultilevel"/>
    <w:tmpl w:val="FE886686"/>
    <w:lvl w:ilvl="0" w:tplc="9AD08C54">
      <w:start w:val="11"/>
      <w:numFmt w:val="bullet"/>
      <w:lvlText w:val="-"/>
      <w:lvlJc w:val="left"/>
      <w:pPr>
        <w:ind w:left="720" w:hanging="360"/>
      </w:pPr>
      <w:rPr>
        <w:rFonts w:ascii="Times New Roman" w:eastAsiaTheme="minorEastAsia"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5EE74C4"/>
    <w:multiLevelType w:val="hybridMultilevel"/>
    <w:tmpl w:val="9BAC955E"/>
    <w:lvl w:ilvl="0" w:tplc="8E48CE40">
      <w:start w:val="1"/>
      <w:numFmt w:val="bullet"/>
      <w:lvlText w:val="─"/>
      <w:lvlJc w:val="left"/>
      <w:pPr>
        <w:ind w:left="720" w:hanging="360"/>
      </w:pPr>
      <w:rPr>
        <w:rFonts w:ascii="Georgia" w:eastAsiaTheme="minorHAnsi" w:hAnsi="Georg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1"/>
  </w:num>
  <w:num w:numId="2">
    <w:abstractNumId w:val="30"/>
  </w:num>
  <w:num w:numId="3">
    <w:abstractNumId w:val="23"/>
  </w:num>
  <w:num w:numId="4">
    <w:abstractNumId w:val="12"/>
  </w:num>
  <w:num w:numId="5">
    <w:abstractNumId w:val="11"/>
  </w:num>
  <w:num w:numId="6">
    <w:abstractNumId w:val="17"/>
  </w:num>
  <w:num w:numId="7">
    <w:abstractNumId w:val="41"/>
  </w:num>
  <w:num w:numId="8">
    <w:abstractNumId w:val="16"/>
  </w:num>
  <w:num w:numId="9">
    <w:abstractNumId w:val="44"/>
  </w:num>
  <w:num w:numId="10">
    <w:abstractNumId w:val="35"/>
  </w:num>
  <w:num w:numId="11">
    <w:abstractNumId w:val="39"/>
  </w:num>
  <w:num w:numId="12">
    <w:abstractNumId w:val="37"/>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19"/>
  </w:num>
  <w:num w:numId="24">
    <w:abstractNumId w:val="21"/>
  </w:num>
  <w:num w:numId="25">
    <w:abstractNumId w:val="20"/>
  </w:num>
  <w:num w:numId="26">
    <w:abstractNumId w:val="43"/>
  </w:num>
  <w:num w:numId="27">
    <w:abstractNumId w:val="26"/>
  </w:num>
  <w:num w:numId="28">
    <w:abstractNumId w:val="13"/>
  </w:num>
  <w:num w:numId="29">
    <w:abstractNumId w:val="15"/>
  </w:num>
  <w:num w:numId="30">
    <w:abstractNumId w:val="24"/>
  </w:num>
  <w:num w:numId="31">
    <w:abstractNumId w:val="14"/>
  </w:num>
  <w:num w:numId="32">
    <w:abstractNumId w:val="29"/>
  </w:num>
  <w:num w:numId="33">
    <w:abstractNumId w:val="10"/>
  </w:num>
  <w:num w:numId="34">
    <w:abstractNumId w:val="33"/>
  </w:num>
  <w:num w:numId="35">
    <w:abstractNumId w:val="40"/>
  </w:num>
  <w:num w:numId="36">
    <w:abstractNumId w:val="32"/>
  </w:num>
  <w:num w:numId="37">
    <w:abstractNumId w:val="25"/>
  </w:num>
  <w:num w:numId="38">
    <w:abstractNumId w:val="36"/>
  </w:num>
  <w:num w:numId="39">
    <w:abstractNumId w:val="28"/>
  </w:num>
  <w:num w:numId="40">
    <w:abstractNumId w:val="34"/>
  </w:num>
  <w:num w:numId="41">
    <w:abstractNumId w:val="27"/>
  </w:num>
  <w:num w:numId="42">
    <w:abstractNumId w:val="18"/>
  </w:num>
  <w:num w:numId="43">
    <w:abstractNumId w:val="22"/>
  </w:num>
  <w:num w:numId="44">
    <w:abstractNumId w:val="38"/>
  </w:num>
  <w:num w:numId="45">
    <w:abstractNumId w:val="4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5877"/>
    <w:rsid w:val="00006337"/>
    <w:rsid w:val="000065C2"/>
    <w:rsid w:val="00006D3F"/>
    <w:rsid w:val="00010406"/>
    <w:rsid w:val="00013763"/>
    <w:rsid w:val="000152BC"/>
    <w:rsid w:val="00017AE6"/>
    <w:rsid w:val="00020DD5"/>
    <w:rsid w:val="0002202C"/>
    <w:rsid w:val="00024354"/>
    <w:rsid w:val="00024EFD"/>
    <w:rsid w:val="00025EAC"/>
    <w:rsid w:val="00026824"/>
    <w:rsid w:val="000331FE"/>
    <w:rsid w:val="0003481B"/>
    <w:rsid w:val="00034EBC"/>
    <w:rsid w:val="00035275"/>
    <w:rsid w:val="0003592E"/>
    <w:rsid w:val="00035A22"/>
    <w:rsid w:val="000363D6"/>
    <w:rsid w:val="00037C21"/>
    <w:rsid w:val="00037D46"/>
    <w:rsid w:val="00037E81"/>
    <w:rsid w:val="000400D6"/>
    <w:rsid w:val="00040830"/>
    <w:rsid w:val="00040942"/>
    <w:rsid w:val="00040B86"/>
    <w:rsid w:val="00041550"/>
    <w:rsid w:val="00042450"/>
    <w:rsid w:val="00045263"/>
    <w:rsid w:val="00045E2F"/>
    <w:rsid w:val="000478D3"/>
    <w:rsid w:val="00047C25"/>
    <w:rsid w:val="00051E5E"/>
    <w:rsid w:val="00062A39"/>
    <w:rsid w:val="00070061"/>
    <w:rsid w:val="00071319"/>
    <w:rsid w:val="00071E57"/>
    <w:rsid w:val="0007229C"/>
    <w:rsid w:val="00072A50"/>
    <w:rsid w:val="00073AE1"/>
    <w:rsid w:val="00073DF1"/>
    <w:rsid w:val="00075A74"/>
    <w:rsid w:val="000767BA"/>
    <w:rsid w:val="00076B99"/>
    <w:rsid w:val="00080478"/>
    <w:rsid w:val="00081677"/>
    <w:rsid w:val="00083EC8"/>
    <w:rsid w:val="00084E43"/>
    <w:rsid w:val="000867AE"/>
    <w:rsid w:val="00093AAA"/>
    <w:rsid w:val="000944DB"/>
    <w:rsid w:val="00095900"/>
    <w:rsid w:val="00095F6D"/>
    <w:rsid w:val="000A1864"/>
    <w:rsid w:val="000A2367"/>
    <w:rsid w:val="000A6ED0"/>
    <w:rsid w:val="000A72EB"/>
    <w:rsid w:val="000B2C9A"/>
    <w:rsid w:val="000B2D74"/>
    <w:rsid w:val="000B6E81"/>
    <w:rsid w:val="000C2015"/>
    <w:rsid w:val="000C21BA"/>
    <w:rsid w:val="000C3CEF"/>
    <w:rsid w:val="000D10C4"/>
    <w:rsid w:val="000D120A"/>
    <w:rsid w:val="000D1219"/>
    <w:rsid w:val="000D3219"/>
    <w:rsid w:val="000D322B"/>
    <w:rsid w:val="000D43A2"/>
    <w:rsid w:val="000D5A9A"/>
    <w:rsid w:val="000D5D2E"/>
    <w:rsid w:val="000D7741"/>
    <w:rsid w:val="000D79B5"/>
    <w:rsid w:val="000E3D1B"/>
    <w:rsid w:val="000E54E9"/>
    <w:rsid w:val="000F2090"/>
    <w:rsid w:val="000F3867"/>
    <w:rsid w:val="000F401A"/>
    <w:rsid w:val="000F43FA"/>
    <w:rsid w:val="000F4720"/>
    <w:rsid w:val="000F4B51"/>
    <w:rsid w:val="000F5A9C"/>
    <w:rsid w:val="000F69B8"/>
    <w:rsid w:val="001012B1"/>
    <w:rsid w:val="00101448"/>
    <w:rsid w:val="001017A9"/>
    <w:rsid w:val="00101BD3"/>
    <w:rsid w:val="001028D7"/>
    <w:rsid w:val="001049A5"/>
    <w:rsid w:val="00106498"/>
    <w:rsid w:val="00106526"/>
    <w:rsid w:val="001065AE"/>
    <w:rsid w:val="0010675A"/>
    <w:rsid w:val="001109EF"/>
    <w:rsid w:val="001127CE"/>
    <w:rsid w:val="001165B1"/>
    <w:rsid w:val="00117697"/>
    <w:rsid w:val="00122AAF"/>
    <w:rsid w:val="001236D2"/>
    <w:rsid w:val="001237CD"/>
    <w:rsid w:val="001241C8"/>
    <w:rsid w:val="0012462E"/>
    <w:rsid w:val="001265DA"/>
    <w:rsid w:val="00126CB8"/>
    <w:rsid w:val="001277A2"/>
    <w:rsid w:val="001311AC"/>
    <w:rsid w:val="00131647"/>
    <w:rsid w:val="00132C6A"/>
    <w:rsid w:val="00134EB5"/>
    <w:rsid w:val="001351A0"/>
    <w:rsid w:val="00135879"/>
    <w:rsid w:val="00135BEF"/>
    <w:rsid w:val="001367FE"/>
    <w:rsid w:val="00137ACA"/>
    <w:rsid w:val="00137CB0"/>
    <w:rsid w:val="00141501"/>
    <w:rsid w:val="00141666"/>
    <w:rsid w:val="00142322"/>
    <w:rsid w:val="001440A6"/>
    <w:rsid w:val="00144CDD"/>
    <w:rsid w:val="00145C1F"/>
    <w:rsid w:val="0015004C"/>
    <w:rsid w:val="00150FB7"/>
    <w:rsid w:val="00151B6E"/>
    <w:rsid w:val="00156C6C"/>
    <w:rsid w:val="00161952"/>
    <w:rsid w:val="00161BEA"/>
    <w:rsid w:val="00162805"/>
    <w:rsid w:val="001629CF"/>
    <w:rsid w:val="00162B8A"/>
    <w:rsid w:val="00163DDA"/>
    <w:rsid w:val="0016564F"/>
    <w:rsid w:val="00165B6A"/>
    <w:rsid w:val="00174A2D"/>
    <w:rsid w:val="00175208"/>
    <w:rsid w:val="0017625A"/>
    <w:rsid w:val="001765B5"/>
    <w:rsid w:val="001807E4"/>
    <w:rsid w:val="001810A3"/>
    <w:rsid w:val="00184111"/>
    <w:rsid w:val="001875C8"/>
    <w:rsid w:val="001903C1"/>
    <w:rsid w:val="00195DD2"/>
    <w:rsid w:val="001A0C83"/>
    <w:rsid w:val="001A1785"/>
    <w:rsid w:val="001A2D52"/>
    <w:rsid w:val="001A3D61"/>
    <w:rsid w:val="001A3D99"/>
    <w:rsid w:val="001A62A6"/>
    <w:rsid w:val="001A6AF4"/>
    <w:rsid w:val="001A6F8F"/>
    <w:rsid w:val="001A7E2C"/>
    <w:rsid w:val="001B040A"/>
    <w:rsid w:val="001B0CB3"/>
    <w:rsid w:val="001B5DB3"/>
    <w:rsid w:val="001B609E"/>
    <w:rsid w:val="001B66D4"/>
    <w:rsid w:val="001B6819"/>
    <w:rsid w:val="001C27F8"/>
    <w:rsid w:val="001C4A0C"/>
    <w:rsid w:val="001C509B"/>
    <w:rsid w:val="001C580F"/>
    <w:rsid w:val="001C645F"/>
    <w:rsid w:val="001D0703"/>
    <w:rsid w:val="001D070C"/>
    <w:rsid w:val="001D0880"/>
    <w:rsid w:val="001D3BAC"/>
    <w:rsid w:val="001D488C"/>
    <w:rsid w:val="001D7CC3"/>
    <w:rsid w:val="001D7E31"/>
    <w:rsid w:val="001E247A"/>
    <w:rsid w:val="001E257B"/>
    <w:rsid w:val="001E53D1"/>
    <w:rsid w:val="001E6F7D"/>
    <w:rsid w:val="001F16D1"/>
    <w:rsid w:val="001F1F7F"/>
    <w:rsid w:val="001F3948"/>
    <w:rsid w:val="001F5995"/>
    <w:rsid w:val="001F71A0"/>
    <w:rsid w:val="002028B4"/>
    <w:rsid w:val="00202980"/>
    <w:rsid w:val="00205B69"/>
    <w:rsid w:val="00205D7C"/>
    <w:rsid w:val="0020617D"/>
    <w:rsid w:val="00206944"/>
    <w:rsid w:val="00206F98"/>
    <w:rsid w:val="00207B8D"/>
    <w:rsid w:val="00212896"/>
    <w:rsid w:val="00212BC6"/>
    <w:rsid w:val="00214FAB"/>
    <w:rsid w:val="00217FEC"/>
    <w:rsid w:val="00220107"/>
    <w:rsid w:val="00220138"/>
    <w:rsid w:val="002205E1"/>
    <w:rsid w:val="0022197B"/>
    <w:rsid w:val="00221F51"/>
    <w:rsid w:val="00222868"/>
    <w:rsid w:val="00224FD6"/>
    <w:rsid w:val="00225A40"/>
    <w:rsid w:val="0022746F"/>
    <w:rsid w:val="00233EF7"/>
    <w:rsid w:val="0023405F"/>
    <w:rsid w:val="00235322"/>
    <w:rsid w:val="00236086"/>
    <w:rsid w:val="00240477"/>
    <w:rsid w:val="00242580"/>
    <w:rsid w:val="002441B4"/>
    <w:rsid w:val="00247A69"/>
    <w:rsid w:val="0025086C"/>
    <w:rsid w:val="00251C31"/>
    <w:rsid w:val="0025209F"/>
    <w:rsid w:val="00252C33"/>
    <w:rsid w:val="00253343"/>
    <w:rsid w:val="002535C7"/>
    <w:rsid w:val="00253681"/>
    <w:rsid w:val="00254879"/>
    <w:rsid w:val="00255279"/>
    <w:rsid w:val="0025643D"/>
    <w:rsid w:val="00257465"/>
    <w:rsid w:val="00257D6C"/>
    <w:rsid w:val="002610C4"/>
    <w:rsid w:val="002622B6"/>
    <w:rsid w:val="00263CDC"/>
    <w:rsid w:val="002738A3"/>
    <w:rsid w:val="002757EC"/>
    <w:rsid w:val="00276A8C"/>
    <w:rsid w:val="00276F8F"/>
    <w:rsid w:val="00283557"/>
    <w:rsid w:val="00283D2E"/>
    <w:rsid w:val="0028484D"/>
    <w:rsid w:val="0028797B"/>
    <w:rsid w:val="002910D6"/>
    <w:rsid w:val="00291DE2"/>
    <w:rsid w:val="00292D21"/>
    <w:rsid w:val="00295C86"/>
    <w:rsid w:val="00296169"/>
    <w:rsid w:val="002962A6"/>
    <w:rsid w:val="002A082D"/>
    <w:rsid w:val="002A255B"/>
    <w:rsid w:val="002A2F5C"/>
    <w:rsid w:val="002A3403"/>
    <w:rsid w:val="002A3CA7"/>
    <w:rsid w:val="002A668E"/>
    <w:rsid w:val="002A7232"/>
    <w:rsid w:val="002B0E18"/>
    <w:rsid w:val="002B0E3E"/>
    <w:rsid w:val="002B11D7"/>
    <w:rsid w:val="002B245A"/>
    <w:rsid w:val="002B3FF4"/>
    <w:rsid w:val="002B4CA4"/>
    <w:rsid w:val="002B6A65"/>
    <w:rsid w:val="002B7C80"/>
    <w:rsid w:val="002C0879"/>
    <w:rsid w:val="002C27F8"/>
    <w:rsid w:val="002C4C4F"/>
    <w:rsid w:val="002C594D"/>
    <w:rsid w:val="002D14F8"/>
    <w:rsid w:val="002D1507"/>
    <w:rsid w:val="002D6498"/>
    <w:rsid w:val="002D7924"/>
    <w:rsid w:val="002E0119"/>
    <w:rsid w:val="002E0228"/>
    <w:rsid w:val="002E065A"/>
    <w:rsid w:val="002E0C9E"/>
    <w:rsid w:val="002E1514"/>
    <w:rsid w:val="002E151F"/>
    <w:rsid w:val="002E25AB"/>
    <w:rsid w:val="002E3FD5"/>
    <w:rsid w:val="002E7FFC"/>
    <w:rsid w:val="002F207D"/>
    <w:rsid w:val="002F4748"/>
    <w:rsid w:val="002F57E7"/>
    <w:rsid w:val="002F798B"/>
    <w:rsid w:val="0030352A"/>
    <w:rsid w:val="003037DA"/>
    <w:rsid w:val="00304048"/>
    <w:rsid w:val="00304CFA"/>
    <w:rsid w:val="00305BBB"/>
    <w:rsid w:val="00306184"/>
    <w:rsid w:val="003077D1"/>
    <w:rsid w:val="00310DD6"/>
    <w:rsid w:val="00311B5F"/>
    <w:rsid w:val="00311C47"/>
    <w:rsid w:val="00312C05"/>
    <w:rsid w:val="003131F8"/>
    <w:rsid w:val="00313573"/>
    <w:rsid w:val="003173CE"/>
    <w:rsid w:val="00322DF8"/>
    <w:rsid w:val="003238FB"/>
    <w:rsid w:val="003249E2"/>
    <w:rsid w:val="00327C6A"/>
    <w:rsid w:val="00330B21"/>
    <w:rsid w:val="00333363"/>
    <w:rsid w:val="00335B85"/>
    <w:rsid w:val="00335BB7"/>
    <w:rsid w:val="00343B36"/>
    <w:rsid w:val="00344168"/>
    <w:rsid w:val="00344F47"/>
    <w:rsid w:val="00345551"/>
    <w:rsid w:val="003459A0"/>
    <w:rsid w:val="00345E8F"/>
    <w:rsid w:val="003509DE"/>
    <w:rsid w:val="00351243"/>
    <w:rsid w:val="00351349"/>
    <w:rsid w:val="003526B8"/>
    <w:rsid w:val="003530C9"/>
    <w:rsid w:val="0035347A"/>
    <w:rsid w:val="0035378B"/>
    <w:rsid w:val="00355EAB"/>
    <w:rsid w:val="00360D1A"/>
    <w:rsid w:val="003628E1"/>
    <w:rsid w:val="00363670"/>
    <w:rsid w:val="0036402D"/>
    <w:rsid w:val="00370ABB"/>
    <w:rsid w:val="00371022"/>
    <w:rsid w:val="0037265F"/>
    <w:rsid w:val="00372802"/>
    <w:rsid w:val="00372FB7"/>
    <w:rsid w:val="00374BCE"/>
    <w:rsid w:val="00376752"/>
    <w:rsid w:val="00380F22"/>
    <w:rsid w:val="00381538"/>
    <w:rsid w:val="00384022"/>
    <w:rsid w:val="0038411B"/>
    <w:rsid w:val="00386132"/>
    <w:rsid w:val="00387D2A"/>
    <w:rsid w:val="003902D6"/>
    <w:rsid w:val="00390BE2"/>
    <w:rsid w:val="003912B4"/>
    <w:rsid w:val="00392A6A"/>
    <w:rsid w:val="00393EB9"/>
    <w:rsid w:val="00395866"/>
    <w:rsid w:val="003968B1"/>
    <w:rsid w:val="003A43FE"/>
    <w:rsid w:val="003A5632"/>
    <w:rsid w:val="003A6662"/>
    <w:rsid w:val="003B1E33"/>
    <w:rsid w:val="003B2837"/>
    <w:rsid w:val="003B3592"/>
    <w:rsid w:val="003B59D1"/>
    <w:rsid w:val="003B5C88"/>
    <w:rsid w:val="003B67B2"/>
    <w:rsid w:val="003B7170"/>
    <w:rsid w:val="003B74D1"/>
    <w:rsid w:val="003C03D9"/>
    <w:rsid w:val="003C3862"/>
    <w:rsid w:val="003C5DCF"/>
    <w:rsid w:val="003D05CF"/>
    <w:rsid w:val="003D1358"/>
    <w:rsid w:val="003D13B0"/>
    <w:rsid w:val="003D387C"/>
    <w:rsid w:val="003E7434"/>
    <w:rsid w:val="003F33C4"/>
    <w:rsid w:val="003F4214"/>
    <w:rsid w:val="003F5319"/>
    <w:rsid w:val="003F7FFC"/>
    <w:rsid w:val="00400CA9"/>
    <w:rsid w:val="00402B33"/>
    <w:rsid w:val="00403BCB"/>
    <w:rsid w:val="00403E80"/>
    <w:rsid w:val="004048A1"/>
    <w:rsid w:val="0040539D"/>
    <w:rsid w:val="004062C8"/>
    <w:rsid w:val="00407A61"/>
    <w:rsid w:val="00411B48"/>
    <w:rsid w:val="004128FE"/>
    <w:rsid w:val="00413E46"/>
    <w:rsid w:val="00415958"/>
    <w:rsid w:val="004161B5"/>
    <w:rsid w:val="0041735C"/>
    <w:rsid w:val="00417839"/>
    <w:rsid w:val="00422050"/>
    <w:rsid w:val="00422CD7"/>
    <w:rsid w:val="00423FDD"/>
    <w:rsid w:val="00424128"/>
    <w:rsid w:val="004242DB"/>
    <w:rsid w:val="00426698"/>
    <w:rsid w:val="00427709"/>
    <w:rsid w:val="00427F2F"/>
    <w:rsid w:val="00434454"/>
    <w:rsid w:val="004353BF"/>
    <w:rsid w:val="00440048"/>
    <w:rsid w:val="0044093C"/>
    <w:rsid w:val="004450E2"/>
    <w:rsid w:val="0044547E"/>
    <w:rsid w:val="00447E10"/>
    <w:rsid w:val="004515D2"/>
    <w:rsid w:val="0045228C"/>
    <w:rsid w:val="004536BC"/>
    <w:rsid w:val="00454762"/>
    <w:rsid w:val="004549DE"/>
    <w:rsid w:val="004559EA"/>
    <w:rsid w:val="0046059F"/>
    <w:rsid w:val="0046265B"/>
    <w:rsid w:val="00462BA8"/>
    <w:rsid w:val="00465991"/>
    <w:rsid w:val="0046696E"/>
    <w:rsid w:val="00466E48"/>
    <w:rsid w:val="0047044D"/>
    <w:rsid w:val="00471191"/>
    <w:rsid w:val="00471384"/>
    <w:rsid w:val="004766A0"/>
    <w:rsid w:val="0048152A"/>
    <w:rsid w:val="004826DF"/>
    <w:rsid w:val="00483D7E"/>
    <w:rsid w:val="004901A5"/>
    <w:rsid w:val="0049025F"/>
    <w:rsid w:val="00490473"/>
    <w:rsid w:val="00491428"/>
    <w:rsid w:val="00491EB7"/>
    <w:rsid w:val="004935E1"/>
    <w:rsid w:val="00494BA1"/>
    <w:rsid w:val="00496091"/>
    <w:rsid w:val="0049649F"/>
    <w:rsid w:val="004A1140"/>
    <w:rsid w:val="004A22A3"/>
    <w:rsid w:val="004A3DCA"/>
    <w:rsid w:val="004B1669"/>
    <w:rsid w:val="004B16CD"/>
    <w:rsid w:val="004B22E8"/>
    <w:rsid w:val="004B555E"/>
    <w:rsid w:val="004C0443"/>
    <w:rsid w:val="004C27B8"/>
    <w:rsid w:val="004D0E8C"/>
    <w:rsid w:val="004D207B"/>
    <w:rsid w:val="004D224F"/>
    <w:rsid w:val="004D304C"/>
    <w:rsid w:val="004D60BB"/>
    <w:rsid w:val="004D65E5"/>
    <w:rsid w:val="004D762B"/>
    <w:rsid w:val="004E0C28"/>
    <w:rsid w:val="004E1900"/>
    <w:rsid w:val="004E1905"/>
    <w:rsid w:val="004E29F2"/>
    <w:rsid w:val="004E46C7"/>
    <w:rsid w:val="004E6380"/>
    <w:rsid w:val="004E67B6"/>
    <w:rsid w:val="004E7517"/>
    <w:rsid w:val="004F0300"/>
    <w:rsid w:val="004F17ED"/>
    <w:rsid w:val="004F3002"/>
    <w:rsid w:val="004F3132"/>
    <w:rsid w:val="004F37DA"/>
    <w:rsid w:val="004F3AEB"/>
    <w:rsid w:val="004F6AC2"/>
    <w:rsid w:val="00501365"/>
    <w:rsid w:val="005024A6"/>
    <w:rsid w:val="00503ACF"/>
    <w:rsid w:val="005042A6"/>
    <w:rsid w:val="00505738"/>
    <w:rsid w:val="00505B58"/>
    <w:rsid w:val="005062F3"/>
    <w:rsid w:val="00506981"/>
    <w:rsid w:val="005132D4"/>
    <w:rsid w:val="00514132"/>
    <w:rsid w:val="005170B6"/>
    <w:rsid w:val="005203F3"/>
    <w:rsid w:val="00521193"/>
    <w:rsid w:val="005226BE"/>
    <w:rsid w:val="00524448"/>
    <w:rsid w:val="00525327"/>
    <w:rsid w:val="00525598"/>
    <w:rsid w:val="00525E70"/>
    <w:rsid w:val="0052707D"/>
    <w:rsid w:val="00527B4E"/>
    <w:rsid w:val="005302F5"/>
    <w:rsid w:val="00530CBE"/>
    <w:rsid w:val="00533958"/>
    <w:rsid w:val="00534670"/>
    <w:rsid w:val="005364B8"/>
    <w:rsid w:val="00537BA2"/>
    <w:rsid w:val="00540EA0"/>
    <w:rsid w:val="00542B36"/>
    <w:rsid w:val="00543D4A"/>
    <w:rsid w:val="00544C49"/>
    <w:rsid w:val="005452CF"/>
    <w:rsid w:val="005569BF"/>
    <w:rsid w:val="00562879"/>
    <w:rsid w:val="005629AE"/>
    <w:rsid w:val="005635CB"/>
    <w:rsid w:val="00563B66"/>
    <w:rsid w:val="005643D9"/>
    <w:rsid w:val="0056543F"/>
    <w:rsid w:val="005725FF"/>
    <w:rsid w:val="00572A6B"/>
    <w:rsid w:val="0057392F"/>
    <w:rsid w:val="0057405A"/>
    <w:rsid w:val="00574AEF"/>
    <w:rsid w:val="00577444"/>
    <w:rsid w:val="005824E2"/>
    <w:rsid w:val="005841CB"/>
    <w:rsid w:val="00584AD1"/>
    <w:rsid w:val="005874EF"/>
    <w:rsid w:val="00590162"/>
    <w:rsid w:val="005906EB"/>
    <w:rsid w:val="00590D0D"/>
    <w:rsid w:val="00595560"/>
    <w:rsid w:val="005A1D02"/>
    <w:rsid w:val="005A276A"/>
    <w:rsid w:val="005A32E8"/>
    <w:rsid w:val="005A5321"/>
    <w:rsid w:val="005A544B"/>
    <w:rsid w:val="005B1C5E"/>
    <w:rsid w:val="005B3219"/>
    <w:rsid w:val="005B7211"/>
    <w:rsid w:val="005C2727"/>
    <w:rsid w:val="005C311E"/>
    <w:rsid w:val="005C3F6A"/>
    <w:rsid w:val="005C44B7"/>
    <w:rsid w:val="005C4CF8"/>
    <w:rsid w:val="005C5748"/>
    <w:rsid w:val="005C7731"/>
    <w:rsid w:val="005D4F67"/>
    <w:rsid w:val="005D548B"/>
    <w:rsid w:val="005D7712"/>
    <w:rsid w:val="005E072B"/>
    <w:rsid w:val="005E1CF4"/>
    <w:rsid w:val="005E531F"/>
    <w:rsid w:val="005E6134"/>
    <w:rsid w:val="005E6591"/>
    <w:rsid w:val="005F197A"/>
    <w:rsid w:val="005F6373"/>
    <w:rsid w:val="0060528B"/>
    <w:rsid w:val="00611C81"/>
    <w:rsid w:val="00612770"/>
    <w:rsid w:val="006129C4"/>
    <w:rsid w:val="00616728"/>
    <w:rsid w:val="00620586"/>
    <w:rsid w:val="00620DEB"/>
    <w:rsid w:val="00621743"/>
    <w:rsid w:val="006247DC"/>
    <w:rsid w:val="00624927"/>
    <w:rsid w:val="00625E80"/>
    <w:rsid w:val="00626608"/>
    <w:rsid w:val="00626DAB"/>
    <w:rsid w:val="0063038F"/>
    <w:rsid w:val="0063371D"/>
    <w:rsid w:val="00633D0B"/>
    <w:rsid w:val="00634759"/>
    <w:rsid w:val="00634BBB"/>
    <w:rsid w:val="00634ECF"/>
    <w:rsid w:val="0063608A"/>
    <w:rsid w:val="00636CC5"/>
    <w:rsid w:val="0064007D"/>
    <w:rsid w:val="00640821"/>
    <w:rsid w:val="006419FC"/>
    <w:rsid w:val="00642B92"/>
    <w:rsid w:val="006450B7"/>
    <w:rsid w:val="006466FE"/>
    <w:rsid w:val="0064695A"/>
    <w:rsid w:val="00647DFF"/>
    <w:rsid w:val="00651B06"/>
    <w:rsid w:val="00651B71"/>
    <w:rsid w:val="00655121"/>
    <w:rsid w:val="00656175"/>
    <w:rsid w:val="00660572"/>
    <w:rsid w:val="00661CF8"/>
    <w:rsid w:val="006621B9"/>
    <w:rsid w:val="00664BFA"/>
    <w:rsid w:val="00666289"/>
    <w:rsid w:val="00671D1B"/>
    <w:rsid w:val="00681668"/>
    <w:rsid w:val="006819A4"/>
    <w:rsid w:val="00685036"/>
    <w:rsid w:val="0068715C"/>
    <w:rsid w:val="00687E51"/>
    <w:rsid w:val="006902F1"/>
    <w:rsid w:val="0069081D"/>
    <w:rsid w:val="006909A9"/>
    <w:rsid w:val="00692BAF"/>
    <w:rsid w:val="00692C0F"/>
    <w:rsid w:val="00695978"/>
    <w:rsid w:val="00696326"/>
    <w:rsid w:val="006A0A7F"/>
    <w:rsid w:val="006A1F9A"/>
    <w:rsid w:val="006A2727"/>
    <w:rsid w:val="006A3533"/>
    <w:rsid w:val="006A4A20"/>
    <w:rsid w:val="006A6AD2"/>
    <w:rsid w:val="006B0435"/>
    <w:rsid w:val="006B099C"/>
    <w:rsid w:val="006B1D5C"/>
    <w:rsid w:val="006B1E00"/>
    <w:rsid w:val="006B2EB6"/>
    <w:rsid w:val="006B4688"/>
    <w:rsid w:val="006B6895"/>
    <w:rsid w:val="006B7EE9"/>
    <w:rsid w:val="006C005F"/>
    <w:rsid w:val="006C14E6"/>
    <w:rsid w:val="006C459B"/>
    <w:rsid w:val="006C4699"/>
    <w:rsid w:val="006C5AD8"/>
    <w:rsid w:val="006C6DAC"/>
    <w:rsid w:val="006C6F55"/>
    <w:rsid w:val="006C7AF7"/>
    <w:rsid w:val="006D07AF"/>
    <w:rsid w:val="006D139A"/>
    <w:rsid w:val="006D2AB7"/>
    <w:rsid w:val="006D2E1E"/>
    <w:rsid w:val="006D437B"/>
    <w:rsid w:val="006D468C"/>
    <w:rsid w:val="006D487E"/>
    <w:rsid w:val="006D5353"/>
    <w:rsid w:val="006E09B3"/>
    <w:rsid w:val="006E28CD"/>
    <w:rsid w:val="006E4B7E"/>
    <w:rsid w:val="006E57D1"/>
    <w:rsid w:val="006F2E08"/>
    <w:rsid w:val="006F443D"/>
    <w:rsid w:val="0070119D"/>
    <w:rsid w:val="00701B95"/>
    <w:rsid w:val="00703EE5"/>
    <w:rsid w:val="007060DB"/>
    <w:rsid w:val="00706A9F"/>
    <w:rsid w:val="00707206"/>
    <w:rsid w:val="007105D2"/>
    <w:rsid w:val="0071067F"/>
    <w:rsid w:val="00711675"/>
    <w:rsid w:val="00711F19"/>
    <w:rsid w:val="007148E4"/>
    <w:rsid w:val="007156E4"/>
    <w:rsid w:val="00715A6F"/>
    <w:rsid w:val="00715AD5"/>
    <w:rsid w:val="00721803"/>
    <w:rsid w:val="00721B7D"/>
    <w:rsid w:val="00724B67"/>
    <w:rsid w:val="007250DE"/>
    <w:rsid w:val="00727EBE"/>
    <w:rsid w:val="00730FC1"/>
    <w:rsid w:val="0073165C"/>
    <w:rsid w:val="007342F4"/>
    <w:rsid w:val="007400F7"/>
    <w:rsid w:val="007413F0"/>
    <w:rsid w:val="00741601"/>
    <w:rsid w:val="00745373"/>
    <w:rsid w:val="007503D0"/>
    <w:rsid w:val="00751E42"/>
    <w:rsid w:val="00760367"/>
    <w:rsid w:val="00760E95"/>
    <w:rsid w:val="00761984"/>
    <w:rsid w:val="00761C7D"/>
    <w:rsid w:val="0076277F"/>
    <w:rsid w:val="00765FD7"/>
    <w:rsid w:val="00767E86"/>
    <w:rsid w:val="0077167C"/>
    <w:rsid w:val="00772162"/>
    <w:rsid w:val="00773243"/>
    <w:rsid w:val="007767A0"/>
    <w:rsid w:val="00781FFA"/>
    <w:rsid w:val="007825CD"/>
    <w:rsid w:val="00783961"/>
    <w:rsid w:val="0078570F"/>
    <w:rsid w:val="00785AB4"/>
    <w:rsid w:val="00790364"/>
    <w:rsid w:val="00791AB2"/>
    <w:rsid w:val="007955A3"/>
    <w:rsid w:val="007957FF"/>
    <w:rsid w:val="0079795D"/>
    <w:rsid w:val="007A18B0"/>
    <w:rsid w:val="007A56F5"/>
    <w:rsid w:val="007A7BE0"/>
    <w:rsid w:val="007B5156"/>
    <w:rsid w:val="007B7559"/>
    <w:rsid w:val="007C0CD0"/>
    <w:rsid w:val="007C0E18"/>
    <w:rsid w:val="007C2983"/>
    <w:rsid w:val="007C30AF"/>
    <w:rsid w:val="007C3635"/>
    <w:rsid w:val="007C36DB"/>
    <w:rsid w:val="007C3A4B"/>
    <w:rsid w:val="007C4043"/>
    <w:rsid w:val="007C51BB"/>
    <w:rsid w:val="007C520E"/>
    <w:rsid w:val="007D72DA"/>
    <w:rsid w:val="007E053D"/>
    <w:rsid w:val="007E317C"/>
    <w:rsid w:val="007E5097"/>
    <w:rsid w:val="007E6A31"/>
    <w:rsid w:val="007E7045"/>
    <w:rsid w:val="007F0254"/>
    <w:rsid w:val="007F04D7"/>
    <w:rsid w:val="007F09E2"/>
    <w:rsid w:val="007F154B"/>
    <w:rsid w:val="007F1D75"/>
    <w:rsid w:val="007F3540"/>
    <w:rsid w:val="007F577D"/>
    <w:rsid w:val="0080163B"/>
    <w:rsid w:val="00801E54"/>
    <w:rsid w:val="008020EA"/>
    <w:rsid w:val="008048CD"/>
    <w:rsid w:val="0080530B"/>
    <w:rsid w:val="008105BA"/>
    <w:rsid w:val="00811B3E"/>
    <w:rsid w:val="00812AEE"/>
    <w:rsid w:val="008148A4"/>
    <w:rsid w:val="008165E7"/>
    <w:rsid w:val="0081766C"/>
    <w:rsid w:val="00817BD5"/>
    <w:rsid w:val="0082216D"/>
    <w:rsid w:val="00822C34"/>
    <w:rsid w:val="008230B0"/>
    <w:rsid w:val="0082325F"/>
    <w:rsid w:val="0082596B"/>
    <w:rsid w:val="00825F05"/>
    <w:rsid w:val="00825F8D"/>
    <w:rsid w:val="0082635A"/>
    <w:rsid w:val="008273E8"/>
    <w:rsid w:val="00831890"/>
    <w:rsid w:val="00832D57"/>
    <w:rsid w:val="00833FA6"/>
    <w:rsid w:val="008346D5"/>
    <w:rsid w:val="00836110"/>
    <w:rsid w:val="0083799C"/>
    <w:rsid w:val="00844B2A"/>
    <w:rsid w:val="008472B6"/>
    <w:rsid w:val="00847B08"/>
    <w:rsid w:val="00852426"/>
    <w:rsid w:val="00852FD0"/>
    <w:rsid w:val="0085507A"/>
    <w:rsid w:val="008559F5"/>
    <w:rsid w:val="00855B7C"/>
    <w:rsid w:val="008561A8"/>
    <w:rsid w:val="00856973"/>
    <w:rsid w:val="0086206B"/>
    <w:rsid w:val="00862B3D"/>
    <w:rsid w:val="00863036"/>
    <w:rsid w:val="00863A2B"/>
    <w:rsid w:val="00863E13"/>
    <w:rsid w:val="0086604E"/>
    <w:rsid w:val="008662C9"/>
    <w:rsid w:val="008679EA"/>
    <w:rsid w:val="00867E85"/>
    <w:rsid w:val="0087193D"/>
    <w:rsid w:val="008728CF"/>
    <w:rsid w:val="008733A1"/>
    <w:rsid w:val="008741F9"/>
    <w:rsid w:val="00877BA9"/>
    <w:rsid w:val="008803F5"/>
    <w:rsid w:val="0088131E"/>
    <w:rsid w:val="008829CA"/>
    <w:rsid w:val="00883431"/>
    <w:rsid w:val="00885E35"/>
    <w:rsid w:val="00886054"/>
    <w:rsid w:val="00886137"/>
    <w:rsid w:val="008931D7"/>
    <w:rsid w:val="00893510"/>
    <w:rsid w:val="008941B5"/>
    <w:rsid w:val="00894E0D"/>
    <w:rsid w:val="00896C09"/>
    <w:rsid w:val="00896D55"/>
    <w:rsid w:val="00897211"/>
    <w:rsid w:val="008978F9"/>
    <w:rsid w:val="008A1418"/>
    <w:rsid w:val="008A1B9B"/>
    <w:rsid w:val="008A26C7"/>
    <w:rsid w:val="008A3723"/>
    <w:rsid w:val="008A38F7"/>
    <w:rsid w:val="008A5911"/>
    <w:rsid w:val="008B09D3"/>
    <w:rsid w:val="008B2419"/>
    <w:rsid w:val="008B4469"/>
    <w:rsid w:val="008B5061"/>
    <w:rsid w:val="008B5D32"/>
    <w:rsid w:val="008B62F0"/>
    <w:rsid w:val="008C04C1"/>
    <w:rsid w:val="008C1454"/>
    <w:rsid w:val="008C22B8"/>
    <w:rsid w:val="008C43D6"/>
    <w:rsid w:val="008C5AFD"/>
    <w:rsid w:val="008C711D"/>
    <w:rsid w:val="008D0BF0"/>
    <w:rsid w:val="008D1F1C"/>
    <w:rsid w:val="008D5292"/>
    <w:rsid w:val="008D540D"/>
    <w:rsid w:val="008D626F"/>
    <w:rsid w:val="008D6A68"/>
    <w:rsid w:val="008D6BFF"/>
    <w:rsid w:val="008E39CB"/>
    <w:rsid w:val="008E4CC7"/>
    <w:rsid w:val="008E77C3"/>
    <w:rsid w:val="008E7880"/>
    <w:rsid w:val="008F311F"/>
    <w:rsid w:val="008F3BD2"/>
    <w:rsid w:val="008F3C49"/>
    <w:rsid w:val="008F5B58"/>
    <w:rsid w:val="00900A97"/>
    <w:rsid w:val="00901B4F"/>
    <w:rsid w:val="00901E8D"/>
    <w:rsid w:val="00902E94"/>
    <w:rsid w:val="00903E6E"/>
    <w:rsid w:val="0090407F"/>
    <w:rsid w:val="00904456"/>
    <w:rsid w:val="00905085"/>
    <w:rsid w:val="0091029A"/>
    <w:rsid w:val="00910943"/>
    <w:rsid w:val="00912943"/>
    <w:rsid w:val="009143FC"/>
    <w:rsid w:val="00914DDA"/>
    <w:rsid w:val="00915451"/>
    <w:rsid w:val="00915456"/>
    <w:rsid w:val="009230B5"/>
    <w:rsid w:val="009231A5"/>
    <w:rsid w:val="009248C4"/>
    <w:rsid w:val="00924E3F"/>
    <w:rsid w:val="0092710B"/>
    <w:rsid w:val="009279A4"/>
    <w:rsid w:val="00927C2D"/>
    <w:rsid w:val="00930985"/>
    <w:rsid w:val="009310E2"/>
    <w:rsid w:val="0093136E"/>
    <w:rsid w:val="00931F21"/>
    <w:rsid w:val="00931F72"/>
    <w:rsid w:val="009333C7"/>
    <w:rsid w:val="00935399"/>
    <w:rsid w:val="00937F20"/>
    <w:rsid w:val="00940DD8"/>
    <w:rsid w:val="00941C55"/>
    <w:rsid w:val="009421EA"/>
    <w:rsid w:val="00943423"/>
    <w:rsid w:val="00944403"/>
    <w:rsid w:val="00950F60"/>
    <w:rsid w:val="0095537D"/>
    <w:rsid w:val="00957DE3"/>
    <w:rsid w:val="00957E6D"/>
    <w:rsid w:val="00963277"/>
    <w:rsid w:val="009645A1"/>
    <w:rsid w:val="0097133F"/>
    <w:rsid w:val="0097263C"/>
    <w:rsid w:val="009735AF"/>
    <w:rsid w:val="00973927"/>
    <w:rsid w:val="009770A0"/>
    <w:rsid w:val="00981081"/>
    <w:rsid w:val="009820A3"/>
    <w:rsid w:val="0098305A"/>
    <w:rsid w:val="009830E2"/>
    <w:rsid w:val="00986431"/>
    <w:rsid w:val="00990563"/>
    <w:rsid w:val="009914AF"/>
    <w:rsid w:val="009916FA"/>
    <w:rsid w:val="00992BB4"/>
    <w:rsid w:val="0099311C"/>
    <w:rsid w:val="00993474"/>
    <w:rsid w:val="009937C8"/>
    <w:rsid w:val="00993A3B"/>
    <w:rsid w:val="009943AD"/>
    <w:rsid w:val="00994FD9"/>
    <w:rsid w:val="0099608F"/>
    <w:rsid w:val="009A232F"/>
    <w:rsid w:val="009A4480"/>
    <w:rsid w:val="009A5022"/>
    <w:rsid w:val="009B2451"/>
    <w:rsid w:val="009B5F82"/>
    <w:rsid w:val="009B7D05"/>
    <w:rsid w:val="009C449E"/>
    <w:rsid w:val="009D0163"/>
    <w:rsid w:val="009D0EF5"/>
    <w:rsid w:val="009D37B7"/>
    <w:rsid w:val="009D6849"/>
    <w:rsid w:val="009F1E7E"/>
    <w:rsid w:val="009F5B9C"/>
    <w:rsid w:val="009F61D5"/>
    <w:rsid w:val="00A00B1A"/>
    <w:rsid w:val="00A00D5C"/>
    <w:rsid w:val="00A00EFE"/>
    <w:rsid w:val="00A05448"/>
    <w:rsid w:val="00A061C6"/>
    <w:rsid w:val="00A06F92"/>
    <w:rsid w:val="00A102ED"/>
    <w:rsid w:val="00A1069C"/>
    <w:rsid w:val="00A1138A"/>
    <w:rsid w:val="00A14697"/>
    <w:rsid w:val="00A16980"/>
    <w:rsid w:val="00A17C8E"/>
    <w:rsid w:val="00A20227"/>
    <w:rsid w:val="00A235E1"/>
    <w:rsid w:val="00A2427F"/>
    <w:rsid w:val="00A25845"/>
    <w:rsid w:val="00A25A93"/>
    <w:rsid w:val="00A26266"/>
    <w:rsid w:val="00A2764A"/>
    <w:rsid w:val="00A304F2"/>
    <w:rsid w:val="00A31A51"/>
    <w:rsid w:val="00A32137"/>
    <w:rsid w:val="00A33502"/>
    <w:rsid w:val="00A34EA2"/>
    <w:rsid w:val="00A35E63"/>
    <w:rsid w:val="00A36EA3"/>
    <w:rsid w:val="00A378A5"/>
    <w:rsid w:val="00A40D88"/>
    <w:rsid w:val="00A40EF3"/>
    <w:rsid w:val="00A425CF"/>
    <w:rsid w:val="00A4328E"/>
    <w:rsid w:val="00A46354"/>
    <w:rsid w:val="00A468CE"/>
    <w:rsid w:val="00A4785C"/>
    <w:rsid w:val="00A47F34"/>
    <w:rsid w:val="00A50243"/>
    <w:rsid w:val="00A50ED0"/>
    <w:rsid w:val="00A51114"/>
    <w:rsid w:val="00A51F87"/>
    <w:rsid w:val="00A53516"/>
    <w:rsid w:val="00A53592"/>
    <w:rsid w:val="00A56390"/>
    <w:rsid w:val="00A56610"/>
    <w:rsid w:val="00A60274"/>
    <w:rsid w:val="00A64610"/>
    <w:rsid w:val="00A724E2"/>
    <w:rsid w:val="00A72D2E"/>
    <w:rsid w:val="00A74D91"/>
    <w:rsid w:val="00A7763A"/>
    <w:rsid w:val="00A80DAC"/>
    <w:rsid w:val="00A810D8"/>
    <w:rsid w:val="00A81C2D"/>
    <w:rsid w:val="00A83FA1"/>
    <w:rsid w:val="00A8661F"/>
    <w:rsid w:val="00A86841"/>
    <w:rsid w:val="00A868D7"/>
    <w:rsid w:val="00A90421"/>
    <w:rsid w:val="00A94D83"/>
    <w:rsid w:val="00A9509D"/>
    <w:rsid w:val="00A965DE"/>
    <w:rsid w:val="00A970A5"/>
    <w:rsid w:val="00A97275"/>
    <w:rsid w:val="00A97A82"/>
    <w:rsid w:val="00AA3152"/>
    <w:rsid w:val="00AA3B8A"/>
    <w:rsid w:val="00AB052A"/>
    <w:rsid w:val="00AB2AC7"/>
    <w:rsid w:val="00AB460C"/>
    <w:rsid w:val="00AB72B7"/>
    <w:rsid w:val="00AB7A72"/>
    <w:rsid w:val="00AC0AFF"/>
    <w:rsid w:val="00AC1DD3"/>
    <w:rsid w:val="00AD0C9A"/>
    <w:rsid w:val="00AE0E69"/>
    <w:rsid w:val="00AE1C12"/>
    <w:rsid w:val="00AE44E1"/>
    <w:rsid w:val="00AE6FE8"/>
    <w:rsid w:val="00AE7D3E"/>
    <w:rsid w:val="00AF5E0A"/>
    <w:rsid w:val="00AF70D0"/>
    <w:rsid w:val="00B00530"/>
    <w:rsid w:val="00B01EFD"/>
    <w:rsid w:val="00B02CA3"/>
    <w:rsid w:val="00B04DCC"/>
    <w:rsid w:val="00B07D71"/>
    <w:rsid w:val="00B11D59"/>
    <w:rsid w:val="00B11E72"/>
    <w:rsid w:val="00B16007"/>
    <w:rsid w:val="00B16A80"/>
    <w:rsid w:val="00B17807"/>
    <w:rsid w:val="00B22012"/>
    <w:rsid w:val="00B23DBB"/>
    <w:rsid w:val="00B2481A"/>
    <w:rsid w:val="00B256C5"/>
    <w:rsid w:val="00B260C9"/>
    <w:rsid w:val="00B2624B"/>
    <w:rsid w:val="00B279C5"/>
    <w:rsid w:val="00B27A24"/>
    <w:rsid w:val="00B36378"/>
    <w:rsid w:val="00B37871"/>
    <w:rsid w:val="00B40347"/>
    <w:rsid w:val="00B4088F"/>
    <w:rsid w:val="00B445FA"/>
    <w:rsid w:val="00B45331"/>
    <w:rsid w:val="00B469B4"/>
    <w:rsid w:val="00B503F5"/>
    <w:rsid w:val="00B53ECD"/>
    <w:rsid w:val="00B54AC3"/>
    <w:rsid w:val="00B556C5"/>
    <w:rsid w:val="00B61873"/>
    <w:rsid w:val="00B61D44"/>
    <w:rsid w:val="00B62A83"/>
    <w:rsid w:val="00B636CE"/>
    <w:rsid w:val="00B64DE1"/>
    <w:rsid w:val="00B6540A"/>
    <w:rsid w:val="00B671E0"/>
    <w:rsid w:val="00B72496"/>
    <w:rsid w:val="00B74BB6"/>
    <w:rsid w:val="00B758C8"/>
    <w:rsid w:val="00B77CFA"/>
    <w:rsid w:val="00B841BD"/>
    <w:rsid w:val="00B90D2F"/>
    <w:rsid w:val="00B9145E"/>
    <w:rsid w:val="00B91E12"/>
    <w:rsid w:val="00B94EF4"/>
    <w:rsid w:val="00B971DF"/>
    <w:rsid w:val="00B97271"/>
    <w:rsid w:val="00B97A23"/>
    <w:rsid w:val="00BA0D2D"/>
    <w:rsid w:val="00BA1990"/>
    <w:rsid w:val="00BA2C53"/>
    <w:rsid w:val="00BA2C82"/>
    <w:rsid w:val="00BA30F2"/>
    <w:rsid w:val="00BA315A"/>
    <w:rsid w:val="00BA7587"/>
    <w:rsid w:val="00BB0B05"/>
    <w:rsid w:val="00BB1BC1"/>
    <w:rsid w:val="00BB4C56"/>
    <w:rsid w:val="00BB55B2"/>
    <w:rsid w:val="00BB62FF"/>
    <w:rsid w:val="00BB7792"/>
    <w:rsid w:val="00BC07F1"/>
    <w:rsid w:val="00BC26B3"/>
    <w:rsid w:val="00BC27A0"/>
    <w:rsid w:val="00BC2E2C"/>
    <w:rsid w:val="00BC309F"/>
    <w:rsid w:val="00BC329B"/>
    <w:rsid w:val="00BC582F"/>
    <w:rsid w:val="00BC6286"/>
    <w:rsid w:val="00BC63BD"/>
    <w:rsid w:val="00BD3E76"/>
    <w:rsid w:val="00BE18F8"/>
    <w:rsid w:val="00BE541E"/>
    <w:rsid w:val="00BE5B7A"/>
    <w:rsid w:val="00BF15EC"/>
    <w:rsid w:val="00BF51D5"/>
    <w:rsid w:val="00BF6038"/>
    <w:rsid w:val="00BF62E2"/>
    <w:rsid w:val="00BF661B"/>
    <w:rsid w:val="00BF70FD"/>
    <w:rsid w:val="00C023AC"/>
    <w:rsid w:val="00C02A29"/>
    <w:rsid w:val="00C05079"/>
    <w:rsid w:val="00C1167A"/>
    <w:rsid w:val="00C11BF0"/>
    <w:rsid w:val="00C14B60"/>
    <w:rsid w:val="00C17383"/>
    <w:rsid w:val="00C17D68"/>
    <w:rsid w:val="00C20B2E"/>
    <w:rsid w:val="00C273B0"/>
    <w:rsid w:val="00C31C60"/>
    <w:rsid w:val="00C34799"/>
    <w:rsid w:val="00C34DBF"/>
    <w:rsid w:val="00C37128"/>
    <w:rsid w:val="00C3782E"/>
    <w:rsid w:val="00C40179"/>
    <w:rsid w:val="00C4324C"/>
    <w:rsid w:val="00C44F97"/>
    <w:rsid w:val="00C470A1"/>
    <w:rsid w:val="00C47373"/>
    <w:rsid w:val="00C47E3E"/>
    <w:rsid w:val="00C50A52"/>
    <w:rsid w:val="00C55A70"/>
    <w:rsid w:val="00C55B8C"/>
    <w:rsid w:val="00C57BCD"/>
    <w:rsid w:val="00C619D5"/>
    <w:rsid w:val="00C63AD4"/>
    <w:rsid w:val="00C6602B"/>
    <w:rsid w:val="00C66CD6"/>
    <w:rsid w:val="00C67418"/>
    <w:rsid w:val="00C70383"/>
    <w:rsid w:val="00C70CB1"/>
    <w:rsid w:val="00C72818"/>
    <w:rsid w:val="00C75530"/>
    <w:rsid w:val="00C77004"/>
    <w:rsid w:val="00C87754"/>
    <w:rsid w:val="00C90508"/>
    <w:rsid w:val="00C915B1"/>
    <w:rsid w:val="00C9199A"/>
    <w:rsid w:val="00C91D01"/>
    <w:rsid w:val="00C928B3"/>
    <w:rsid w:val="00C92B7D"/>
    <w:rsid w:val="00C93C21"/>
    <w:rsid w:val="00C964BD"/>
    <w:rsid w:val="00C976C3"/>
    <w:rsid w:val="00CA1663"/>
    <w:rsid w:val="00CA685A"/>
    <w:rsid w:val="00CA7478"/>
    <w:rsid w:val="00CB0FB3"/>
    <w:rsid w:val="00CB11A0"/>
    <w:rsid w:val="00CB2B4C"/>
    <w:rsid w:val="00CB376B"/>
    <w:rsid w:val="00CB5430"/>
    <w:rsid w:val="00CB6EA4"/>
    <w:rsid w:val="00CB711D"/>
    <w:rsid w:val="00CC0018"/>
    <w:rsid w:val="00CC2A1F"/>
    <w:rsid w:val="00CC444E"/>
    <w:rsid w:val="00CC6958"/>
    <w:rsid w:val="00CD247B"/>
    <w:rsid w:val="00CD493F"/>
    <w:rsid w:val="00CD6D43"/>
    <w:rsid w:val="00CD711D"/>
    <w:rsid w:val="00CE0565"/>
    <w:rsid w:val="00CE29A0"/>
    <w:rsid w:val="00CE36F5"/>
    <w:rsid w:val="00CE413C"/>
    <w:rsid w:val="00CE4377"/>
    <w:rsid w:val="00CE483A"/>
    <w:rsid w:val="00CE724B"/>
    <w:rsid w:val="00CE7FBD"/>
    <w:rsid w:val="00CF014B"/>
    <w:rsid w:val="00CF2948"/>
    <w:rsid w:val="00CF3793"/>
    <w:rsid w:val="00CF3ED9"/>
    <w:rsid w:val="00CF5796"/>
    <w:rsid w:val="00D014C8"/>
    <w:rsid w:val="00D045A8"/>
    <w:rsid w:val="00D04F32"/>
    <w:rsid w:val="00D05022"/>
    <w:rsid w:val="00D0703B"/>
    <w:rsid w:val="00D07E73"/>
    <w:rsid w:val="00D10D0F"/>
    <w:rsid w:val="00D1107C"/>
    <w:rsid w:val="00D1753B"/>
    <w:rsid w:val="00D20249"/>
    <w:rsid w:val="00D21C7F"/>
    <w:rsid w:val="00D2228E"/>
    <w:rsid w:val="00D232D6"/>
    <w:rsid w:val="00D234E4"/>
    <w:rsid w:val="00D25F31"/>
    <w:rsid w:val="00D268C4"/>
    <w:rsid w:val="00D3025E"/>
    <w:rsid w:val="00D33CE6"/>
    <w:rsid w:val="00D340E4"/>
    <w:rsid w:val="00D34946"/>
    <w:rsid w:val="00D352CF"/>
    <w:rsid w:val="00D37117"/>
    <w:rsid w:val="00D37885"/>
    <w:rsid w:val="00D40031"/>
    <w:rsid w:val="00D410F7"/>
    <w:rsid w:val="00D41645"/>
    <w:rsid w:val="00D424F2"/>
    <w:rsid w:val="00D42DDD"/>
    <w:rsid w:val="00D4355F"/>
    <w:rsid w:val="00D43FA7"/>
    <w:rsid w:val="00D45DCA"/>
    <w:rsid w:val="00D53432"/>
    <w:rsid w:val="00D601FE"/>
    <w:rsid w:val="00D60F29"/>
    <w:rsid w:val="00D613CE"/>
    <w:rsid w:val="00D613D3"/>
    <w:rsid w:val="00D61CAE"/>
    <w:rsid w:val="00D6306A"/>
    <w:rsid w:val="00D633C1"/>
    <w:rsid w:val="00D64EA6"/>
    <w:rsid w:val="00D6526A"/>
    <w:rsid w:val="00D652BF"/>
    <w:rsid w:val="00D658E1"/>
    <w:rsid w:val="00D65EC5"/>
    <w:rsid w:val="00D6735E"/>
    <w:rsid w:val="00D70D3A"/>
    <w:rsid w:val="00D70DCC"/>
    <w:rsid w:val="00D71AAE"/>
    <w:rsid w:val="00D7264E"/>
    <w:rsid w:val="00D8020C"/>
    <w:rsid w:val="00D82D7F"/>
    <w:rsid w:val="00D83883"/>
    <w:rsid w:val="00D84ABA"/>
    <w:rsid w:val="00D87A8B"/>
    <w:rsid w:val="00D87D80"/>
    <w:rsid w:val="00D9318E"/>
    <w:rsid w:val="00D93D7D"/>
    <w:rsid w:val="00D943B0"/>
    <w:rsid w:val="00D95FA3"/>
    <w:rsid w:val="00D96829"/>
    <w:rsid w:val="00D97ED8"/>
    <w:rsid w:val="00DA06F9"/>
    <w:rsid w:val="00DA0EE4"/>
    <w:rsid w:val="00DA2D24"/>
    <w:rsid w:val="00DA494E"/>
    <w:rsid w:val="00DB1E3D"/>
    <w:rsid w:val="00DB3374"/>
    <w:rsid w:val="00DB40CC"/>
    <w:rsid w:val="00DB458D"/>
    <w:rsid w:val="00DB50AC"/>
    <w:rsid w:val="00DB54AF"/>
    <w:rsid w:val="00DB5AF0"/>
    <w:rsid w:val="00DB5E90"/>
    <w:rsid w:val="00DB61CB"/>
    <w:rsid w:val="00DB6BD8"/>
    <w:rsid w:val="00DC02B3"/>
    <w:rsid w:val="00DC0787"/>
    <w:rsid w:val="00DC2570"/>
    <w:rsid w:val="00DD0463"/>
    <w:rsid w:val="00DD1AA1"/>
    <w:rsid w:val="00DD2059"/>
    <w:rsid w:val="00DD4232"/>
    <w:rsid w:val="00DD47F1"/>
    <w:rsid w:val="00DE312D"/>
    <w:rsid w:val="00DE50EF"/>
    <w:rsid w:val="00DE666A"/>
    <w:rsid w:val="00DE736D"/>
    <w:rsid w:val="00DF16A3"/>
    <w:rsid w:val="00DF35F7"/>
    <w:rsid w:val="00DF5EB7"/>
    <w:rsid w:val="00E01361"/>
    <w:rsid w:val="00E0232B"/>
    <w:rsid w:val="00E03BEF"/>
    <w:rsid w:val="00E04901"/>
    <w:rsid w:val="00E0491D"/>
    <w:rsid w:val="00E06273"/>
    <w:rsid w:val="00E12751"/>
    <w:rsid w:val="00E12DAE"/>
    <w:rsid w:val="00E14027"/>
    <w:rsid w:val="00E15C81"/>
    <w:rsid w:val="00E2287C"/>
    <w:rsid w:val="00E23EF9"/>
    <w:rsid w:val="00E24E8A"/>
    <w:rsid w:val="00E3074E"/>
    <w:rsid w:val="00E3131E"/>
    <w:rsid w:val="00E31529"/>
    <w:rsid w:val="00E33D85"/>
    <w:rsid w:val="00E36480"/>
    <w:rsid w:val="00E4476D"/>
    <w:rsid w:val="00E45A2F"/>
    <w:rsid w:val="00E47EAC"/>
    <w:rsid w:val="00E5273A"/>
    <w:rsid w:val="00E53D58"/>
    <w:rsid w:val="00E56467"/>
    <w:rsid w:val="00E56FEB"/>
    <w:rsid w:val="00E619AA"/>
    <w:rsid w:val="00E6376E"/>
    <w:rsid w:val="00E63CED"/>
    <w:rsid w:val="00E6521D"/>
    <w:rsid w:val="00E6671D"/>
    <w:rsid w:val="00E66BC1"/>
    <w:rsid w:val="00E67C3C"/>
    <w:rsid w:val="00E7078F"/>
    <w:rsid w:val="00E70D8E"/>
    <w:rsid w:val="00E73B4C"/>
    <w:rsid w:val="00E74B68"/>
    <w:rsid w:val="00E75547"/>
    <w:rsid w:val="00E76718"/>
    <w:rsid w:val="00E76F55"/>
    <w:rsid w:val="00E803C2"/>
    <w:rsid w:val="00E80F23"/>
    <w:rsid w:val="00E810D3"/>
    <w:rsid w:val="00E818D8"/>
    <w:rsid w:val="00E81F94"/>
    <w:rsid w:val="00E81FE7"/>
    <w:rsid w:val="00E85F14"/>
    <w:rsid w:val="00E905FA"/>
    <w:rsid w:val="00E939BE"/>
    <w:rsid w:val="00E94F5C"/>
    <w:rsid w:val="00E96759"/>
    <w:rsid w:val="00EA2B25"/>
    <w:rsid w:val="00EA38B9"/>
    <w:rsid w:val="00EA3E61"/>
    <w:rsid w:val="00EA4C52"/>
    <w:rsid w:val="00EA582B"/>
    <w:rsid w:val="00EA689F"/>
    <w:rsid w:val="00EB09CB"/>
    <w:rsid w:val="00EB4136"/>
    <w:rsid w:val="00EB69A4"/>
    <w:rsid w:val="00EC0DBD"/>
    <w:rsid w:val="00EC28FB"/>
    <w:rsid w:val="00EC33E9"/>
    <w:rsid w:val="00EC3946"/>
    <w:rsid w:val="00EC3992"/>
    <w:rsid w:val="00EC5010"/>
    <w:rsid w:val="00EC5855"/>
    <w:rsid w:val="00ED3750"/>
    <w:rsid w:val="00ED5227"/>
    <w:rsid w:val="00EE0F0F"/>
    <w:rsid w:val="00EE45F8"/>
    <w:rsid w:val="00EE72BF"/>
    <w:rsid w:val="00EF2693"/>
    <w:rsid w:val="00EF4375"/>
    <w:rsid w:val="00EF673E"/>
    <w:rsid w:val="00F00EFC"/>
    <w:rsid w:val="00F01D94"/>
    <w:rsid w:val="00F02B7C"/>
    <w:rsid w:val="00F03500"/>
    <w:rsid w:val="00F03A9F"/>
    <w:rsid w:val="00F059ED"/>
    <w:rsid w:val="00F06517"/>
    <w:rsid w:val="00F104A5"/>
    <w:rsid w:val="00F11B43"/>
    <w:rsid w:val="00F12A4C"/>
    <w:rsid w:val="00F12C83"/>
    <w:rsid w:val="00F13DAD"/>
    <w:rsid w:val="00F166AB"/>
    <w:rsid w:val="00F17069"/>
    <w:rsid w:val="00F2046E"/>
    <w:rsid w:val="00F209B6"/>
    <w:rsid w:val="00F230F8"/>
    <w:rsid w:val="00F23F63"/>
    <w:rsid w:val="00F249AE"/>
    <w:rsid w:val="00F272E4"/>
    <w:rsid w:val="00F32275"/>
    <w:rsid w:val="00F33E4D"/>
    <w:rsid w:val="00F35345"/>
    <w:rsid w:val="00F367A2"/>
    <w:rsid w:val="00F40DE5"/>
    <w:rsid w:val="00F40F68"/>
    <w:rsid w:val="00F4152A"/>
    <w:rsid w:val="00F501D4"/>
    <w:rsid w:val="00F5181D"/>
    <w:rsid w:val="00F5205D"/>
    <w:rsid w:val="00F52216"/>
    <w:rsid w:val="00F54B41"/>
    <w:rsid w:val="00F5618E"/>
    <w:rsid w:val="00F6231A"/>
    <w:rsid w:val="00F65644"/>
    <w:rsid w:val="00F72C93"/>
    <w:rsid w:val="00F72F5E"/>
    <w:rsid w:val="00F773D5"/>
    <w:rsid w:val="00F77F42"/>
    <w:rsid w:val="00F807B3"/>
    <w:rsid w:val="00F80E3A"/>
    <w:rsid w:val="00F81F9E"/>
    <w:rsid w:val="00F82CE9"/>
    <w:rsid w:val="00F83248"/>
    <w:rsid w:val="00F83D9C"/>
    <w:rsid w:val="00F8634C"/>
    <w:rsid w:val="00F91C9E"/>
    <w:rsid w:val="00F91CAA"/>
    <w:rsid w:val="00F93165"/>
    <w:rsid w:val="00F933A7"/>
    <w:rsid w:val="00F95BF2"/>
    <w:rsid w:val="00F96689"/>
    <w:rsid w:val="00F9693B"/>
    <w:rsid w:val="00F974E0"/>
    <w:rsid w:val="00F97A36"/>
    <w:rsid w:val="00FA77C0"/>
    <w:rsid w:val="00FB0278"/>
    <w:rsid w:val="00FB0E98"/>
    <w:rsid w:val="00FB1897"/>
    <w:rsid w:val="00FB6A3E"/>
    <w:rsid w:val="00FB7F36"/>
    <w:rsid w:val="00FC1BA6"/>
    <w:rsid w:val="00FC1BD8"/>
    <w:rsid w:val="00FC306F"/>
    <w:rsid w:val="00FC6865"/>
    <w:rsid w:val="00FC72F7"/>
    <w:rsid w:val="00FD1885"/>
    <w:rsid w:val="00FD44D4"/>
    <w:rsid w:val="00FD66FD"/>
    <w:rsid w:val="00FD6903"/>
    <w:rsid w:val="00FE2CDB"/>
    <w:rsid w:val="00FE3040"/>
    <w:rsid w:val="00FE51C8"/>
    <w:rsid w:val="00FE707C"/>
    <w:rsid w:val="00FF4ACD"/>
    <w:rsid w:val="00FF639F"/>
    <w:rsid w:val="00FF743B"/>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1">
    <w:name w:val="Text 1"/>
    <w:basedOn w:val="Normln"/>
    <w:link w:val="Text1Char"/>
    <w:qFormat/>
    <w:rsid w:val="0003481B"/>
    <w:pPr>
      <w:spacing w:before="120" w:after="120"/>
      <w:jc w:val="both"/>
    </w:pPr>
    <w:rPr>
      <w:rFonts w:ascii="Times New Roman" w:eastAsia="Times New Roman" w:hAnsi="Times New Roman" w:cs="Times New Roman"/>
      <w:sz w:val="24"/>
      <w:szCs w:val="20"/>
    </w:rPr>
  </w:style>
  <w:style w:type="character" w:customStyle="1" w:styleId="Text1Char">
    <w:name w:val="Text 1 Char"/>
    <w:link w:val="Text1"/>
    <w:rsid w:val="0003481B"/>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1">
    <w:name w:val="Text 1"/>
    <w:basedOn w:val="Normln"/>
    <w:link w:val="Text1Char"/>
    <w:qFormat/>
    <w:rsid w:val="0003481B"/>
    <w:pPr>
      <w:spacing w:before="120" w:after="120"/>
      <w:jc w:val="both"/>
    </w:pPr>
    <w:rPr>
      <w:rFonts w:ascii="Times New Roman" w:eastAsia="Times New Roman" w:hAnsi="Times New Roman" w:cs="Times New Roman"/>
      <w:sz w:val="24"/>
      <w:szCs w:val="20"/>
    </w:rPr>
  </w:style>
  <w:style w:type="character" w:customStyle="1" w:styleId="Text1Char">
    <w:name w:val="Text 1 Char"/>
    <w:link w:val="Text1"/>
    <w:rsid w:val="0003481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7754234">
      <w:bodyDiv w:val="1"/>
      <w:marLeft w:val="0"/>
      <w:marRight w:val="0"/>
      <w:marTop w:val="0"/>
      <w:marBottom w:val="0"/>
      <w:divBdr>
        <w:top w:val="none" w:sz="0" w:space="0" w:color="auto"/>
        <w:left w:val="none" w:sz="0" w:space="0" w:color="auto"/>
        <w:bottom w:val="none" w:sz="0" w:space="0" w:color="auto"/>
        <w:right w:val="none" w:sz="0" w:space="0" w:color="auto"/>
      </w:divBdr>
    </w:div>
    <w:div w:id="18823727">
      <w:bodyDiv w:val="1"/>
      <w:marLeft w:val="0"/>
      <w:marRight w:val="0"/>
      <w:marTop w:val="0"/>
      <w:marBottom w:val="0"/>
      <w:divBdr>
        <w:top w:val="none" w:sz="0" w:space="0" w:color="auto"/>
        <w:left w:val="none" w:sz="0" w:space="0" w:color="auto"/>
        <w:bottom w:val="none" w:sz="0" w:space="0" w:color="auto"/>
        <w:right w:val="none" w:sz="0" w:space="0" w:color="auto"/>
      </w:divBdr>
      <w:divsChild>
        <w:div w:id="590159811">
          <w:marLeft w:val="0"/>
          <w:marRight w:val="0"/>
          <w:marTop w:val="0"/>
          <w:marBottom w:val="480"/>
          <w:divBdr>
            <w:top w:val="none" w:sz="0" w:space="0" w:color="auto"/>
            <w:left w:val="none" w:sz="0" w:space="0" w:color="auto"/>
            <w:bottom w:val="none" w:sz="0" w:space="0" w:color="auto"/>
            <w:right w:val="none" w:sz="0" w:space="0" w:color="auto"/>
          </w:divBdr>
        </w:div>
      </w:divsChild>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29448455">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199057410">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6813058">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292059708">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453595654">
      <w:bodyDiv w:val="1"/>
      <w:marLeft w:val="0"/>
      <w:marRight w:val="0"/>
      <w:marTop w:val="0"/>
      <w:marBottom w:val="0"/>
      <w:divBdr>
        <w:top w:val="none" w:sz="0" w:space="0" w:color="auto"/>
        <w:left w:val="none" w:sz="0" w:space="0" w:color="auto"/>
        <w:bottom w:val="none" w:sz="0" w:space="0" w:color="auto"/>
        <w:right w:val="none" w:sz="0" w:space="0" w:color="auto"/>
      </w:divBdr>
    </w:div>
    <w:div w:id="557522771">
      <w:bodyDiv w:val="1"/>
      <w:marLeft w:val="0"/>
      <w:marRight w:val="0"/>
      <w:marTop w:val="0"/>
      <w:marBottom w:val="0"/>
      <w:divBdr>
        <w:top w:val="none" w:sz="0" w:space="0" w:color="auto"/>
        <w:left w:val="none" w:sz="0" w:space="0" w:color="auto"/>
        <w:bottom w:val="none" w:sz="0" w:space="0" w:color="auto"/>
        <w:right w:val="none" w:sz="0" w:space="0" w:color="auto"/>
      </w:divBdr>
      <w:divsChild>
        <w:div w:id="887953310">
          <w:marLeft w:val="0"/>
          <w:marRight w:val="0"/>
          <w:marTop w:val="225"/>
          <w:marBottom w:val="225"/>
          <w:divBdr>
            <w:top w:val="none" w:sz="0" w:space="0" w:color="auto"/>
            <w:left w:val="none" w:sz="0" w:space="0" w:color="auto"/>
            <w:bottom w:val="none" w:sz="0" w:space="0" w:color="auto"/>
            <w:right w:val="none" w:sz="0" w:space="0" w:color="auto"/>
          </w:divBdr>
          <w:divsChild>
            <w:div w:id="200365804">
              <w:marLeft w:val="0"/>
              <w:marRight w:val="0"/>
              <w:marTop w:val="0"/>
              <w:marBottom w:val="0"/>
              <w:divBdr>
                <w:top w:val="none" w:sz="0" w:space="0" w:color="auto"/>
                <w:left w:val="none" w:sz="0" w:space="0" w:color="auto"/>
                <w:bottom w:val="none" w:sz="0" w:space="0" w:color="auto"/>
                <w:right w:val="none" w:sz="0" w:space="0" w:color="auto"/>
              </w:divBdr>
            </w:div>
            <w:div w:id="204025927">
              <w:marLeft w:val="0"/>
              <w:marRight w:val="0"/>
              <w:marTop w:val="0"/>
              <w:marBottom w:val="0"/>
              <w:divBdr>
                <w:top w:val="none" w:sz="0" w:space="0" w:color="auto"/>
                <w:left w:val="none" w:sz="0" w:space="0" w:color="auto"/>
                <w:bottom w:val="none" w:sz="0" w:space="0" w:color="auto"/>
                <w:right w:val="none" w:sz="0" w:space="0" w:color="auto"/>
              </w:divBdr>
            </w:div>
            <w:div w:id="337391701">
              <w:marLeft w:val="0"/>
              <w:marRight w:val="0"/>
              <w:marTop w:val="0"/>
              <w:marBottom w:val="0"/>
              <w:divBdr>
                <w:top w:val="none" w:sz="0" w:space="0" w:color="auto"/>
                <w:left w:val="none" w:sz="0" w:space="0" w:color="auto"/>
                <w:bottom w:val="none" w:sz="0" w:space="0" w:color="auto"/>
                <w:right w:val="none" w:sz="0" w:space="0" w:color="auto"/>
              </w:divBdr>
            </w:div>
            <w:div w:id="546339969">
              <w:marLeft w:val="0"/>
              <w:marRight w:val="0"/>
              <w:marTop w:val="0"/>
              <w:marBottom w:val="0"/>
              <w:divBdr>
                <w:top w:val="none" w:sz="0" w:space="0" w:color="auto"/>
                <w:left w:val="none" w:sz="0" w:space="0" w:color="auto"/>
                <w:bottom w:val="none" w:sz="0" w:space="0" w:color="auto"/>
                <w:right w:val="none" w:sz="0" w:space="0" w:color="auto"/>
              </w:divBdr>
            </w:div>
            <w:div w:id="574173132">
              <w:marLeft w:val="0"/>
              <w:marRight w:val="0"/>
              <w:marTop w:val="0"/>
              <w:marBottom w:val="0"/>
              <w:divBdr>
                <w:top w:val="none" w:sz="0" w:space="0" w:color="auto"/>
                <w:left w:val="none" w:sz="0" w:space="0" w:color="auto"/>
                <w:bottom w:val="none" w:sz="0" w:space="0" w:color="auto"/>
                <w:right w:val="none" w:sz="0" w:space="0" w:color="auto"/>
              </w:divBdr>
            </w:div>
            <w:div w:id="723874468">
              <w:marLeft w:val="0"/>
              <w:marRight w:val="0"/>
              <w:marTop w:val="0"/>
              <w:marBottom w:val="0"/>
              <w:divBdr>
                <w:top w:val="none" w:sz="0" w:space="0" w:color="auto"/>
                <w:left w:val="none" w:sz="0" w:space="0" w:color="auto"/>
                <w:bottom w:val="none" w:sz="0" w:space="0" w:color="auto"/>
                <w:right w:val="none" w:sz="0" w:space="0" w:color="auto"/>
              </w:divBdr>
            </w:div>
            <w:div w:id="1045833492">
              <w:marLeft w:val="0"/>
              <w:marRight w:val="0"/>
              <w:marTop w:val="0"/>
              <w:marBottom w:val="0"/>
              <w:divBdr>
                <w:top w:val="none" w:sz="0" w:space="0" w:color="auto"/>
                <w:left w:val="none" w:sz="0" w:space="0" w:color="auto"/>
                <w:bottom w:val="none" w:sz="0" w:space="0" w:color="auto"/>
                <w:right w:val="none" w:sz="0" w:space="0" w:color="auto"/>
              </w:divBdr>
            </w:div>
            <w:div w:id="1324164096">
              <w:marLeft w:val="0"/>
              <w:marRight w:val="0"/>
              <w:marTop w:val="0"/>
              <w:marBottom w:val="0"/>
              <w:divBdr>
                <w:top w:val="none" w:sz="0" w:space="0" w:color="auto"/>
                <w:left w:val="none" w:sz="0" w:space="0" w:color="auto"/>
                <w:bottom w:val="none" w:sz="0" w:space="0" w:color="auto"/>
                <w:right w:val="none" w:sz="0" w:space="0" w:color="auto"/>
              </w:divBdr>
            </w:div>
            <w:div w:id="1341657849">
              <w:marLeft w:val="0"/>
              <w:marRight w:val="0"/>
              <w:marTop w:val="0"/>
              <w:marBottom w:val="0"/>
              <w:divBdr>
                <w:top w:val="none" w:sz="0" w:space="0" w:color="auto"/>
                <w:left w:val="none" w:sz="0" w:space="0" w:color="auto"/>
                <w:bottom w:val="none" w:sz="0" w:space="0" w:color="auto"/>
                <w:right w:val="none" w:sz="0" w:space="0" w:color="auto"/>
              </w:divBdr>
            </w:div>
            <w:div w:id="1502550471">
              <w:marLeft w:val="0"/>
              <w:marRight w:val="0"/>
              <w:marTop w:val="0"/>
              <w:marBottom w:val="0"/>
              <w:divBdr>
                <w:top w:val="none" w:sz="0" w:space="0" w:color="auto"/>
                <w:left w:val="none" w:sz="0" w:space="0" w:color="auto"/>
                <w:bottom w:val="none" w:sz="0" w:space="0" w:color="auto"/>
                <w:right w:val="none" w:sz="0" w:space="0" w:color="auto"/>
              </w:divBdr>
            </w:div>
            <w:div w:id="1730765351">
              <w:marLeft w:val="0"/>
              <w:marRight w:val="0"/>
              <w:marTop w:val="0"/>
              <w:marBottom w:val="0"/>
              <w:divBdr>
                <w:top w:val="none" w:sz="0" w:space="0" w:color="auto"/>
                <w:left w:val="none" w:sz="0" w:space="0" w:color="auto"/>
                <w:bottom w:val="none" w:sz="0" w:space="0" w:color="auto"/>
                <w:right w:val="none" w:sz="0" w:space="0" w:color="auto"/>
              </w:divBdr>
            </w:div>
            <w:div w:id="1752778742">
              <w:marLeft w:val="0"/>
              <w:marRight w:val="0"/>
              <w:marTop w:val="0"/>
              <w:marBottom w:val="0"/>
              <w:divBdr>
                <w:top w:val="none" w:sz="0" w:space="0" w:color="auto"/>
                <w:left w:val="none" w:sz="0" w:space="0" w:color="auto"/>
                <w:bottom w:val="none" w:sz="0" w:space="0" w:color="auto"/>
                <w:right w:val="none" w:sz="0" w:space="0" w:color="auto"/>
              </w:divBdr>
            </w:div>
            <w:div w:id="183561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94643">
      <w:bodyDiv w:val="1"/>
      <w:marLeft w:val="0"/>
      <w:marRight w:val="0"/>
      <w:marTop w:val="0"/>
      <w:marBottom w:val="0"/>
      <w:divBdr>
        <w:top w:val="none" w:sz="0" w:space="0" w:color="auto"/>
        <w:left w:val="none" w:sz="0" w:space="0" w:color="auto"/>
        <w:bottom w:val="none" w:sz="0" w:space="0" w:color="auto"/>
        <w:right w:val="none" w:sz="0" w:space="0" w:color="auto"/>
      </w:divBdr>
    </w:div>
    <w:div w:id="752436379">
      <w:bodyDiv w:val="1"/>
      <w:marLeft w:val="0"/>
      <w:marRight w:val="0"/>
      <w:marTop w:val="0"/>
      <w:marBottom w:val="0"/>
      <w:divBdr>
        <w:top w:val="none" w:sz="0" w:space="0" w:color="auto"/>
        <w:left w:val="none" w:sz="0" w:space="0" w:color="auto"/>
        <w:bottom w:val="none" w:sz="0" w:space="0" w:color="auto"/>
        <w:right w:val="none" w:sz="0" w:space="0" w:color="auto"/>
      </w:divBdr>
      <w:divsChild>
        <w:div w:id="428047964">
          <w:marLeft w:val="0"/>
          <w:marRight w:val="0"/>
          <w:marTop w:val="0"/>
          <w:marBottom w:val="0"/>
          <w:divBdr>
            <w:top w:val="none" w:sz="0" w:space="0" w:color="auto"/>
            <w:left w:val="none" w:sz="0" w:space="0" w:color="auto"/>
            <w:bottom w:val="none" w:sz="0" w:space="0" w:color="auto"/>
            <w:right w:val="none" w:sz="0" w:space="0" w:color="auto"/>
          </w:divBdr>
        </w:div>
        <w:div w:id="948314148">
          <w:marLeft w:val="0"/>
          <w:marRight w:val="0"/>
          <w:marTop w:val="171"/>
          <w:marBottom w:val="0"/>
          <w:divBdr>
            <w:top w:val="none" w:sz="0" w:space="0" w:color="auto"/>
            <w:left w:val="none" w:sz="0" w:space="0" w:color="auto"/>
            <w:bottom w:val="none" w:sz="0" w:space="0" w:color="auto"/>
            <w:right w:val="none" w:sz="0" w:space="0" w:color="auto"/>
          </w:divBdr>
        </w:div>
      </w:divsChild>
    </w:div>
    <w:div w:id="854878062">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41842272">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34843236">
      <w:bodyDiv w:val="1"/>
      <w:marLeft w:val="0"/>
      <w:marRight w:val="0"/>
      <w:marTop w:val="0"/>
      <w:marBottom w:val="0"/>
      <w:divBdr>
        <w:top w:val="none" w:sz="0" w:space="0" w:color="auto"/>
        <w:left w:val="none" w:sz="0" w:space="0" w:color="auto"/>
        <w:bottom w:val="none" w:sz="0" w:space="0" w:color="auto"/>
        <w:right w:val="none" w:sz="0" w:space="0" w:color="auto"/>
      </w:divBdr>
    </w:div>
    <w:div w:id="1038091715">
      <w:bodyDiv w:val="1"/>
      <w:marLeft w:val="0"/>
      <w:marRight w:val="0"/>
      <w:marTop w:val="0"/>
      <w:marBottom w:val="0"/>
      <w:divBdr>
        <w:top w:val="none" w:sz="0" w:space="0" w:color="auto"/>
        <w:left w:val="none" w:sz="0" w:space="0" w:color="auto"/>
        <w:bottom w:val="none" w:sz="0" w:space="0" w:color="auto"/>
        <w:right w:val="none" w:sz="0" w:space="0" w:color="auto"/>
      </w:divBdr>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78021055">
      <w:bodyDiv w:val="1"/>
      <w:marLeft w:val="0"/>
      <w:marRight w:val="0"/>
      <w:marTop w:val="0"/>
      <w:marBottom w:val="0"/>
      <w:divBdr>
        <w:top w:val="none" w:sz="0" w:space="0" w:color="auto"/>
        <w:left w:val="none" w:sz="0" w:space="0" w:color="auto"/>
        <w:bottom w:val="none" w:sz="0" w:space="0" w:color="auto"/>
        <w:right w:val="none" w:sz="0" w:space="0" w:color="auto"/>
      </w:divBdr>
      <w:divsChild>
        <w:div w:id="2146002623">
          <w:marLeft w:val="0"/>
          <w:marRight w:val="0"/>
          <w:marTop w:val="0"/>
          <w:marBottom w:val="225"/>
          <w:divBdr>
            <w:top w:val="none" w:sz="0" w:space="0" w:color="auto"/>
            <w:left w:val="none" w:sz="0" w:space="0" w:color="auto"/>
            <w:bottom w:val="none" w:sz="0" w:space="0" w:color="auto"/>
            <w:right w:val="none" w:sz="0" w:space="0" w:color="auto"/>
          </w:divBdr>
        </w:div>
      </w:divsChild>
    </w:div>
    <w:div w:id="1285305042">
      <w:bodyDiv w:val="1"/>
      <w:marLeft w:val="0"/>
      <w:marRight w:val="0"/>
      <w:marTop w:val="0"/>
      <w:marBottom w:val="0"/>
      <w:divBdr>
        <w:top w:val="none" w:sz="0" w:space="0" w:color="auto"/>
        <w:left w:val="none" w:sz="0" w:space="0" w:color="auto"/>
        <w:bottom w:val="none" w:sz="0" w:space="0" w:color="auto"/>
        <w:right w:val="none" w:sz="0" w:space="0" w:color="auto"/>
      </w:divBdr>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09825266">
      <w:bodyDiv w:val="1"/>
      <w:marLeft w:val="0"/>
      <w:marRight w:val="0"/>
      <w:marTop w:val="0"/>
      <w:marBottom w:val="0"/>
      <w:divBdr>
        <w:top w:val="none" w:sz="0" w:space="0" w:color="auto"/>
        <w:left w:val="none" w:sz="0" w:space="0" w:color="auto"/>
        <w:bottom w:val="none" w:sz="0" w:space="0" w:color="auto"/>
        <w:right w:val="none" w:sz="0" w:space="0" w:color="auto"/>
      </w:divBdr>
    </w:div>
    <w:div w:id="1328903862">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11581808">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526483507">
      <w:bodyDiv w:val="1"/>
      <w:marLeft w:val="0"/>
      <w:marRight w:val="0"/>
      <w:marTop w:val="0"/>
      <w:marBottom w:val="0"/>
      <w:divBdr>
        <w:top w:val="none" w:sz="0" w:space="0" w:color="auto"/>
        <w:left w:val="none" w:sz="0" w:space="0" w:color="auto"/>
        <w:bottom w:val="none" w:sz="0" w:space="0" w:color="auto"/>
        <w:right w:val="none" w:sz="0" w:space="0" w:color="auto"/>
      </w:divBdr>
    </w:div>
    <w:div w:id="1563521078">
      <w:bodyDiv w:val="1"/>
      <w:marLeft w:val="0"/>
      <w:marRight w:val="0"/>
      <w:marTop w:val="0"/>
      <w:marBottom w:val="0"/>
      <w:divBdr>
        <w:top w:val="none" w:sz="0" w:space="0" w:color="auto"/>
        <w:left w:val="none" w:sz="0" w:space="0" w:color="auto"/>
        <w:bottom w:val="none" w:sz="0" w:space="0" w:color="auto"/>
        <w:right w:val="none" w:sz="0" w:space="0" w:color="auto"/>
      </w:divBdr>
    </w:div>
    <w:div w:id="1616908084">
      <w:bodyDiv w:val="1"/>
      <w:marLeft w:val="0"/>
      <w:marRight w:val="0"/>
      <w:marTop w:val="0"/>
      <w:marBottom w:val="0"/>
      <w:divBdr>
        <w:top w:val="none" w:sz="0" w:space="0" w:color="auto"/>
        <w:left w:val="none" w:sz="0" w:space="0" w:color="auto"/>
        <w:bottom w:val="none" w:sz="0" w:space="0" w:color="auto"/>
        <w:right w:val="none" w:sz="0" w:space="0" w:color="auto"/>
      </w:divBdr>
    </w:div>
    <w:div w:id="1623463950">
      <w:bodyDiv w:val="1"/>
      <w:marLeft w:val="0"/>
      <w:marRight w:val="0"/>
      <w:marTop w:val="0"/>
      <w:marBottom w:val="0"/>
      <w:divBdr>
        <w:top w:val="none" w:sz="0" w:space="0" w:color="auto"/>
        <w:left w:val="none" w:sz="0" w:space="0" w:color="auto"/>
        <w:bottom w:val="none" w:sz="0" w:space="0" w:color="auto"/>
        <w:right w:val="none" w:sz="0" w:space="0" w:color="auto"/>
      </w:divBdr>
    </w:div>
    <w:div w:id="1648362304">
      <w:bodyDiv w:val="1"/>
      <w:marLeft w:val="0"/>
      <w:marRight w:val="0"/>
      <w:marTop w:val="0"/>
      <w:marBottom w:val="0"/>
      <w:divBdr>
        <w:top w:val="none" w:sz="0" w:space="0" w:color="auto"/>
        <w:left w:val="none" w:sz="0" w:space="0" w:color="auto"/>
        <w:bottom w:val="none" w:sz="0" w:space="0" w:color="auto"/>
        <w:right w:val="none" w:sz="0" w:space="0" w:color="auto"/>
      </w:divBdr>
    </w:div>
    <w:div w:id="1666083072">
      <w:bodyDiv w:val="1"/>
      <w:marLeft w:val="0"/>
      <w:marRight w:val="0"/>
      <w:marTop w:val="0"/>
      <w:marBottom w:val="0"/>
      <w:divBdr>
        <w:top w:val="none" w:sz="0" w:space="0" w:color="auto"/>
        <w:left w:val="none" w:sz="0" w:space="0" w:color="auto"/>
        <w:bottom w:val="none" w:sz="0" w:space="0" w:color="auto"/>
        <w:right w:val="none" w:sz="0" w:space="0" w:color="auto"/>
      </w:divBdr>
    </w:div>
    <w:div w:id="1670253221">
      <w:bodyDiv w:val="1"/>
      <w:marLeft w:val="0"/>
      <w:marRight w:val="0"/>
      <w:marTop w:val="0"/>
      <w:marBottom w:val="0"/>
      <w:divBdr>
        <w:top w:val="none" w:sz="0" w:space="0" w:color="auto"/>
        <w:left w:val="none" w:sz="0" w:space="0" w:color="auto"/>
        <w:bottom w:val="none" w:sz="0" w:space="0" w:color="auto"/>
        <w:right w:val="none" w:sz="0" w:space="0" w:color="auto"/>
      </w:divBdr>
      <w:divsChild>
        <w:div w:id="1934895336">
          <w:marLeft w:val="0"/>
          <w:marRight w:val="0"/>
          <w:marTop w:val="480"/>
          <w:marBottom w:val="480"/>
          <w:divBdr>
            <w:top w:val="none" w:sz="0" w:space="0" w:color="auto"/>
            <w:left w:val="none" w:sz="0" w:space="0" w:color="auto"/>
            <w:bottom w:val="none" w:sz="0" w:space="0" w:color="auto"/>
            <w:right w:val="none" w:sz="0" w:space="0" w:color="auto"/>
          </w:divBdr>
        </w:div>
        <w:div w:id="1465737195">
          <w:marLeft w:val="0"/>
          <w:marRight w:val="0"/>
          <w:marTop w:val="240"/>
          <w:marBottom w:val="240"/>
          <w:divBdr>
            <w:top w:val="none" w:sz="0" w:space="0" w:color="auto"/>
            <w:left w:val="none" w:sz="0" w:space="0" w:color="auto"/>
            <w:bottom w:val="none" w:sz="0" w:space="0" w:color="auto"/>
            <w:right w:val="none" w:sz="0" w:space="0" w:color="auto"/>
          </w:divBdr>
        </w:div>
      </w:divsChild>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20225547">
      <w:bodyDiv w:val="1"/>
      <w:marLeft w:val="0"/>
      <w:marRight w:val="0"/>
      <w:marTop w:val="0"/>
      <w:marBottom w:val="0"/>
      <w:divBdr>
        <w:top w:val="none" w:sz="0" w:space="0" w:color="auto"/>
        <w:left w:val="none" w:sz="0" w:space="0" w:color="auto"/>
        <w:bottom w:val="none" w:sz="0" w:space="0" w:color="auto"/>
        <w:right w:val="none" w:sz="0" w:space="0" w:color="auto"/>
      </w:divBdr>
    </w:div>
    <w:div w:id="1825856918">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1979413393">
      <w:bodyDiv w:val="1"/>
      <w:marLeft w:val="0"/>
      <w:marRight w:val="0"/>
      <w:marTop w:val="0"/>
      <w:marBottom w:val="0"/>
      <w:divBdr>
        <w:top w:val="none" w:sz="0" w:space="0" w:color="auto"/>
        <w:left w:val="none" w:sz="0" w:space="0" w:color="auto"/>
        <w:bottom w:val="none" w:sz="0" w:space="0" w:color="auto"/>
        <w:right w:val="none" w:sz="0" w:space="0" w:color="auto"/>
      </w:divBdr>
    </w:div>
    <w:div w:id="200712305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47873759">
      <w:bodyDiv w:val="1"/>
      <w:marLeft w:val="0"/>
      <w:marRight w:val="0"/>
      <w:marTop w:val="0"/>
      <w:marBottom w:val="0"/>
      <w:divBdr>
        <w:top w:val="none" w:sz="0" w:space="0" w:color="auto"/>
        <w:left w:val="none" w:sz="0" w:space="0" w:color="auto"/>
        <w:bottom w:val="none" w:sz="0" w:space="0" w:color="auto"/>
        <w:right w:val="none" w:sz="0" w:space="0" w:color="auto"/>
      </w:divBdr>
      <w:divsChild>
        <w:div w:id="2108111185">
          <w:marLeft w:val="0"/>
          <w:marRight w:val="0"/>
          <w:marTop w:val="0"/>
          <w:marBottom w:val="0"/>
          <w:divBdr>
            <w:top w:val="none" w:sz="0" w:space="0" w:color="auto"/>
            <w:left w:val="none" w:sz="0" w:space="0" w:color="auto"/>
            <w:bottom w:val="none" w:sz="0" w:space="0" w:color="auto"/>
            <w:right w:val="none" w:sz="0" w:space="0" w:color="auto"/>
          </w:divBdr>
          <w:divsChild>
            <w:div w:id="8467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00519904">
      <w:bodyDiv w:val="1"/>
      <w:marLeft w:val="0"/>
      <w:marRight w:val="0"/>
      <w:marTop w:val="0"/>
      <w:marBottom w:val="0"/>
      <w:divBdr>
        <w:top w:val="none" w:sz="0" w:space="0" w:color="auto"/>
        <w:left w:val="none" w:sz="0" w:space="0" w:color="auto"/>
        <w:bottom w:val="none" w:sz="0" w:space="0" w:color="auto"/>
        <w:right w:val="none" w:sz="0" w:space="0" w:color="auto"/>
      </w:divBdr>
    </w:div>
    <w:div w:id="2105179572">
      <w:bodyDiv w:val="1"/>
      <w:marLeft w:val="0"/>
      <w:marRight w:val="0"/>
      <w:marTop w:val="0"/>
      <w:marBottom w:val="0"/>
      <w:divBdr>
        <w:top w:val="none" w:sz="0" w:space="0" w:color="auto"/>
        <w:left w:val="none" w:sz="0" w:space="0" w:color="auto"/>
        <w:bottom w:val="none" w:sz="0" w:space="0" w:color="auto"/>
        <w:right w:val="none" w:sz="0" w:space="0" w:color="auto"/>
      </w:divBdr>
    </w:div>
    <w:div w:id="2131776506">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2B634-AA80-43FC-8EF2-7F702367B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TotalTime>
  <Pages>6</Pages>
  <Words>1621</Words>
  <Characters>9564</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11163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Šmahelová Michala</dc:creator>
  <cp:keywords/>
  <dc:description/>
  <cp:lastModifiedBy>Matochová Michala</cp:lastModifiedBy>
  <cp:revision>30</cp:revision>
  <cp:lastPrinted>2021-03-17T15:39:00Z</cp:lastPrinted>
  <dcterms:created xsi:type="dcterms:W3CDTF">2020-10-30T13:20:00Z</dcterms:created>
  <dcterms:modified xsi:type="dcterms:W3CDTF">2021-03-18T15:42:00Z</dcterms:modified>
</cp:coreProperties>
</file>