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CB1E73"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BŘEZEN</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462BA8" w:rsidRDefault="00462BA8" w:rsidP="00462BA8">
      <w:pPr>
        <w:pStyle w:val="Bezmezer"/>
        <w:spacing w:line="360" w:lineRule="auto"/>
        <w:ind w:left="786"/>
        <w:jc w:val="both"/>
        <w:rPr>
          <w:rFonts w:ascii="Tahoma" w:hAnsi="Tahoma" w:cs="Tahoma"/>
          <w:i/>
          <w:color w:val="000000" w:themeColor="text1"/>
          <w:sz w:val="18"/>
          <w:szCs w:val="18"/>
        </w:rPr>
      </w:pPr>
    </w:p>
    <w:p w:rsidR="004E29F2" w:rsidRPr="00462BA8" w:rsidRDefault="00411B48" w:rsidP="00462BA8">
      <w:pPr>
        <w:pStyle w:val="Bezmezer"/>
        <w:spacing w:line="360" w:lineRule="auto"/>
        <w:ind w:left="786"/>
        <w:jc w:val="both"/>
        <w:rPr>
          <w:rFonts w:ascii="Tahoma" w:hAnsi="Tahoma" w:cs="Tahoma"/>
          <w:b/>
          <w:i/>
          <w:color w:val="000000" w:themeColor="text1"/>
          <w:sz w:val="18"/>
          <w:szCs w:val="18"/>
        </w:rPr>
      </w:pPr>
      <w:r w:rsidRPr="00462BA8">
        <w:rPr>
          <w:rFonts w:ascii="Tahoma" w:hAnsi="Tahoma" w:cs="Tahoma"/>
          <w:i/>
          <w:color w:val="000000" w:themeColor="text1"/>
          <w:sz w:val="18"/>
          <w:szCs w:val="18"/>
        </w:rPr>
        <w:t>Ve sledovaném období nebyly vydány žádné relevantní právní předpisy mající dopad na aktivity společnosti ČEPRO.</w:t>
      </w:r>
    </w:p>
    <w:p w:rsidR="00020DD5" w:rsidRDefault="00020DD5" w:rsidP="008D5292">
      <w:pPr>
        <w:pStyle w:val="Bezmezer"/>
        <w:spacing w:line="360" w:lineRule="auto"/>
        <w:ind w:left="708"/>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5E6591" w:rsidRDefault="00661CF8" w:rsidP="001311AC">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462BA8" w:rsidRDefault="00CB1E73" w:rsidP="00CB1E73">
      <w:pPr>
        <w:pStyle w:val="Bezmezer"/>
        <w:numPr>
          <w:ilvl w:val="0"/>
          <w:numId w:val="2"/>
        </w:numPr>
        <w:spacing w:line="360" w:lineRule="auto"/>
        <w:jc w:val="both"/>
        <w:rPr>
          <w:rFonts w:ascii="Tahoma" w:hAnsi="Tahoma" w:cs="Tahoma"/>
          <w:color w:val="000000" w:themeColor="text1"/>
          <w:sz w:val="18"/>
          <w:szCs w:val="18"/>
        </w:rPr>
      </w:pPr>
      <w:r w:rsidRPr="00CB1E73">
        <w:rPr>
          <w:rFonts w:ascii="Tahoma" w:hAnsi="Tahoma" w:cs="Tahoma"/>
          <w:color w:val="000000" w:themeColor="text1"/>
          <w:sz w:val="18"/>
          <w:szCs w:val="18"/>
        </w:rPr>
        <w:t>Návrh vyhlášky, kterou se mění vyhláška č. 268/2021 Sb., o technických požadavcích na stavby, ve znění pozdějších předpisů</w:t>
      </w:r>
    </w:p>
    <w:p w:rsidR="00CB1E73" w:rsidRPr="00CB1E73" w:rsidRDefault="00CB1E73" w:rsidP="00CB1E73">
      <w:pPr>
        <w:pStyle w:val="Bezmezer"/>
        <w:spacing w:line="360" w:lineRule="auto"/>
        <w:ind w:left="786"/>
        <w:jc w:val="both"/>
        <w:rPr>
          <w:rFonts w:ascii="Tahoma" w:hAnsi="Tahoma" w:cs="Tahoma"/>
          <w:color w:val="000000" w:themeColor="text1"/>
          <w:sz w:val="18"/>
          <w:szCs w:val="18"/>
        </w:rPr>
      </w:pPr>
    </w:p>
    <w:p w:rsidR="004A3DCA" w:rsidRPr="008A372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CB1E73" w:rsidRDefault="00CB1E73" w:rsidP="00CB1E73">
      <w:pPr>
        <w:pStyle w:val="Odstavecseseznamem"/>
        <w:numPr>
          <w:ilvl w:val="0"/>
          <w:numId w:val="2"/>
        </w:numPr>
        <w:jc w:val="both"/>
        <w:rPr>
          <w:rFonts w:ascii="Tahoma" w:hAnsi="Tahoma" w:cs="Tahoma"/>
          <w:color w:val="000000" w:themeColor="text1"/>
          <w:sz w:val="18"/>
          <w:szCs w:val="18"/>
        </w:rPr>
      </w:pPr>
      <w:r w:rsidRPr="00CB1E73">
        <w:rPr>
          <w:rFonts w:ascii="Tahoma" w:hAnsi="Tahoma" w:cs="Tahoma"/>
          <w:color w:val="000000" w:themeColor="text1"/>
          <w:sz w:val="18"/>
          <w:szCs w:val="18"/>
        </w:rPr>
        <w:t>Novela zákona č. 262/2006 Sb., zákoník práce</w:t>
      </w:r>
    </w:p>
    <w:p w:rsidR="00462BA8" w:rsidRDefault="00CB1E73" w:rsidP="00CB1E73">
      <w:pPr>
        <w:pStyle w:val="Odstavecseseznamem"/>
        <w:numPr>
          <w:ilvl w:val="0"/>
          <w:numId w:val="2"/>
        </w:numPr>
        <w:jc w:val="both"/>
        <w:rPr>
          <w:rFonts w:ascii="Tahoma" w:hAnsi="Tahoma" w:cs="Tahoma"/>
          <w:color w:val="000000" w:themeColor="text1"/>
          <w:sz w:val="18"/>
          <w:szCs w:val="18"/>
        </w:rPr>
      </w:pPr>
      <w:r w:rsidRPr="00CB1E73">
        <w:rPr>
          <w:rFonts w:ascii="Tahoma" w:hAnsi="Tahoma" w:cs="Tahoma"/>
          <w:color w:val="000000" w:themeColor="text1"/>
          <w:sz w:val="18"/>
          <w:szCs w:val="18"/>
        </w:rPr>
        <w:t>Návrh nařízení vlády, kterým se mění nařízení vlády č. 589/2006 Sb., kterým se stanoví odchylná úprava pracovní doby a doby odpočinku zaměstnanců v dopravě, ve znění pozdějších předpisů</w:t>
      </w:r>
    </w:p>
    <w:p w:rsidR="00CB1E73" w:rsidRPr="00CB1E73" w:rsidRDefault="00CB1E73" w:rsidP="00CB1E73">
      <w:pPr>
        <w:pStyle w:val="Odstavecseseznamem"/>
        <w:ind w:left="786"/>
        <w:jc w:val="both"/>
        <w:rPr>
          <w:rFonts w:ascii="Tahoma" w:hAnsi="Tahoma" w:cs="Tahoma"/>
          <w:color w:val="000000" w:themeColor="text1"/>
          <w:sz w:val="18"/>
          <w:szCs w:val="18"/>
        </w:rPr>
      </w:pPr>
    </w:p>
    <w:p w:rsidR="00BA315A" w:rsidRDefault="00BA315A" w:rsidP="00BA315A">
      <w:pPr>
        <w:pStyle w:val="Bezmezer"/>
        <w:spacing w:line="360" w:lineRule="auto"/>
        <w:jc w:val="both"/>
        <w:rPr>
          <w:rFonts w:ascii="Tahoma" w:hAnsi="Tahoma" w:cs="Tahoma"/>
          <w:b/>
          <w:color w:val="000000" w:themeColor="text1"/>
          <w:sz w:val="18"/>
          <w:szCs w:val="18"/>
        </w:rPr>
      </w:pPr>
      <w:r w:rsidRPr="008561A8">
        <w:rPr>
          <w:rFonts w:ascii="Tahoma" w:hAnsi="Tahoma" w:cs="Tahoma"/>
          <w:b/>
          <w:color w:val="000000" w:themeColor="text1"/>
          <w:sz w:val="18"/>
          <w:szCs w:val="18"/>
        </w:rPr>
        <w:t>III. Aktuální judikatura a stanoviska</w:t>
      </w:r>
    </w:p>
    <w:p w:rsidR="00FD66FD" w:rsidRDefault="00CB1E73" w:rsidP="00CB1E73">
      <w:pPr>
        <w:pStyle w:val="Odstavecseseznamem"/>
        <w:numPr>
          <w:ilvl w:val="0"/>
          <w:numId w:val="2"/>
        </w:numPr>
        <w:jc w:val="both"/>
        <w:rPr>
          <w:rFonts w:ascii="Tahoma" w:hAnsi="Tahoma" w:cs="Tahoma"/>
          <w:color w:val="000000" w:themeColor="text1"/>
          <w:sz w:val="20"/>
          <w:szCs w:val="20"/>
        </w:rPr>
      </w:pPr>
      <w:r>
        <w:rPr>
          <w:rFonts w:ascii="Tahoma" w:hAnsi="Tahoma" w:cs="Tahoma"/>
          <w:color w:val="000000" w:themeColor="text1"/>
          <w:sz w:val="20"/>
          <w:szCs w:val="20"/>
        </w:rPr>
        <w:t>Přičitatelnost činu právnické osobě</w:t>
      </w:r>
    </w:p>
    <w:p w:rsidR="00CB1E73" w:rsidRDefault="00CB1E73" w:rsidP="00CB1E73">
      <w:pPr>
        <w:pStyle w:val="Odstavecseseznamem"/>
        <w:numPr>
          <w:ilvl w:val="0"/>
          <w:numId w:val="2"/>
        </w:numPr>
        <w:jc w:val="both"/>
        <w:rPr>
          <w:rFonts w:ascii="Tahoma" w:hAnsi="Tahoma" w:cs="Tahoma"/>
          <w:color w:val="000000" w:themeColor="text1"/>
          <w:sz w:val="20"/>
          <w:szCs w:val="20"/>
        </w:rPr>
      </w:pPr>
      <w:proofErr w:type="spellStart"/>
      <w:r>
        <w:rPr>
          <w:rFonts w:ascii="Tahoma" w:hAnsi="Tahoma" w:cs="Tahoma"/>
          <w:color w:val="000000" w:themeColor="text1"/>
          <w:sz w:val="20"/>
          <w:szCs w:val="20"/>
        </w:rPr>
        <w:t>Zesplatnění</w:t>
      </w:r>
      <w:proofErr w:type="spellEnd"/>
      <w:r>
        <w:rPr>
          <w:rFonts w:ascii="Tahoma" w:hAnsi="Tahoma" w:cs="Tahoma"/>
          <w:color w:val="000000" w:themeColor="text1"/>
          <w:sz w:val="20"/>
          <w:szCs w:val="20"/>
        </w:rPr>
        <w:t xml:space="preserve"> celého dluhu pro případ, že dlužník na sebe podá insolvenční návrh</w:t>
      </w: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CB1E73" w:rsidRDefault="00CB1E73" w:rsidP="00FD66FD">
      <w:pPr>
        <w:pStyle w:val="Bezmezer"/>
        <w:spacing w:line="360" w:lineRule="auto"/>
        <w:jc w:val="both"/>
        <w:rPr>
          <w:rFonts w:ascii="Tahoma" w:hAnsi="Tahoma" w:cs="Tahoma"/>
          <w:color w:val="000000" w:themeColor="text1"/>
          <w:sz w:val="20"/>
          <w:szCs w:val="20"/>
        </w:rPr>
      </w:pPr>
    </w:p>
    <w:p w:rsidR="00CB1E73" w:rsidRDefault="00CB1E73" w:rsidP="00FD66FD">
      <w:pPr>
        <w:pStyle w:val="Bezmezer"/>
        <w:spacing w:line="360" w:lineRule="auto"/>
        <w:jc w:val="both"/>
        <w:rPr>
          <w:rFonts w:ascii="Tahoma" w:hAnsi="Tahoma" w:cs="Tahoma"/>
          <w:color w:val="000000" w:themeColor="text1"/>
          <w:sz w:val="20"/>
          <w:szCs w:val="20"/>
        </w:rPr>
      </w:pPr>
    </w:p>
    <w:p w:rsidR="00CB1E73" w:rsidRDefault="00CB1E73"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462BA8" w:rsidRDefault="00462BA8" w:rsidP="00462BA8">
      <w:pPr>
        <w:pStyle w:val="Bezmezer"/>
        <w:spacing w:line="360" w:lineRule="auto"/>
        <w:jc w:val="both"/>
        <w:rPr>
          <w:rFonts w:ascii="Tahoma" w:hAnsi="Tahoma" w:cs="Tahoma"/>
          <w:i/>
          <w:color w:val="000000" w:themeColor="text1"/>
          <w:sz w:val="18"/>
          <w:szCs w:val="18"/>
        </w:rPr>
      </w:pPr>
      <w:r w:rsidRPr="00462BA8">
        <w:rPr>
          <w:rFonts w:ascii="Tahoma" w:hAnsi="Tahoma" w:cs="Tahoma"/>
          <w:i/>
          <w:color w:val="000000" w:themeColor="text1"/>
          <w:sz w:val="18"/>
          <w:szCs w:val="18"/>
        </w:rPr>
        <w:t>Ve sledovaném období nebyly vydány žádné relevantní právní předpisy mající dopad na aktivity společnosti ČEPRO.</w:t>
      </w:r>
    </w:p>
    <w:p w:rsidR="00CB1E73" w:rsidRPr="00462BA8" w:rsidRDefault="00CB1E73" w:rsidP="00462BA8">
      <w:pPr>
        <w:pStyle w:val="Bezmezer"/>
        <w:spacing w:line="360" w:lineRule="auto"/>
        <w:jc w:val="both"/>
        <w:rPr>
          <w:rFonts w:ascii="Tahoma" w:hAnsi="Tahoma" w:cs="Tahoma"/>
          <w:b/>
          <w:i/>
          <w:color w:val="000000" w:themeColor="text1"/>
          <w:sz w:val="18"/>
          <w:szCs w:val="18"/>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462BA8" w:rsidRPr="009C449E" w:rsidRDefault="00CB1E73" w:rsidP="00462BA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B1E73">
        <w:rPr>
          <w:rStyle w:val="Hypertextovodkaz"/>
          <w:rFonts w:ascii="Tahoma" w:eastAsia="Times New Roman" w:hAnsi="Tahoma" w:cs="Tahoma"/>
          <w:b/>
          <w:bCs/>
          <w:color w:val="000000" w:themeColor="text1"/>
          <w:kern w:val="36"/>
          <w:sz w:val="24"/>
          <w:szCs w:val="24"/>
          <w:u w:val="none"/>
          <w:lang w:eastAsia="cs-CZ"/>
        </w:rPr>
        <w:t>Návrh vyhlášky, kterou se mění vyhláška č. 268/2021 Sb., o technických požadavcích na stavby, ve znění pozdějších předpisů</w:t>
      </w:r>
      <w:r w:rsidR="00684E6C">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462BA8" w:rsidRDefault="00462BA8" w:rsidP="00462BA8">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00CB1E73" w:rsidRPr="00CB1E73">
        <w:rPr>
          <w:rStyle w:val="Hypertextovodkaz"/>
          <w:rFonts w:ascii="Tahoma" w:eastAsia="Times New Roman" w:hAnsi="Tahoma" w:cs="Tahoma"/>
          <w:bCs/>
          <w:color w:val="000000" w:themeColor="text1"/>
          <w:kern w:val="36"/>
          <w:sz w:val="20"/>
          <w:szCs w:val="20"/>
          <w:u w:val="none"/>
          <w:lang w:eastAsia="cs-CZ"/>
        </w:rPr>
        <w:t>KORNBZDLA5O2</w:t>
      </w:r>
    </w:p>
    <w:p w:rsidR="00462BA8" w:rsidRDefault="00CB1E73" w:rsidP="00462BA8">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p>
    <w:p w:rsidR="007F577D" w:rsidRPr="007F577D" w:rsidRDefault="007F577D" w:rsidP="007F577D">
      <w:pPr>
        <w:pStyle w:val="Bezmezer"/>
        <w:jc w:val="both"/>
        <w:rPr>
          <w:rStyle w:val="Hypertextovodkaz"/>
          <w:rFonts w:ascii="Tahoma" w:eastAsia="Times New Roman" w:hAnsi="Tahoma" w:cs="Tahoma"/>
          <w:bCs/>
          <w:color w:val="000000" w:themeColor="text1"/>
          <w:kern w:val="36"/>
          <w:sz w:val="20"/>
          <w:szCs w:val="20"/>
          <w:u w:val="none"/>
          <w:lang w:eastAsia="cs-CZ"/>
        </w:rPr>
      </w:pPr>
    </w:p>
    <w:p w:rsidR="008829CA" w:rsidRDefault="007F577D"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F577D">
        <w:rPr>
          <w:rStyle w:val="Hypertextovodkaz"/>
          <w:rFonts w:ascii="Tahoma" w:eastAsia="Times New Roman" w:hAnsi="Tahoma" w:cs="Tahoma"/>
          <w:bCs/>
          <w:color w:val="000000" w:themeColor="text1"/>
          <w:kern w:val="36"/>
          <w:sz w:val="20"/>
          <w:szCs w:val="20"/>
          <w:u w:val="none"/>
          <w:lang w:eastAsia="cs-CZ"/>
        </w:rPr>
        <w:t xml:space="preserve">Cílem navrhované úpravy je </w:t>
      </w:r>
      <w:r w:rsidR="00CB1E73">
        <w:rPr>
          <w:rStyle w:val="Hypertextovodkaz"/>
          <w:rFonts w:ascii="Tahoma" w:eastAsia="Times New Roman" w:hAnsi="Tahoma" w:cs="Tahoma"/>
          <w:bCs/>
          <w:color w:val="000000" w:themeColor="text1"/>
          <w:kern w:val="36"/>
          <w:sz w:val="20"/>
          <w:szCs w:val="20"/>
          <w:u w:val="none"/>
          <w:lang w:eastAsia="cs-CZ"/>
        </w:rPr>
        <w:t>t</w:t>
      </w:r>
      <w:r w:rsidR="00CB1E73" w:rsidRPr="00CB1E73">
        <w:rPr>
          <w:rStyle w:val="Hypertextovodkaz"/>
          <w:rFonts w:ascii="Tahoma" w:eastAsia="Times New Roman" w:hAnsi="Tahoma" w:cs="Tahoma"/>
          <w:bCs/>
          <w:color w:val="000000" w:themeColor="text1"/>
          <w:kern w:val="36"/>
          <w:sz w:val="20"/>
          <w:szCs w:val="20"/>
          <w:u w:val="none"/>
          <w:lang w:eastAsia="cs-CZ"/>
        </w:rPr>
        <w:t>ranspozice směrnice Evropského parlamentu a Rady (EU) 2018/844/EU ze dne 30. května 2018, kterou se mění směrnice 2010/31/EU o energetické náročnosti budov a směrnice 2012/27/EU o energetické účinnosti a nařízení Komise v přenesené pravomoci (EU) 2019/1745 ze dne 13. srpna 2019, kterým se doplňuje a mění směrnice Evropského parlamentu a Rady 2014/94/EU ze dne 22. října 2014 o zavádění infrastruktury pro alternativní paliva.</w:t>
      </w:r>
    </w:p>
    <w:p w:rsidR="008C6A49" w:rsidRDefault="008C6A49"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C6A49" w:rsidRDefault="008C6A49" w:rsidP="008C6A49">
      <w:pPr>
        <w:pStyle w:val="Bezmezer"/>
        <w:jc w:val="both"/>
        <w:rPr>
          <w:rStyle w:val="Hypertextovodkaz"/>
          <w:rFonts w:ascii="Tahoma" w:eastAsia="Times New Roman" w:hAnsi="Tahoma" w:cs="Tahoma"/>
          <w:bCs/>
          <w:color w:val="000000" w:themeColor="text1"/>
          <w:kern w:val="36"/>
          <w:sz w:val="20"/>
          <w:szCs w:val="20"/>
          <w:u w:val="none"/>
          <w:lang w:eastAsia="cs-CZ"/>
        </w:rPr>
      </w:pPr>
      <w:r w:rsidRPr="008C6A49">
        <w:rPr>
          <w:rStyle w:val="Hypertextovodkaz"/>
          <w:rFonts w:ascii="Tahoma" w:eastAsia="Times New Roman" w:hAnsi="Tahoma" w:cs="Tahoma"/>
          <w:bCs/>
          <w:color w:val="000000" w:themeColor="text1"/>
          <w:kern w:val="36"/>
          <w:sz w:val="20"/>
          <w:szCs w:val="20"/>
          <w:u w:val="none"/>
          <w:lang w:eastAsia="cs-CZ"/>
        </w:rPr>
        <w:t xml:space="preserve">Návrh novely souvisí především s úpravou ustanovení § 48a, kde je implementována část nařízení Komise v přenesené pravomoci (EU) 2019/1745 ze dne 13. srpna 2019, kterým se doplňuje a mění směrnice Evropského parlamentu a Rady 2014/94/EU, pokud jde o dobíjecí stanice pro motorová vozidla kategorie L, dodávky elektřiny z pevniny pro plavidla vnitrozemské plavby, dodávky vodíku pro silniční dopravu a dodávky zemního plynu pro silniční a vodní dopravu tak, jak jsou uvedeny v příslušných evropských normách. Ve třech odstavcích paragrafu jsou stanoveny technické požadavky na dobíjecí stanice na střídavý proud se zdánlivým výkonem nejvýše 3,7 </w:t>
      </w:r>
      <w:proofErr w:type="spellStart"/>
      <w:r w:rsidRPr="008C6A49">
        <w:rPr>
          <w:rStyle w:val="Hypertextovodkaz"/>
          <w:rFonts w:ascii="Tahoma" w:eastAsia="Times New Roman" w:hAnsi="Tahoma" w:cs="Tahoma"/>
          <w:bCs/>
          <w:color w:val="000000" w:themeColor="text1"/>
          <w:kern w:val="36"/>
          <w:sz w:val="20"/>
          <w:szCs w:val="20"/>
          <w:u w:val="none"/>
          <w:lang w:eastAsia="cs-CZ"/>
        </w:rPr>
        <w:t>kVA</w:t>
      </w:r>
      <w:proofErr w:type="spellEnd"/>
      <w:r w:rsidRPr="008C6A49">
        <w:rPr>
          <w:rStyle w:val="Hypertextovodkaz"/>
          <w:rFonts w:ascii="Tahoma" w:eastAsia="Times New Roman" w:hAnsi="Tahoma" w:cs="Tahoma"/>
          <w:bCs/>
          <w:color w:val="000000" w:themeColor="text1"/>
          <w:kern w:val="36"/>
          <w:sz w:val="20"/>
          <w:szCs w:val="20"/>
          <w:u w:val="none"/>
          <w:lang w:eastAsia="cs-CZ"/>
        </w:rPr>
        <w:t xml:space="preserve"> vyhrazené pro elektrická vozidla kategorie L, se zdánlivým výkonem vyšším než 3,7 </w:t>
      </w:r>
      <w:proofErr w:type="spellStart"/>
      <w:r w:rsidRPr="008C6A49">
        <w:rPr>
          <w:rStyle w:val="Hypertextovodkaz"/>
          <w:rFonts w:ascii="Tahoma" w:eastAsia="Times New Roman" w:hAnsi="Tahoma" w:cs="Tahoma"/>
          <w:bCs/>
          <w:color w:val="000000" w:themeColor="text1"/>
          <w:kern w:val="36"/>
          <w:sz w:val="20"/>
          <w:szCs w:val="20"/>
          <w:u w:val="none"/>
          <w:lang w:eastAsia="cs-CZ"/>
        </w:rPr>
        <w:t>kVA</w:t>
      </w:r>
      <w:proofErr w:type="spellEnd"/>
      <w:r w:rsidRPr="008C6A49">
        <w:rPr>
          <w:rStyle w:val="Hypertextovodkaz"/>
          <w:rFonts w:ascii="Tahoma" w:eastAsia="Times New Roman" w:hAnsi="Tahoma" w:cs="Tahoma"/>
          <w:bCs/>
          <w:color w:val="000000" w:themeColor="text1"/>
          <w:kern w:val="36"/>
          <w:sz w:val="20"/>
          <w:szCs w:val="20"/>
          <w:u w:val="none"/>
          <w:lang w:eastAsia="cs-CZ"/>
        </w:rPr>
        <w:t xml:space="preserve"> vyhrazené pro elektrická vozidla kategorie L, a dodávky elektřiny z pevniny pro plavidla vnitrozemské plavby. </w:t>
      </w:r>
    </w:p>
    <w:p w:rsidR="008C6A49" w:rsidRPr="008C6A49" w:rsidRDefault="008C6A49" w:rsidP="008C6A49">
      <w:pPr>
        <w:pStyle w:val="Bezmezer"/>
        <w:jc w:val="both"/>
        <w:rPr>
          <w:rStyle w:val="Hypertextovodkaz"/>
          <w:rFonts w:ascii="Tahoma" w:eastAsia="Times New Roman" w:hAnsi="Tahoma" w:cs="Tahoma"/>
          <w:bCs/>
          <w:color w:val="000000" w:themeColor="text1"/>
          <w:kern w:val="36"/>
          <w:sz w:val="20"/>
          <w:szCs w:val="20"/>
          <w:u w:val="none"/>
          <w:lang w:eastAsia="cs-CZ"/>
        </w:rPr>
      </w:pPr>
    </w:p>
    <w:p w:rsidR="008C6A49" w:rsidRDefault="008C6A49" w:rsidP="008C6A4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8C6A49">
        <w:rPr>
          <w:rStyle w:val="Hypertextovodkaz"/>
          <w:rFonts w:ascii="Tahoma" w:eastAsia="Times New Roman" w:hAnsi="Tahoma" w:cs="Tahoma"/>
          <w:bCs/>
          <w:color w:val="000000" w:themeColor="text1"/>
          <w:kern w:val="36"/>
          <w:sz w:val="20"/>
          <w:szCs w:val="20"/>
          <w:u w:val="none"/>
          <w:lang w:eastAsia="cs-CZ"/>
        </w:rPr>
        <w:t xml:space="preserve">Návrh novely také souvisí s doplněním § 48b, ve kterém dochází k transpozici článku 8 směrnice 2018/844/EU v oblasti vybavení staveb dobíjecími stanicemi. V případě nových jiných než obytných budov a jiných než obytných budov procházejících větší renovací, které mají více než deset parkovacích míst, je potřeba zajistit instalaci „nejméně jedné dobíjecí stanice a </w:t>
      </w:r>
      <w:proofErr w:type="spellStart"/>
      <w:r w:rsidRPr="008C6A49">
        <w:rPr>
          <w:rStyle w:val="Hypertextovodkaz"/>
          <w:rFonts w:ascii="Tahoma" w:eastAsia="Times New Roman" w:hAnsi="Tahoma" w:cs="Tahoma"/>
          <w:bCs/>
          <w:color w:val="000000" w:themeColor="text1"/>
          <w:kern w:val="36"/>
          <w:sz w:val="20"/>
          <w:szCs w:val="20"/>
          <w:u w:val="none"/>
          <w:lang w:eastAsia="cs-CZ"/>
        </w:rPr>
        <w:t>kabelovodů</w:t>
      </w:r>
      <w:proofErr w:type="spellEnd"/>
      <w:r w:rsidRPr="008C6A49">
        <w:rPr>
          <w:rStyle w:val="Hypertextovodkaz"/>
          <w:rFonts w:ascii="Tahoma" w:eastAsia="Times New Roman" w:hAnsi="Tahoma" w:cs="Tahoma"/>
          <w:bCs/>
          <w:color w:val="000000" w:themeColor="text1"/>
          <w:kern w:val="36"/>
          <w:sz w:val="20"/>
          <w:szCs w:val="20"/>
          <w:u w:val="none"/>
          <w:lang w:eastAsia="cs-CZ"/>
        </w:rPr>
        <w:t>, tedy vedení elektrických kabelů, nejméně pro každé páté parkovací místo, aby byla v pozdější fázi umožněna instalace dobíjecích stanic pro elektrická vozidla“. V případě nových obytných budov a obytných budov procházejících větší renovací, které mají více než deset parkovacích míst, je potřeba zajistit instalace „</w:t>
      </w:r>
      <w:proofErr w:type="spellStart"/>
      <w:r w:rsidRPr="008C6A49">
        <w:rPr>
          <w:rStyle w:val="Hypertextovodkaz"/>
          <w:rFonts w:ascii="Tahoma" w:eastAsia="Times New Roman" w:hAnsi="Tahoma" w:cs="Tahoma"/>
          <w:bCs/>
          <w:color w:val="000000" w:themeColor="text1"/>
          <w:kern w:val="36"/>
          <w:sz w:val="20"/>
          <w:szCs w:val="20"/>
          <w:u w:val="none"/>
          <w:lang w:eastAsia="cs-CZ"/>
        </w:rPr>
        <w:t>kabelovodů</w:t>
      </w:r>
      <w:proofErr w:type="spellEnd"/>
      <w:r w:rsidRPr="008C6A49">
        <w:rPr>
          <w:rStyle w:val="Hypertextovodkaz"/>
          <w:rFonts w:ascii="Tahoma" w:eastAsia="Times New Roman" w:hAnsi="Tahoma" w:cs="Tahoma"/>
          <w:bCs/>
          <w:color w:val="000000" w:themeColor="text1"/>
          <w:kern w:val="36"/>
          <w:sz w:val="20"/>
          <w:szCs w:val="20"/>
          <w:u w:val="none"/>
          <w:lang w:eastAsia="cs-CZ"/>
        </w:rPr>
        <w:t>, tedy vedení pro elektrické kabely, pro každé parkovací místo, aby byla v pozdější fázi umožněna instalace dobíjecích stanic pro elektrická vozidla“.</w:t>
      </w:r>
    </w:p>
    <w:p w:rsidR="007F577D" w:rsidRDefault="007F577D"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sidR="00CB1E73">
        <w:rPr>
          <w:rStyle w:val="Hypertextovodkaz"/>
          <w:rFonts w:ascii="Tahoma" w:eastAsia="Times New Roman" w:hAnsi="Tahoma" w:cs="Tahoma"/>
          <w:b/>
          <w:bCs/>
          <w:i/>
          <w:color w:val="000000" w:themeColor="text1"/>
          <w:kern w:val="36"/>
          <w:sz w:val="20"/>
          <w:szCs w:val="20"/>
          <w:u w:val="none"/>
          <w:lang w:eastAsia="cs-CZ"/>
        </w:rPr>
        <w:t>PÚ</w:t>
      </w:r>
      <w:r>
        <w:rPr>
          <w:rStyle w:val="Hypertextovodkaz"/>
          <w:rFonts w:ascii="Tahoma" w:eastAsia="Times New Roman" w:hAnsi="Tahoma" w:cs="Tahoma"/>
          <w:b/>
          <w:bCs/>
          <w:i/>
          <w:color w:val="000000" w:themeColor="text1"/>
          <w:kern w:val="36"/>
          <w:sz w:val="20"/>
          <w:szCs w:val="20"/>
          <w:u w:val="none"/>
          <w:lang w:eastAsia="cs-CZ"/>
        </w:rPr>
        <w:t>:</w:t>
      </w: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7F577D" w:rsidRPr="008C6A49" w:rsidRDefault="008C6A49" w:rsidP="007F577D">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8C6A49">
        <w:rPr>
          <w:rStyle w:val="Hypertextovodkaz"/>
          <w:rFonts w:ascii="Tahoma" w:eastAsia="Times New Roman" w:hAnsi="Tahoma" w:cs="Tahoma"/>
          <w:bCs/>
          <w:i/>
          <w:color w:val="000000" w:themeColor="text1"/>
          <w:kern w:val="36"/>
          <w:sz w:val="20"/>
          <w:szCs w:val="20"/>
          <w:u w:val="none"/>
          <w:lang w:eastAsia="cs-CZ"/>
        </w:rPr>
        <w:t xml:space="preserve">S ohledem na aktuální procesy společnosti a jeho obchodní a provozní aktivity nejsou doporučována žádná implementační opatření do procesů naši společnosti. A však, v případě rozhodnutí společnosti ČEPRO stavět dobíjecí stanice, musí být tyto stanice vybaveny zásuvkami dle technické specifikace pro </w:t>
      </w:r>
      <w:r w:rsidRPr="008C6A49">
        <w:rPr>
          <w:rStyle w:val="Hypertextovodkaz"/>
          <w:rFonts w:ascii="Tahoma" w:eastAsia="Times New Roman" w:hAnsi="Tahoma" w:cs="Tahoma"/>
          <w:bCs/>
          <w:i/>
          <w:color w:val="000000" w:themeColor="text1"/>
          <w:kern w:val="36"/>
          <w:sz w:val="20"/>
          <w:szCs w:val="20"/>
          <w:u w:val="none"/>
          <w:lang w:eastAsia="cs-CZ"/>
        </w:rPr>
        <w:lastRenderedPageBreak/>
        <w:t>dobíjecí stanice uvedené v novele vyhlášky. V případě, že ČEPRO vlastní budovu s parkovištěm uvnitř, nebo fyzicky sousedícím a bude tuto budovu významně renovovat, musí být budova vybavena alespoň jednou dobíjecí stanicí a elektrickými rozvody pro pozdější instalaci dobíjecí stanice.</w:t>
      </w:r>
    </w:p>
    <w:p w:rsidR="007F577D" w:rsidRDefault="007F577D"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Pr="00217FEC"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BA315A">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2962A6" w:rsidRPr="009C449E" w:rsidRDefault="002962A6" w:rsidP="002962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962A6">
        <w:rPr>
          <w:rStyle w:val="Hypertextovodkaz"/>
          <w:rFonts w:ascii="Tahoma" w:eastAsia="Times New Roman" w:hAnsi="Tahoma" w:cs="Tahoma"/>
          <w:b/>
          <w:bCs/>
          <w:color w:val="000000" w:themeColor="text1"/>
          <w:kern w:val="36"/>
          <w:sz w:val="24"/>
          <w:szCs w:val="24"/>
          <w:u w:val="none"/>
          <w:lang w:eastAsia="cs-CZ"/>
        </w:rPr>
        <w:t>Novela zákona č. 262/2006 Sb., zákoník práce</w:t>
      </w:r>
      <w:r w:rsidR="00684E6C">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2962A6" w:rsidRDefault="002962A6"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Sněmovní tisk </w:t>
      </w:r>
      <w:r w:rsidR="008C6A49">
        <w:rPr>
          <w:rStyle w:val="Hypertextovodkaz"/>
          <w:rFonts w:ascii="Tahoma" w:eastAsia="Times New Roman" w:hAnsi="Tahoma" w:cs="Tahoma"/>
          <w:bCs/>
          <w:color w:val="000000" w:themeColor="text1"/>
          <w:kern w:val="36"/>
          <w:sz w:val="20"/>
          <w:szCs w:val="20"/>
          <w:u w:val="none"/>
          <w:lang w:eastAsia="cs-CZ"/>
        </w:rPr>
        <w:t>1181</w:t>
      </w:r>
    </w:p>
    <w:p w:rsidR="002962A6" w:rsidRDefault="002962A6"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vládě k vyjádření</w:t>
      </w: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C6A49" w:rsidRPr="008C6A49" w:rsidRDefault="008C6A49" w:rsidP="008C6A49">
      <w:pPr>
        <w:pStyle w:val="Bezmezer"/>
        <w:jc w:val="both"/>
        <w:rPr>
          <w:rStyle w:val="Hypertextovodkaz"/>
          <w:rFonts w:ascii="Tahoma" w:eastAsia="Times New Roman" w:hAnsi="Tahoma" w:cs="Tahoma"/>
          <w:bCs/>
          <w:color w:val="000000" w:themeColor="text1"/>
          <w:kern w:val="36"/>
          <w:sz w:val="20"/>
          <w:szCs w:val="20"/>
          <w:u w:val="none"/>
          <w:lang w:eastAsia="cs-CZ"/>
        </w:rPr>
      </w:pPr>
      <w:r w:rsidRPr="008C6A49">
        <w:rPr>
          <w:rStyle w:val="Hypertextovodkaz"/>
          <w:rFonts w:ascii="Tahoma" w:eastAsia="Times New Roman" w:hAnsi="Tahoma" w:cs="Tahoma"/>
          <w:bCs/>
          <w:color w:val="000000" w:themeColor="text1"/>
          <w:kern w:val="36"/>
          <w:sz w:val="20"/>
          <w:szCs w:val="20"/>
          <w:u w:val="none"/>
          <w:lang w:eastAsia="cs-CZ"/>
        </w:rPr>
        <w:t>Cílem návrhu je zavést nový pevný mechanismus valo</w:t>
      </w:r>
      <w:r>
        <w:rPr>
          <w:rStyle w:val="Hypertextovodkaz"/>
          <w:rFonts w:ascii="Tahoma" w:eastAsia="Times New Roman" w:hAnsi="Tahoma" w:cs="Tahoma"/>
          <w:bCs/>
          <w:color w:val="000000" w:themeColor="text1"/>
          <w:kern w:val="36"/>
          <w:sz w:val="20"/>
          <w:szCs w:val="20"/>
          <w:u w:val="none"/>
          <w:lang w:eastAsia="cs-CZ"/>
        </w:rPr>
        <w:t xml:space="preserve">rizace minimální mzdy a upravit </w:t>
      </w:r>
      <w:r w:rsidRPr="008C6A49">
        <w:rPr>
          <w:rStyle w:val="Hypertextovodkaz"/>
          <w:rFonts w:ascii="Tahoma" w:eastAsia="Times New Roman" w:hAnsi="Tahoma" w:cs="Tahoma"/>
          <w:bCs/>
          <w:color w:val="000000" w:themeColor="text1"/>
          <w:kern w:val="36"/>
          <w:sz w:val="20"/>
          <w:szCs w:val="20"/>
          <w:u w:val="none"/>
          <w:lang w:eastAsia="cs-CZ"/>
        </w:rPr>
        <w:t>podmínky pro stanovení nejnižších úrovní zaručené mzdy a</w:t>
      </w:r>
      <w:r>
        <w:rPr>
          <w:rStyle w:val="Hypertextovodkaz"/>
          <w:rFonts w:ascii="Tahoma" w:eastAsia="Times New Roman" w:hAnsi="Tahoma" w:cs="Tahoma"/>
          <w:bCs/>
          <w:color w:val="000000" w:themeColor="text1"/>
          <w:kern w:val="36"/>
          <w:sz w:val="20"/>
          <w:szCs w:val="20"/>
          <w:u w:val="none"/>
          <w:lang w:eastAsia="cs-CZ"/>
        </w:rPr>
        <w:t xml:space="preserve"> nahradit tak stávající způsob. </w:t>
      </w:r>
      <w:r w:rsidRPr="008C6A49">
        <w:rPr>
          <w:rStyle w:val="Hypertextovodkaz"/>
          <w:rFonts w:ascii="Tahoma" w:eastAsia="Times New Roman" w:hAnsi="Tahoma" w:cs="Tahoma"/>
          <w:bCs/>
          <w:color w:val="000000" w:themeColor="text1"/>
          <w:kern w:val="36"/>
          <w:sz w:val="20"/>
          <w:szCs w:val="20"/>
          <w:u w:val="none"/>
          <w:lang w:eastAsia="cs-CZ"/>
        </w:rPr>
        <w:t>Základním smyslem tohoto návrhu je nastavit valori</w:t>
      </w:r>
      <w:r>
        <w:rPr>
          <w:rStyle w:val="Hypertextovodkaz"/>
          <w:rFonts w:ascii="Tahoma" w:eastAsia="Times New Roman" w:hAnsi="Tahoma" w:cs="Tahoma"/>
          <w:bCs/>
          <w:color w:val="000000" w:themeColor="text1"/>
          <w:kern w:val="36"/>
          <w:sz w:val="20"/>
          <w:szCs w:val="20"/>
          <w:u w:val="none"/>
          <w:lang w:eastAsia="cs-CZ"/>
        </w:rPr>
        <w:t xml:space="preserve">zační mechanismus tak, aby byla </w:t>
      </w:r>
      <w:r w:rsidRPr="008C6A49">
        <w:rPr>
          <w:rStyle w:val="Hypertextovodkaz"/>
          <w:rFonts w:ascii="Tahoma" w:eastAsia="Times New Roman" w:hAnsi="Tahoma" w:cs="Tahoma"/>
          <w:bCs/>
          <w:color w:val="000000" w:themeColor="text1"/>
          <w:kern w:val="36"/>
          <w:sz w:val="20"/>
          <w:szCs w:val="20"/>
          <w:u w:val="none"/>
          <w:lang w:eastAsia="cs-CZ"/>
        </w:rPr>
        <w:t>minimální mzda zvyšovaná pravidelně, a aby výše minimální</w:t>
      </w:r>
      <w:r>
        <w:rPr>
          <w:rStyle w:val="Hypertextovodkaz"/>
          <w:rFonts w:ascii="Tahoma" w:eastAsia="Times New Roman" w:hAnsi="Tahoma" w:cs="Tahoma"/>
          <w:bCs/>
          <w:color w:val="000000" w:themeColor="text1"/>
          <w:kern w:val="36"/>
          <w:sz w:val="20"/>
          <w:szCs w:val="20"/>
          <w:u w:val="none"/>
          <w:lang w:eastAsia="cs-CZ"/>
        </w:rPr>
        <w:t xml:space="preserve"> mzdy byla jednoduše dostatečně </w:t>
      </w:r>
      <w:r w:rsidRPr="008C6A49">
        <w:rPr>
          <w:rStyle w:val="Hypertextovodkaz"/>
          <w:rFonts w:ascii="Tahoma" w:eastAsia="Times New Roman" w:hAnsi="Tahoma" w:cs="Tahoma"/>
          <w:bCs/>
          <w:color w:val="000000" w:themeColor="text1"/>
          <w:kern w:val="36"/>
          <w:sz w:val="20"/>
          <w:szCs w:val="20"/>
          <w:u w:val="none"/>
          <w:lang w:eastAsia="cs-CZ"/>
        </w:rPr>
        <w:t>včas odhadnutelná. To znamená vycházet ze zazna</w:t>
      </w:r>
      <w:r>
        <w:rPr>
          <w:rStyle w:val="Hypertextovodkaz"/>
          <w:rFonts w:ascii="Tahoma" w:eastAsia="Times New Roman" w:hAnsi="Tahoma" w:cs="Tahoma"/>
          <w:bCs/>
          <w:color w:val="000000" w:themeColor="text1"/>
          <w:kern w:val="36"/>
          <w:sz w:val="20"/>
          <w:szCs w:val="20"/>
          <w:u w:val="none"/>
          <w:lang w:eastAsia="cs-CZ"/>
        </w:rPr>
        <w:t xml:space="preserve">menaného skutečného vývoje mezd </w:t>
      </w:r>
      <w:r w:rsidRPr="008C6A49">
        <w:rPr>
          <w:rStyle w:val="Hypertextovodkaz"/>
          <w:rFonts w:ascii="Tahoma" w:eastAsia="Times New Roman" w:hAnsi="Tahoma" w:cs="Tahoma"/>
          <w:bCs/>
          <w:color w:val="000000" w:themeColor="text1"/>
          <w:kern w:val="36"/>
          <w:sz w:val="20"/>
          <w:szCs w:val="20"/>
          <w:u w:val="none"/>
          <w:lang w:eastAsia="cs-CZ"/>
        </w:rPr>
        <w:t>a nikoli z jeho predikcí.</w:t>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8C6A49" w:rsidRDefault="00684E6C" w:rsidP="002962A6">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C</w:t>
      </w:r>
      <w:bookmarkStart w:id="0" w:name="_GoBack"/>
      <w:bookmarkEnd w:id="0"/>
      <w:r w:rsidR="008C6A49" w:rsidRPr="008C6A49">
        <w:rPr>
          <w:rStyle w:val="Hypertextovodkaz"/>
          <w:rFonts w:ascii="Tahoma" w:eastAsia="Times New Roman" w:hAnsi="Tahoma" w:cs="Tahoma"/>
          <w:bCs/>
          <w:color w:val="000000" w:themeColor="text1"/>
          <w:kern w:val="36"/>
          <w:sz w:val="20"/>
          <w:szCs w:val="20"/>
          <w:u w:val="none"/>
          <w:lang w:eastAsia="cs-CZ"/>
        </w:rPr>
        <w:t xml:space="preserve">ílem předloženého návrhu je </w:t>
      </w:r>
      <w:r w:rsidR="008C6A49">
        <w:rPr>
          <w:rStyle w:val="Hypertextovodkaz"/>
          <w:rFonts w:ascii="Tahoma" w:eastAsia="Times New Roman" w:hAnsi="Tahoma" w:cs="Tahoma"/>
          <w:bCs/>
          <w:color w:val="000000" w:themeColor="text1"/>
          <w:kern w:val="36"/>
          <w:sz w:val="20"/>
          <w:szCs w:val="20"/>
          <w:u w:val="none"/>
          <w:lang w:eastAsia="cs-CZ"/>
        </w:rPr>
        <w:t xml:space="preserve">dále </w:t>
      </w:r>
      <w:r w:rsidR="008C6A49" w:rsidRPr="008C6A49">
        <w:rPr>
          <w:rStyle w:val="Hypertextovodkaz"/>
          <w:rFonts w:ascii="Tahoma" w:eastAsia="Times New Roman" w:hAnsi="Tahoma" w:cs="Tahoma"/>
          <w:bCs/>
          <w:color w:val="000000" w:themeColor="text1"/>
          <w:kern w:val="36"/>
          <w:sz w:val="20"/>
          <w:szCs w:val="20"/>
          <w:u w:val="none"/>
          <w:lang w:eastAsia="cs-CZ"/>
        </w:rPr>
        <w:t xml:space="preserve">zkrácení stanovené týdenní pracovní doby ze 40 hodin na 37,5 hodiny a nová úprava </w:t>
      </w:r>
      <w:r w:rsidR="008C6A49">
        <w:rPr>
          <w:rStyle w:val="Hypertextovodkaz"/>
          <w:rFonts w:ascii="Tahoma" w:eastAsia="Times New Roman" w:hAnsi="Tahoma" w:cs="Tahoma"/>
          <w:bCs/>
          <w:color w:val="000000" w:themeColor="text1"/>
          <w:kern w:val="36"/>
          <w:sz w:val="20"/>
          <w:szCs w:val="20"/>
          <w:u w:val="none"/>
          <w:lang w:eastAsia="cs-CZ"/>
        </w:rPr>
        <w:t>z</w:t>
      </w:r>
      <w:r w:rsidR="008C6A49" w:rsidRPr="008C6A49">
        <w:rPr>
          <w:rStyle w:val="Hypertextovodkaz"/>
          <w:rFonts w:ascii="Tahoma" w:eastAsia="Times New Roman" w:hAnsi="Tahoma" w:cs="Tahoma"/>
          <w:bCs/>
          <w:color w:val="000000" w:themeColor="text1"/>
          <w:kern w:val="36"/>
          <w:sz w:val="20"/>
          <w:szCs w:val="20"/>
          <w:u w:val="none"/>
          <w:lang w:eastAsia="cs-CZ"/>
        </w:rPr>
        <w:t>aručené mzdy a mzdy a příplatku za práci ve ztíženém pracovním prostředí.</w:t>
      </w: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OŘLZ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Pr="003F7FFC" w:rsidRDefault="002962A6" w:rsidP="002962A6">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OŘLZ – Mgr. Andrea Kanta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30.4.2021</w:t>
      </w:r>
      <w:proofErr w:type="gramEnd"/>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5166A7" w:rsidRDefault="005166A7"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F23499" w:rsidRDefault="00F23499"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23499">
        <w:rPr>
          <w:rStyle w:val="Hypertextovodkaz"/>
          <w:rFonts w:ascii="Tahoma" w:eastAsia="Times New Roman" w:hAnsi="Tahoma" w:cs="Tahoma"/>
          <w:b/>
          <w:bCs/>
          <w:color w:val="000000" w:themeColor="text1"/>
          <w:kern w:val="36"/>
          <w:sz w:val="24"/>
          <w:szCs w:val="24"/>
          <w:u w:val="none"/>
          <w:lang w:eastAsia="cs-CZ"/>
        </w:rPr>
        <w:t>Návrh nařízení vlády, kterým se mění nařízení vlády č. 589/2006 Sb., kterým se stanoví odchylná úprava pracovní doby a doby odpočinku zaměstnanců v dopravě, ve znění pozdějších předpisů</w:t>
      </w:r>
    </w:p>
    <w:p w:rsidR="008C6A49" w:rsidRDefault="00684E6C"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F23499" w:rsidRPr="00F23499" w:rsidRDefault="00F23499"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F23499">
        <w:rPr>
          <w:rStyle w:val="Hypertextovodkaz"/>
          <w:rFonts w:ascii="Tahoma" w:eastAsia="Times New Roman" w:hAnsi="Tahoma" w:cs="Tahoma"/>
          <w:bCs/>
          <w:color w:val="000000" w:themeColor="text1"/>
          <w:kern w:val="36"/>
          <w:sz w:val="20"/>
          <w:szCs w:val="20"/>
          <w:u w:val="none"/>
          <w:lang w:eastAsia="cs-CZ"/>
        </w:rPr>
        <w:t>EKLEP KORNBZMQWE39</w:t>
      </w:r>
    </w:p>
    <w:p w:rsidR="00F23499" w:rsidRPr="00F23499" w:rsidRDefault="00F23499"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F23499">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F23499" w:rsidRPr="00F23499" w:rsidRDefault="00F23499"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F23499" w:rsidRDefault="00F23499"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F23499">
        <w:rPr>
          <w:rStyle w:val="Hypertextovodkaz"/>
          <w:rFonts w:ascii="Tahoma" w:eastAsia="Times New Roman" w:hAnsi="Tahoma" w:cs="Tahoma"/>
          <w:bCs/>
          <w:color w:val="000000" w:themeColor="text1"/>
          <w:kern w:val="36"/>
          <w:sz w:val="20"/>
          <w:szCs w:val="20"/>
          <w:u w:val="none"/>
          <w:lang w:eastAsia="cs-CZ"/>
        </w:rPr>
        <w:t>Cílem předloženého návrhu nařízení vlády je zpřísnění a terminologické zpřesnění stávající právní úpravy pracovní doby a doby odpočinku zaměstnanců vnitrostátní drážní dopravy</w:t>
      </w:r>
      <w:r>
        <w:rPr>
          <w:rStyle w:val="Hypertextovodkaz"/>
          <w:rFonts w:ascii="Tahoma" w:eastAsia="Times New Roman" w:hAnsi="Tahoma" w:cs="Tahoma"/>
          <w:bCs/>
          <w:color w:val="000000" w:themeColor="text1"/>
          <w:kern w:val="36"/>
          <w:sz w:val="20"/>
          <w:szCs w:val="20"/>
          <w:u w:val="none"/>
          <w:lang w:eastAsia="cs-CZ"/>
        </w:rPr>
        <w:t>.</w:t>
      </w:r>
    </w:p>
    <w:p w:rsidR="00F23499" w:rsidRDefault="00F23499"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F23499" w:rsidRDefault="00F23499" w:rsidP="00F2349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OŘLZ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F23499" w:rsidRDefault="00F23499" w:rsidP="00F2349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F23499" w:rsidRPr="003F7FFC" w:rsidRDefault="00F23499" w:rsidP="00F23499">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OŘLZ – Mgr. Andrea Kanta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30.4.2021</w:t>
      </w:r>
      <w:proofErr w:type="gramEnd"/>
    </w:p>
    <w:p w:rsidR="00F23499" w:rsidRPr="00F23499" w:rsidRDefault="00F23499"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C6A49" w:rsidRDefault="008C6A49"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BA315A" w:rsidRDefault="00BA315A" w:rsidP="00BA315A">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t>Aktuální stanoviska a judikatura</w:t>
      </w:r>
    </w:p>
    <w:p w:rsidR="00BA315A" w:rsidRDefault="00BA315A" w:rsidP="00BA315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BA315A" w:rsidRPr="00374BCE" w:rsidRDefault="005166A7" w:rsidP="0045228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166A7">
        <w:rPr>
          <w:rStyle w:val="Hypertextovodkaz"/>
          <w:rFonts w:ascii="Tahoma" w:eastAsia="Times New Roman" w:hAnsi="Tahoma" w:cs="Tahoma"/>
          <w:b/>
          <w:bCs/>
          <w:color w:val="000000" w:themeColor="text1"/>
          <w:kern w:val="36"/>
          <w:sz w:val="24"/>
          <w:szCs w:val="24"/>
          <w:u w:val="none"/>
          <w:lang w:eastAsia="cs-CZ"/>
        </w:rPr>
        <w:t>Přičitatelnost činu právnické osobě</w:t>
      </w:r>
      <w:r w:rsidR="00684E6C">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BA315A" w:rsidRPr="00374BCE" w:rsidRDefault="005166A7"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7 Tdo 110/2019</w:t>
      </w:r>
    </w:p>
    <w:p w:rsidR="00483D7E" w:rsidRDefault="00483D7E" w:rsidP="0045228C">
      <w:pPr>
        <w:pStyle w:val="Bezmezer"/>
        <w:spacing w:line="276" w:lineRule="auto"/>
        <w:jc w:val="both"/>
        <w:rPr>
          <w:rFonts w:ascii="Tahoma" w:hAnsi="Tahoma" w:cs="Tahoma"/>
          <w:color w:val="000000" w:themeColor="text1"/>
          <w:sz w:val="18"/>
          <w:szCs w:val="18"/>
        </w:rPr>
      </w:pPr>
    </w:p>
    <w:p w:rsidR="0045228C" w:rsidRDefault="006E0CA1" w:rsidP="0045228C">
      <w:pPr>
        <w:pStyle w:val="Bezmezer"/>
        <w:spacing w:line="276" w:lineRule="auto"/>
        <w:jc w:val="both"/>
        <w:rPr>
          <w:rFonts w:ascii="Tahoma" w:hAnsi="Tahoma" w:cs="Tahoma"/>
          <w:color w:val="000000" w:themeColor="text1"/>
          <w:sz w:val="18"/>
          <w:szCs w:val="18"/>
        </w:rPr>
      </w:pPr>
      <w:r>
        <w:rPr>
          <w:rFonts w:ascii="Tahoma" w:hAnsi="Tahoma" w:cs="Tahoma"/>
          <w:color w:val="000000" w:themeColor="text1"/>
          <w:sz w:val="18"/>
          <w:szCs w:val="18"/>
        </w:rPr>
        <w:t>Právnická osoba se trestní odpovědnosti může zprostit, pokud prokáže, že jestliže i přes vynaložení veškeré snahy, které bylo možné po ní spravedlivě požadovat, aby zabránila spáchání protiprávního jednání, došlo k takovému činu. Bude tomu tak zejména tehdy, pokud jednání některé z osob bylo určitým excesem, kterému právnická osoba nemohla zabránit, a proto se nejeví jako spravedlivé jí takové jednání přičítat.</w:t>
      </w:r>
    </w:p>
    <w:p w:rsidR="006E0CA1" w:rsidRDefault="006E0CA1" w:rsidP="0045228C">
      <w:pPr>
        <w:pStyle w:val="Bezmezer"/>
        <w:spacing w:line="276" w:lineRule="auto"/>
        <w:jc w:val="both"/>
        <w:rPr>
          <w:rFonts w:ascii="Tahoma" w:hAnsi="Tahoma" w:cs="Tahoma"/>
          <w:color w:val="000000" w:themeColor="text1"/>
          <w:sz w:val="18"/>
          <w:szCs w:val="18"/>
        </w:rPr>
      </w:pPr>
    </w:p>
    <w:p w:rsidR="006E0CA1" w:rsidRDefault="006E0CA1" w:rsidP="0045228C">
      <w:pPr>
        <w:pStyle w:val="Bezmezer"/>
        <w:spacing w:line="276"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Opatření právnické osoby slouží k předcházení spáchání protiprávního činu </w:t>
      </w:r>
      <w:proofErr w:type="gramStart"/>
      <w:r>
        <w:rPr>
          <w:rFonts w:ascii="Tahoma" w:hAnsi="Tahoma" w:cs="Tahoma"/>
          <w:color w:val="000000" w:themeColor="text1"/>
          <w:sz w:val="18"/>
          <w:szCs w:val="18"/>
        </w:rPr>
        <w:t>má</w:t>
      </w:r>
      <w:proofErr w:type="gramEnd"/>
      <w:r>
        <w:rPr>
          <w:rFonts w:ascii="Tahoma" w:hAnsi="Tahoma" w:cs="Tahoma"/>
          <w:color w:val="000000" w:themeColor="text1"/>
          <w:sz w:val="18"/>
          <w:szCs w:val="18"/>
        </w:rPr>
        <w:t xml:space="preserve"> primárně spočívat v tom, aby byly dodržovány všechny právní předpisy, které je tato právnická osoba povinna respektovat, a vnitřní předpisy, které právnická osoba přijala ke konkretizaci povinností vyplývajících z právních předpisů.</w:t>
      </w:r>
    </w:p>
    <w:p w:rsidR="006E0CA1" w:rsidRDefault="006E0CA1" w:rsidP="0045228C">
      <w:pPr>
        <w:pStyle w:val="Bezmezer"/>
        <w:spacing w:line="276" w:lineRule="auto"/>
        <w:jc w:val="both"/>
        <w:rPr>
          <w:rFonts w:ascii="Tahoma" w:hAnsi="Tahoma" w:cs="Tahoma"/>
          <w:color w:val="000000" w:themeColor="text1"/>
          <w:sz w:val="18"/>
          <w:szCs w:val="18"/>
        </w:rPr>
      </w:pPr>
    </w:p>
    <w:p w:rsidR="006E0CA1" w:rsidRDefault="006E0CA1" w:rsidP="0045228C">
      <w:pPr>
        <w:pStyle w:val="Bezmezer"/>
        <w:spacing w:line="276" w:lineRule="auto"/>
        <w:jc w:val="both"/>
        <w:rPr>
          <w:rFonts w:ascii="Tahoma" w:hAnsi="Tahoma" w:cs="Tahoma"/>
          <w:color w:val="000000" w:themeColor="text1"/>
          <w:sz w:val="18"/>
          <w:szCs w:val="18"/>
        </w:rPr>
      </w:pPr>
      <w:r>
        <w:rPr>
          <w:rFonts w:ascii="Tahoma" w:hAnsi="Tahoma" w:cs="Tahoma"/>
          <w:color w:val="000000" w:themeColor="text1"/>
          <w:sz w:val="18"/>
          <w:szCs w:val="18"/>
        </w:rPr>
        <w:t>K závěru o splnění podmínek zproštění trestní odpovědnosti však nestačí prosté přijetí vnitřních předpisů nebo jiných opatření. Důležité je především zajištění dodržování těchto opatření, kontrola jejich plnění a případná detekce jejich porušení a následná adekvátní reakce.</w:t>
      </w:r>
    </w:p>
    <w:p w:rsidR="0045228C" w:rsidRDefault="0045228C" w:rsidP="0045228C">
      <w:pPr>
        <w:pStyle w:val="Bezmezer"/>
        <w:spacing w:line="276" w:lineRule="auto"/>
        <w:jc w:val="both"/>
        <w:rPr>
          <w:rFonts w:ascii="Tahoma" w:hAnsi="Tahoma" w:cs="Tahoma"/>
          <w:color w:val="000000" w:themeColor="text1"/>
          <w:sz w:val="18"/>
          <w:szCs w:val="18"/>
        </w:rPr>
      </w:pPr>
    </w:p>
    <w:p w:rsidR="0045228C" w:rsidRDefault="0045228C" w:rsidP="0045228C">
      <w:pPr>
        <w:pStyle w:val="Bezmezer"/>
        <w:spacing w:line="276" w:lineRule="auto"/>
        <w:jc w:val="both"/>
        <w:rPr>
          <w:rFonts w:ascii="Tahoma" w:hAnsi="Tahoma" w:cs="Tahoma"/>
          <w:color w:val="000000" w:themeColor="text1"/>
          <w:sz w:val="18"/>
          <w:szCs w:val="18"/>
        </w:rPr>
      </w:pPr>
    </w:p>
    <w:p w:rsidR="0045228C" w:rsidRDefault="0045228C" w:rsidP="0045228C">
      <w:pPr>
        <w:pStyle w:val="Bezmezer"/>
        <w:spacing w:line="276" w:lineRule="auto"/>
        <w:rPr>
          <w:rFonts w:ascii="Tahoma" w:hAnsi="Tahoma" w:cs="Tahoma"/>
          <w:color w:val="000000" w:themeColor="text1"/>
          <w:sz w:val="18"/>
          <w:szCs w:val="18"/>
        </w:rPr>
      </w:pPr>
    </w:p>
    <w:p w:rsidR="006A6AD2" w:rsidRPr="003F7FFC" w:rsidRDefault="006A6AD2" w:rsidP="0045228C">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Na vědomí </w:t>
      </w:r>
      <w:r w:rsidR="006E0CA1">
        <w:rPr>
          <w:rStyle w:val="Hypertextovodkaz"/>
          <w:rFonts w:ascii="Tahoma" w:eastAsia="Times New Roman" w:hAnsi="Tahoma" w:cs="Tahoma"/>
          <w:b/>
          <w:bCs/>
          <w:i/>
          <w:color w:val="000000" w:themeColor="text1"/>
          <w:kern w:val="36"/>
          <w:sz w:val="20"/>
          <w:szCs w:val="20"/>
          <w:u w:val="none"/>
          <w:lang w:eastAsia="cs-CZ"/>
        </w:rPr>
        <w:t>POŘ.</w:t>
      </w:r>
    </w:p>
    <w:p w:rsidR="00CC2A1F" w:rsidRDefault="00CC2A1F">
      <w:pPr>
        <w:rPr>
          <w:rStyle w:val="Hypertextovodkaz"/>
          <w:rFonts w:ascii="Tahoma" w:hAnsi="Tahoma" w:cs="Tahoma"/>
          <w:b/>
          <w:color w:val="000000" w:themeColor="text1"/>
          <w:kern w:val="36"/>
          <w:sz w:val="24"/>
          <w:szCs w:val="24"/>
          <w:u w:val="none"/>
          <w:lang w:eastAsia="cs-CZ"/>
        </w:rPr>
      </w:pPr>
    </w:p>
    <w:p w:rsidR="00CC2A1F" w:rsidRPr="00374BCE" w:rsidRDefault="006E0CA1" w:rsidP="00AB72B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roofErr w:type="spellStart"/>
      <w:r w:rsidRPr="006E0CA1">
        <w:rPr>
          <w:rStyle w:val="Hypertextovodkaz"/>
          <w:rFonts w:ascii="Tahoma" w:eastAsia="Times New Roman" w:hAnsi="Tahoma" w:cs="Tahoma"/>
          <w:b/>
          <w:bCs/>
          <w:color w:val="000000" w:themeColor="text1"/>
          <w:kern w:val="36"/>
          <w:sz w:val="24"/>
          <w:szCs w:val="24"/>
          <w:u w:val="none"/>
          <w:lang w:eastAsia="cs-CZ"/>
        </w:rPr>
        <w:t>Zesplatnění</w:t>
      </w:r>
      <w:proofErr w:type="spellEnd"/>
      <w:r w:rsidRPr="006E0CA1">
        <w:rPr>
          <w:rStyle w:val="Hypertextovodkaz"/>
          <w:rFonts w:ascii="Tahoma" w:eastAsia="Times New Roman" w:hAnsi="Tahoma" w:cs="Tahoma"/>
          <w:b/>
          <w:bCs/>
          <w:color w:val="000000" w:themeColor="text1"/>
          <w:kern w:val="36"/>
          <w:sz w:val="24"/>
          <w:szCs w:val="24"/>
          <w:u w:val="none"/>
          <w:lang w:eastAsia="cs-CZ"/>
        </w:rPr>
        <w:t xml:space="preserve"> celého dluhu pro případ, že dlužník na sebe podá insolvenční návrh</w:t>
      </w:r>
      <w:r w:rsidR="00684E6C">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CC2A1F" w:rsidRPr="00374BCE" w:rsidRDefault="00483D7E" w:rsidP="00CC2A1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w:t>
      </w:r>
      <w:r w:rsidR="00CC2A1F">
        <w:rPr>
          <w:rStyle w:val="Hypertextovodkaz"/>
          <w:rFonts w:ascii="Tahoma" w:eastAsia="Times New Roman" w:hAnsi="Tahoma" w:cs="Tahoma"/>
          <w:bCs/>
          <w:color w:val="000000" w:themeColor="text1"/>
          <w:kern w:val="36"/>
          <w:sz w:val="20"/>
          <w:szCs w:val="20"/>
          <w:u w:val="none"/>
          <w:lang w:eastAsia="cs-CZ"/>
        </w:rPr>
        <w:t xml:space="preserve">p. zn. </w:t>
      </w:r>
      <w:r w:rsidR="006E0CA1">
        <w:rPr>
          <w:rStyle w:val="Hypertextovodkaz"/>
          <w:rFonts w:ascii="Tahoma" w:eastAsia="Times New Roman" w:hAnsi="Tahoma" w:cs="Tahoma"/>
          <w:bCs/>
          <w:color w:val="000000" w:themeColor="text1"/>
          <w:kern w:val="36"/>
          <w:sz w:val="20"/>
          <w:szCs w:val="20"/>
          <w:u w:val="none"/>
          <w:lang w:eastAsia="cs-CZ"/>
        </w:rPr>
        <w:t xml:space="preserve">29 </w:t>
      </w:r>
      <w:proofErr w:type="spellStart"/>
      <w:r w:rsidR="006E0CA1">
        <w:rPr>
          <w:rStyle w:val="Hypertextovodkaz"/>
          <w:rFonts w:ascii="Tahoma" w:eastAsia="Times New Roman" w:hAnsi="Tahoma" w:cs="Tahoma"/>
          <w:bCs/>
          <w:color w:val="000000" w:themeColor="text1"/>
          <w:kern w:val="36"/>
          <w:sz w:val="20"/>
          <w:szCs w:val="20"/>
          <w:u w:val="none"/>
          <w:lang w:eastAsia="cs-CZ"/>
        </w:rPr>
        <w:t>ICdo</w:t>
      </w:r>
      <w:proofErr w:type="spellEnd"/>
      <w:r w:rsidR="006E0CA1">
        <w:rPr>
          <w:rStyle w:val="Hypertextovodkaz"/>
          <w:rFonts w:ascii="Tahoma" w:eastAsia="Times New Roman" w:hAnsi="Tahoma" w:cs="Tahoma"/>
          <w:bCs/>
          <w:color w:val="000000" w:themeColor="text1"/>
          <w:kern w:val="36"/>
          <w:sz w:val="20"/>
          <w:szCs w:val="20"/>
          <w:u w:val="none"/>
          <w:lang w:eastAsia="cs-CZ"/>
        </w:rPr>
        <w:t xml:space="preserve"> 36/2018</w:t>
      </w:r>
    </w:p>
    <w:p w:rsidR="00483D7E" w:rsidRDefault="00483D7E" w:rsidP="00CC2A1F">
      <w:pPr>
        <w:pStyle w:val="Bezmezer"/>
        <w:spacing w:line="360" w:lineRule="auto"/>
        <w:jc w:val="both"/>
        <w:rPr>
          <w:rFonts w:ascii="Tahoma" w:hAnsi="Tahoma" w:cs="Tahoma"/>
          <w:color w:val="000000" w:themeColor="text1"/>
          <w:sz w:val="18"/>
          <w:szCs w:val="18"/>
        </w:rPr>
      </w:pPr>
    </w:p>
    <w:p w:rsidR="00AB72B7" w:rsidRPr="00AB72B7" w:rsidRDefault="006E0CA1" w:rsidP="006E0CA1">
      <w:pPr>
        <w:pStyle w:val="Bezmeze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Možnost ujednat si v úvěrové smlouvě splatnost celého dluhu (včetně sjednaných úroků) pro případ, že (úvěrový) dlužník na sebe podá insolvenční návrh, neodporuje žádnému kogentnímu ustanovení zákona (včetně ust. § 170 písm. a) a b) insolvenčního zákona), ani základním zásadám insolvenčního řízení, jak jsou vyjádřeny především v § 5 insolvenčního zákona.</w:t>
      </w:r>
    </w:p>
    <w:p w:rsidR="00AB72B7" w:rsidRDefault="00AB72B7" w:rsidP="00CC2A1F">
      <w:pPr>
        <w:pStyle w:val="Bezmezer"/>
        <w:spacing w:line="360" w:lineRule="auto"/>
        <w:jc w:val="both"/>
        <w:rPr>
          <w:rFonts w:ascii="Tahoma" w:hAnsi="Tahoma" w:cs="Tahoma"/>
          <w:color w:val="000000" w:themeColor="text1"/>
          <w:sz w:val="18"/>
          <w:szCs w:val="18"/>
        </w:rPr>
      </w:pPr>
    </w:p>
    <w:p w:rsidR="00291DE2" w:rsidRPr="00761C7D" w:rsidRDefault="00CC2A1F" w:rsidP="008C711D">
      <w:pPr>
        <w:pStyle w:val="Bezmezer"/>
        <w:shd w:val="clear" w:color="auto" w:fill="D9D9D9" w:themeFill="background1" w:themeFillShade="D9"/>
        <w:spacing w:line="276" w:lineRule="auto"/>
        <w:rPr>
          <w:rStyle w:val="Hypertextovodkaz"/>
          <w:rFonts w:ascii="Tahoma" w:hAnsi="Tahoma" w:cs="Tahoma"/>
          <w:b/>
          <w:color w:val="000000" w:themeColor="text1"/>
          <w:kern w:val="36"/>
          <w:sz w:val="24"/>
          <w:szCs w:val="24"/>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Na vědomí </w:t>
      </w:r>
      <w:r w:rsidR="008C711D">
        <w:rPr>
          <w:rStyle w:val="Hypertextovodkaz"/>
          <w:rFonts w:ascii="Tahoma" w:eastAsia="Times New Roman" w:hAnsi="Tahoma" w:cs="Tahoma"/>
          <w:b/>
          <w:bCs/>
          <w:i/>
          <w:color w:val="000000" w:themeColor="text1"/>
          <w:kern w:val="36"/>
          <w:sz w:val="20"/>
          <w:szCs w:val="20"/>
          <w:u w:val="none"/>
          <w:lang w:eastAsia="cs-CZ"/>
        </w:rPr>
        <w:t>P</w:t>
      </w:r>
      <w:r w:rsidR="001336B6">
        <w:rPr>
          <w:rStyle w:val="Hypertextovodkaz"/>
          <w:rFonts w:ascii="Tahoma" w:eastAsia="Times New Roman" w:hAnsi="Tahoma" w:cs="Tahoma"/>
          <w:b/>
          <w:bCs/>
          <w:i/>
          <w:color w:val="000000" w:themeColor="text1"/>
          <w:kern w:val="36"/>
          <w:sz w:val="20"/>
          <w:szCs w:val="20"/>
          <w:u w:val="none"/>
          <w:lang w:eastAsia="cs-CZ"/>
        </w:rPr>
        <w:t>OŘ</w:t>
      </w:r>
      <w:r w:rsidR="00483D7E">
        <w:rPr>
          <w:rStyle w:val="Hypertextovodkaz"/>
          <w:rFonts w:ascii="Tahoma" w:eastAsia="Times New Roman" w:hAnsi="Tahoma" w:cs="Tahoma"/>
          <w:b/>
          <w:bCs/>
          <w:i/>
          <w:color w:val="000000" w:themeColor="text1"/>
          <w:kern w:val="36"/>
          <w:sz w:val="20"/>
          <w:szCs w:val="20"/>
          <w:u w:val="none"/>
          <w:lang w:eastAsia="cs-CZ"/>
        </w:rPr>
        <w:t>.</w:t>
      </w:r>
    </w:p>
    <w:sectPr w:rsidR="00291DE2" w:rsidRPr="00761C7D"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1D" w:rsidRDefault="008C711D" w:rsidP="004F17ED">
      <w:pPr>
        <w:spacing w:after="0" w:line="240" w:lineRule="auto"/>
      </w:pPr>
      <w:r>
        <w:separator/>
      </w:r>
    </w:p>
  </w:endnote>
  <w:endnote w:type="continuationSeparator" w:id="0">
    <w:p w:rsidR="008C711D" w:rsidRDefault="008C71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proofErr w:type="gramStart"/>
            <w:r w:rsidRPr="00FB7F36">
              <w:rPr>
                <w:rFonts w:ascii="Tahoma" w:hAnsi="Tahoma" w:cs="Tahoma"/>
                <w:sz w:val="16"/>
                <w:szCs w:val="16"/>
              </w:rPr>
              <w:t xml:space="preserve">Stránka </w:t>
            </w:r>
            <w:proofErr w:type="gramEnd"/>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684E6C">
              <w:rPr>
                <w:rFonts w:ascii="Tahoma" w:hAnsi="Tahoma" w:cs="Tahoma"/>
                <w:b/>
                <w:bCs/>
                <w:noProof/>
                <w:sz w:val="16"/>
                <w:szCs w:val="16"/>
              </w:rPr>
              <w:t>2</w:t>
            </w:r>
            <w:r w:rsidRPr="00FB7F36">
              <w:rPr>
                <w:rFonts w:ascii="Tahoma" w:hAnsi="Tahoma" w:cs="Tahoma"/>
                <w:b/>
                <w:bCs/>
                <w:sz w:val="16"/>
                <w:szCs w:val="16"/>
              </w:rPr>
              <w:fldChar w:fldCharType="end"/>
            </w:r>
            <w:proofErr w:type="gramStart"/>
            <w:r w:rsidRPr="00FB7F36">
              <w:rPr>
                <w:rFonts w:ascii="Tahoma" w:hAnsi="Tahoma" w:cs="Tahoma"/>
                <w:sz w:val="16"/>
                <w:szCs w:val="16"/>
              </w:rPr>
              <w:t xml:space="preserve"> z </w:t>
            </w:r>
            <w:proofErr w:type="gramEnd"/>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684E6C">
              <w:rPr>
                <w:rFonts w:ascii="Tahoma" w:hAnsi="Tahoma" w:cs="Tahoma"/>
                <w:b/>
                <w:bCs/>
                <w:noProof/>
                <w:sz w:val="16"/>
                <w:szCs w:val="16"/>
              </w:rPr>
              <w:t>4</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1D" w:rsidRDefault="008C711D" w:rsidP="004F17ED">
      <w:pPr>
        <w:spacing w:after="0" w:line="240" w:lineRule="auto"/>
      </w:pPr>
      <w:r>
        <w:separator/>
      </w:r>
    </w:p>
  </w:footnote>
  <w:footnote w:type="continuationSeparator" w:id="0">
    <w:p w:rsidR="008C711D" w:rsidRDefault="008C71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1A3D5227"/>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1">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03C2180"/>
    <w:multiLevelType w:val="hybridMultilevel"/>
    <w:tmpl w:val="E7507280"/>
    <w:lvl w:ilvl="0" w:tplc="1C4E1C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E25ADF"/>
    <w:multiLevelType w:val="hybridMultilevel"/>
    <w:tmpl w:val="D5C2F4DA"/>
    <w:lvl w:ilvl="0" w:tplc="2DCAE3E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3901BC5"/>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2">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4">
    <w:nsid w:val="56640868"/>
    <w:multiLevelType w:val="hybridMultilevel"/>
    <w:tmpl w:val="7E68D6AE"/>
    <w:lvl w:ilvl="0" w:tplc="E196C5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078386B"/>
    <w:multiLevelType w:val="hybridMultilevel"/>
    <w:tmpl w:val="25CA0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7527D5B"/>
    <w:multiLevelType w:val="hybridMultilevel"/>
    <w:tmpl w:val="A5DED2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5EE74C4"/>
    <w:multiLevelType w:val="hybridMultilevel"/>
    <w:tmpl w:val="9BAC955E"/>
    <w:lvl w:ilvl="0" w:tplc="8E48CE40">
      <w:start w:val="1"/>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0"/>
  </w:num>
  <w:num w:numId="3">
    <w:abstractNumId w:val="23"/>
  </w:num>
  <w:num w:numId="4">
    <w:abstractNumId w:val="12"/>
  </w:num>
  <w:num w:numId="5">
    <w:abstractNumId w:val="11"/>
  </w:num>
  <w:num w:numId="6">
    <w:abstractNumId w:val="17"/>
  </w:num>
  <w:num w:numId="7">
    <w:abstractNumId w:val="41"/>
  </w:num>
  <w:num w:numId="8">
    <w:abstractNumId w:val="16"/>
  </w:num>
  <w:num w:numId="9">
    <w:abstractNumId w:val="44"/>
  </w:num>
  <w:num w:numId="10">
    <w:abstractNumId w:val="35"/>
  </w:num>
  <w:num w:numId="11">
    <w:abstractNumId w:val="39"/>
  </w:num>
  <w:num w:numId="12">
    <w:abstractNumId w:val="3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9"/>
  </w:num>
  <w:num w:numId="24">
    <w:abstractNumId w:val="21"/>
  </w:num>
  <w:num w:numId="25">
    <w:abstractNumId w:val="20"/>
  </w:num>
  <w:num w:numId="26">
    <w:abstractNumId w:val="43"/>
  </w:num>
  <w:num w:numId="27">
    <w:abstractNumId w:val="26"/>
  </w:num>
  <w:num w:numId="28">
    <w:abstractNumId w:val="13"/>
  </w:num>
  <w:num w:numId="29">
    <w:abstractNumId w:val="15"/>
  </w:num>
  <w:num w:numId="30">
    <w:abstractNumId w:val="24"/>
  </w:num>
  <w:num w:numId="31">
    <w:abstractNumId w:val="14"/>
  </w:num>
  <w:num w:numId="32">
    <w:abstractNumId w:val="29"/>
  </w:num>
  <w:num w:numId="33">
    <w:abstractNumId w:val="10"/>
  </w:num>
  <w:num w:numId="34">
    <w:abstractNumId w:val="33"/>
  </w:num>
  <w:num w:numId="35">
    <w:abstractNumId w:val="40"/>
  </w:num>
  <w:num w:numId="36">
    <w:abstractNumId w:val="32"/>
  </w:num>
  <w:num w:numId="37">
    <w:abstractNumId w:val="25"/>
  </w:num>
  <w:num w:numId="38">
    <w:abstractNumId w:val="36"/>
  </w:num>
  <w:num w:numId="39">
    <w:abstractNumId w:val="28"/>
  </w:num>
  <w:num w:numId="40">
    <w:abstractNumId w:val="34"/>
  </w:num>
  <w:num w:numId="41">
    <w:abstractNumId w:val="27"/>
  </w:num>
  <w:num w:numId="42">
    <w:abstractNumId w:val="18"/>
  </w:num>
  <w:num w:numId="43">
    <w:abstractNumId w:val="22"/>
  </w:num>
  <w:num w:numId="44">
    <w:abstractNumId w:val="38"/>
  </w:num>
  <w:num w:numId="45">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36B6"/>
    <w:rsid w:val="00134EB5"/>
    <w:rsid w:val="001351A0"/>
    <w:rsid w:val="00135879"/>
    <w:rsid w:val="00135BEF"/>
    <w:rsid w:val="001367FE"/>
    <w:rsid w:val="00137ACA"/>
    <w:rsid w:val="00137CB0"/>
    <w:rsid w:val="00141501"/>
    <w:rsid w:val="00141666"/>
    <w:rsid w:val="00142322"/>
    <w:rsid w:val="001440A6"/>
    <w:rsid w:val="00144CDD"/>
    <w:rsid w:val="00145C1F"/>
    <w:rsid w:val="0015004C"/>
    <w:rsid w:val="00150FB7"/>
    <w:rsid w:val="00151B6E"/>
    <w:rsid w:val="00156C6C"/>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4111"/>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1B48"/>
    <w:rsid w:val="004128FE"/>
    <w:rsid w:val="00413E46"/>
    <w:rsid w:val="00415958"/>
    <w:rsid w:val="004161B5"/>
    <w:rsid w:val="0041735C"/>
    <w:rsid w:val="00417839"/>
    <w:rsid w:val="00422050"/>
    <w:rsid w:val="00422CD7"/>
    <w:rsid w:val="00423FDD"/>
    <w:rsid w:val="00424128"/>
    <w:rsid w:val="004242DB"/>
    <w:rsid w:val="00426698"/>
    <w:rsid w:val="00427709"/>
    <w:rsid w:val="00427F2F"/>
    <w:rsid w:val="00434454"/>
    <w:rsid w:val="004353BF"/>
    <w:rsid w:val="00440048"/>
    <w:rsid w:val="0044093C"/>
    <w:rsid w:val="004450E2"/>
    <w:rsid w:val="0044547E"/>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D7E"/>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37BA2"/>
    <w:rsid w:val="00540EA0"/>
    <w:rsid w:val="00542B36"/>
    <w:rsid w:val="00543D4A"/>
    <w:rsid w:val="00544C49"/>
    <w:rsid w:val="005452CF"/>
    <w:rsid w:val="005569BF"/>
    <w:rsid w:val="00562879"/>
    <w:rsid w:val="005629AE"/>
    <w:rsid w:val="005635CB"/>
    <w:rsid w:val="00563B66"/>
    <w:rsid w:val="005643D9"/>
    <w:rsid w:val="0056543F"/>
    <w:rsid w:val="005725FF"/>
    <w:rsid w:val="00572A6B"/>
    <w:rsid w:val="0057392F"/>
    <w:rsid w:val="0057405A"/>
    <w:rsid w:val="00574AEF"/>
    <w:rsid w:val="00577444"/>
    <w:rsid w:val="005824E2"/>
    <w:rsid w:val="005841CB"/>
    <w:rsid w:val="00584AD1"/>
    <w:rsid w:val="005874EF"/>
    <w:rsid w:val="00590162"/>
    <w:rsid w:val="005906EB"/>
    <w:rsid w:val="00590D0D"/>
    <w:rsid w:val="00595560"/>
    <w:rsid w:val="005A1D02"/>
    <w:rsid w:val="005A276A"/>
    <w:rsid w:val="005A32E8"/>
    <w:rsid w:val="005A5321"/>
    <w:rsid w:val="005A544B"/>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2E08"/>
    <w:rsid w:val="006F443D"/>
    <w:rsid w:val="0070119D"/>
    <w:rsid w:val="00701B95"/>
    <w:rsid w:val="00703EE5"/>
    <w:rsid w:val="007060DB"/>
    <w:rsid w:val="00706A9F"/>
    <w:rsid w:val="00707206"/>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42F4"/>
    <w:rsid w:val="007400F7"/>
    <w:rsid w:val="007413F0"/>
    <w:rsid w:val="00741601"/>
    <w:rsid w:val="00745373"/>
    <w:rsid w:val="007503D0"/>
    <w:rsid w:val="00751E42"/>
    <w:rsid w:val="00760367"/>
    <w:rsid w:val="00760E95"/>
    <w:rsid w:val="00761984"/>
    <w:rsid w:val="00761C7D"/>
    <w:rsid w:val="0076277F"/>
    <w:rsid w:val="00765FD7"/>
    <w:rsid w:val="00767E86"/>
    <w:rsid w:val="0077167C"/>
    <w:rsid w:val="00772162"/>
    <w:rsid w:val="00773243"/>
    <w:rsid w:val="007767A0"/>
    <w:rsid w:val="00781FFA"/>
    <w:rsid w:val="007825CD"/>
    <w:rsid w:val="00783961"/>
    <w:rsid w:val="0078570F"/>
    <w:rsid w:val="00785AB4"/>
    <w:rsid w:val="00790364"/>
    <w:rsid w:val="00791AB2"/>
    <w:rsid w:val="007955A3"/>
    <w:rsid w:val="007957FF"/>
    <w:rsid w:val="0079795D"/>
    <w:rsid w:val="007A18B0"/>
    <w:rsid w:val="007A56F5"/>
    <w:rsid w:val="007A7BE0"/>
    <w:rsid w:val="007B5156"/>
    <w:rsid w:val="007B7559"/>
    <w:rsid w:val="007C0CD0"/>
    <w:rsid w:val="007C0E18"/>
    <w:rsid w:val="007C2983"/>
    <w:rsid w:val="007C30AF"/>
    <w:rsid w:val="007C3635"/>
    <w:rsid w:val="007C36DB"/>
    <w:rsid w:val="007C3A4B"/>
    <w:rsid w:val="007C4043"/>
    <w:rsid w:val="007C51BB"/>
    <w:rsid w:val="007C520E"/>
    <w:rsid w:val="007D72DA"/>
    <w:rsid w:val="007E053D"/>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1A8"/>
    <w:rsid w:val="00856973"/>
    <w:rsid w:val="0086206B"/>
    <w:rsid w:val="00862B3D"/>
    <w:rsid w:val="00863036"/>
    <w:rsid w:val="00863A2B"/>
    <w:rsid w:val="00863E13"/>
    <w:rsid w:val="0086604E"/>
    <w:rsid w:val="008662C9"/>
    <w:rsid w:val="008679EA"/>
    <w:rsid w:val="00867E85"/>
    <w:rsid w:val="0087193D"/>
    <w:rsid w:val="008728CF"/>
    <w:rsid w:val="008733A1"/>
    <w:rsid w:val="008741F9"/>
    <w:rsid w:val="00877BA9"/>
    <w:rsid w:val="008803F5"/>
    <w:rsid w:val="0088131E"/>
    <w:rsid w:val="008829CA"/>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3423"/>
    <w:rsid w:val="00944403"/>
    <w:rsid w:val="00950F60"/>
    <w:rsid w:val="0095537D"/>
    <w:rsid w:val="00957DE3"/>
    <w:rsid w:val="00957E6D"/>
    <w:rsid w:val="00963277"/>
    <w:rsid w:val="009645A1"/>
    <w:rsid w:val="0097133F"/>
    <w:rsid w:val="0097263C"/>
    <w:rsid w:val="009735AF"/>
    <w:rsid w:val="00973927"/>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449E"/>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2B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2059"/>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D326-3C03-4E85-A607-F58AA661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4</Pages>
  <Words>1073</Words>
  <Characters>6335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Matochová Michala</cp:lastModifiedBy>
  <cp:revision>39</cp:revision>
  <cp:lastPrinted>2021-04-09T13:43:00Z</cp:lastPrinted>
  <dcterms:created xsi:type="dcterms:W3CDTF">2020-10-30T13:20:00Z</dcterms:created>
  <dcterms:modified xsi:type="dcterms:W3CDTF">2021-04-12T08:55:00Z</dcterms:modified>
</cp:coreProperties>
</file>