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4D60BB"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LEDEN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6902F1" w:rsidRPr="006902F1" w:rsidRDefault="006902F1" w:rsidP="006902F1">
      <w:pPr>
        <w:pStyle w:val="Bezmezer"/>
        <w:numPr>
          <w:ilvl w:val="0"/>
          <w:numId w:val="2"/>
        </w:numPr>
        <w:spacing w:line="360" w:lineRule="auto"/>
        <w:jc w:val="both"/>
        <w:rPr>
          <w:rFonts w:ascii="Tahoma" w:hAnsi="Tahoma" w:cs="Tahoma"/>
          <w:color w:val="000000" w:themeColor="text1"/>
          <w:sz w:val="18"/>
          <w:szCs w:val="18"/>
        </w:rPr>
      </w:pPr>
      <w:r w:rsidRPr="007B5156">
        <w:rPr>
          <w:rFonts w:ascii="Tahoma" w:hAnsi="Tahoma" w:cs="Tahoma"/>
          <w:color w:val="000000" w:themeColor="text1"/>
          <w:sz w:val="18"/>
          <w:szCs w:val="18"/>
        </w:rPr>
        <w:t xml:space="preserve">Zákon č. 237/2020 Sb., kterým se mění zákon č. 151/1997 Sb., o oceňování majetku a o změně některých zákonů </w:t>
      </w:r>
    </w:p>
    <w:p w:rsidR="004E29F2" w:rsidRPr="007B5156" w:rsidRDefault="004D60BB" w:rsidP="004D60BB">
      <w:pPr>
        <w:pStyle w:val="Bezmezer"/>
        <w:numPr>
          <w:ilvl w:val="0"/>
          <w:numId w:val="2"/>
        </w:numPr>
        <w:spacing w:line="360" w:lineRule="auto"/>
        <w:jc w:val="both"/>
        <w:rPr>
          <w:rFonts w:ascii="Tahoma" w:hAnsi="Tahoma" w:cs="Tahoma"/>
          <w:b/>
          <w:i/>
          <w:color w:val="000000" w:themeColor="text1"/>
          <w:sz w:val="18"/>
          <w:szCs w:val="18"/>
        </w:rPr>
      </w:pPr>
      <w:r>
        <w:rPr>
          <w:rFonts w:ascii="Tahoma" w:hAnsi="Tahoma" w:cs="Tahoma"/>
          <w:color w:val="000000" w:themeColor="text1"/>
          <w:sz w:val="18"/>
          <w:szCs w:val="18"/>
        </w:rPr>
        <w:t>Zákon č. 37/2021 Sb., o evidenci skutečných majitelů</w:t>
      </w:r>
    </w:p>
    <w:p w:rsidR="00020DD5" w:rsidRDefault="00020DD5" w:rsidP="008D5292">
      <w:pPr>
        <w:pStyle w:val="Bezmezer"/>
        <w:spacing w:line="360" w:lineRule="auto"/>
        <w:ind w:left="708"/>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5E6591" w:rsidRDefault="00661CF8" w:rsidP="001311AC">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514132" w:rsidRPr="00514132" w:rsidRDefault="00514132" w:rsidP="00514132">
      <w:pPr>
        <w:pStyle w:val="Odstavecseseznamem"/>
        <w:numPr>
          <w:ilvl w:val="0"/>
          <w:numId w:val="2"/>
        </w:numPr>
        <w:rPr>
          <w:rFonts w:ascii="Tahoma" w:hAnsi="Tahoma" w:cs="Tahoma"/>
          <w:color w:val="000000" w:themeColor="text1"/>
          <w:sz w:val="18"/>
          <w:szCs w:val="18"/>
        </w:rPr>
      </w:pPr>
      <w:r>
        <w:rPr>
          <w:rFonts w:ascii="Tahoma" w:hAnsi="Tahoma" w:cs="Tahoma"/>
          <w:color w:val="000000" w:themeColor="text1"/>
          <w:sz w:val="18"/>
          <w:szCs w:val="18"/>
        </w:rPr>
        <w:t>Ve sledovaném období nebyly předloženy</w:t>
      </w:r>
      <w:r w:rsidRPr="00514132">
        <w:rPr>
          <w:rFonts w:ascii="Tahoma" w:hAnsi="Tahoma" w:cs="Tahoma"/>
          <w:color w:val="000000" w:themeColor="text1"/>
          <w:sz w:val="18"/>
          <w:szCs w:val="18"/>
        </w:rPr>
        <w:t xml:space="preserve"> žádné </w:t>
      </w:r>
      <w:r>
        <w:rPr>
          <w:rFonts w:ascii="Tahoma" w:hAnsi="Tahoma" w:cs="Tahoma"/>
          <w:color w:val="000000" w:themeColor="text1"/>
          <w:sz w:val="18"/>
          <w:szCs w:val="18"/>
        </w:rPr>
        <w:t>výstupy ke sledované legislativě</w:t>
      </w:r>
      <w:r w:rsidRPr="00514132">
        <w:rPr>
          <w:rFonts w:ascii="Tahoma" w:hAnsi="Tahoma" w:cs="Tahoma"/>
          <w:color w:val="000000" w:themeColor="text1"/>
          <w:sz w:val="18"/>
          <w:szCs w:val="18"/>
        </w:rPr>
        <w:t xml:space="preserve">. </w:t>
      </w:r>
    </w:p>
    <w:p w:rsidR="002535C7" w:rsidRPr="006D5353" w:rsidRDefault="002535C7" w:rsidP="002535C7">
      <w:pPr>
        <w:pStyle w:val="Bezmezer"/>
        <w:spacing w:line="360" w:lineRule="auto"/>
        <w:ind w:left="786"/>
        <w:jc w:val="both"/>
        <w:rPr>
          <w:rFonts w:ascii="Tahoma" w:hAnsi="Tahoma" w:cs="Tahoma"/>
          <w:color w:val="000000" w:themeColor="text1"/>
          <w:sz w:val="18"/>
          <w:szCs w:val="18"/>
        </w:rPr>
      </w:pPr>
    </w:p>
    <w:p w:rsidR="004A3DCA" w:rsidRPr="008A372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BA315A" w:rsidRDefault="00020DD5" w:rsidP="00020DD5">
      <w:pPr>
        <w:pStyle w:val="Odstavecseseznamem"/>
        <w:numPr>
          <w:ilvl w:val="0"/>
          <w:numId w:val="2"/>
        </w:numPr>
        <w:rPr>
          <w:rFonts w:ascii="Tahoma" w:hAnsi="Tahoma" w:cs="Tahoma"/>
          <w:color w:val="000000" w:themeColor="text1"/>
          <w:sz w:val="18"/>
          <w:szCs w:val="18"/>
        </w:rPr>
      </w:pPr>
      <w:r w:rsidRPr="00020DD5">
        <w:rPr>
          <w:rFonts w:ascii="Tahoma" w:hAnsi="Tahoma" w:cs="Tahoma"/>
          <w:color w:val="000000" w:themeColor="text1"/>
          <w:sz w:val="18"/>
          <w:szCs w:val="18"/>
        </w:rPr>
        <w:t>Návrh zákona, kterým se mění zákon č. 634/1992 Sb., o ochraně spotřebitele, ve znění pozdějších předpisů, a zákon č. 89/2012 Sb., občanský zákoník, ve znění pozdějších předpisů</w:t>
      </w:r>
    </w:p>
    <w:p w:rsidR="008561A8" w:rsidRPr="00BA315A" w:rsidRDefault="008561A8" w:rsidP="008561A8">
      <w:pPr>
        <w:pStyle w:val="Odstavecseseznamem"/>
        <w:ind w:left="786"/>
        <w:rPr>
          <w:rFonts w:ascii="Tahoma" w:hAnsi="Tahoma" w:cs="Tahoma"/>
          <w:color w:val="000000" w:themeColor="text1"/>
          <w:sz w:val="18"/>
          <w:szCs w:val="18"/>
        </w:rPr>
      </w:pPr>
    </w:p>
    <w:p w:rsidR="00BA315A" w:rsidRPr="008561A8" w:rsidRDefault="00BA315A" w:rsidP="00BA315A">
      <w:pPr>
        <w:pStyle w:val="Bezmezer"/>
        <w:spacing w:line="360" w:lineRule="auto"/>
        <w:jc w:val="both"/>
        <w:rPr>
          <w:rFonts w:ascii="Tahoma" w:hAnsi="Tahoma" w:cs="Tahoma"/>
          <w:b/>
          <w:color w:val="000000" w:themeColor="text1"/>
          <w:sz w:val="18"/>
          <w:szCs w:val="18"/>
        </w:rPr>
      </w:pPr>
      <w:r w:rsidRPr="008561A8">
        <w:rPr>
          <w:rFonts w:ascii="Tahoma" w:hAnsi="Tahoma" w:cs="Tahoma"/>
          <w:b/>
          <w:color w:val="000000" w:themeColor="text1"/>
          <w:sz w:val="18"/>
          <w:szCs w:val="18"/>
        </w:rPr>
        <w:t>III. Aktuální judikatura a stanoviska</w:t>
      </w:r>
    </w:p>
    <w:p w:rsidR="00E4476D" w:rsidRPr="008561A8" w:rsidRDefault="00CC2A1F" w:rsidP="00E4476D">
      <w:pPr>
        <w:pStyle w:val="Bezmezer"/>
        <w:numPr>
          <w:ilvl w:val="0"/>
          <w:numId w:val="2"/>
        </w:numPr>
        <w:spacing w:line="360" w:lineRule="auto"/>
        <w:jc w:val="both"/>
        <w:rPr>
          <w:rFonts w:ascii="Tahoma" w:hAnsi="Tahoma" w:cs="Tahoma"/>
          <w:b/>
          <w:color w:val="000000" w:themeColor="text1"/>
          <w:sz w:val="18"/>
          <w:szCs w:val="18"/>
        </w:rPr>
      </w:pPr>
      <w:r w:rsidRPr="008561A8">
        <w:rPr>
          <w:rFonts w:ascii="Tahoma" w:hAnsi="Tahoma" w:cs="Tahoma"/>
          <w:color w:val="000000" w:themeColor="text1"/>
          <w:sz w:val="18"/>
          <w:szCs w:val="18"/>
        </w:rPr>
        <w:t>Bezprávná výhružka při ukončování pracovního poměru</w:t>
      </w:r>
    </w:p>
    <w:p w:rsidR="00CC2A1F" w:rsidRPr="008561A8" w:rsidRDefault="00CC2A1F" w:rsidP="00E4476D">
      <w:pPr>
        <w:pStyle w:val="Bezmezer"/>
        <w:numPr>
          <w:ilvl w:val="0"/>
          <w:numId w:val="2"/>
        </w:numPr>
        <w:spacing w:line="360" w:lineRule="auto"/>
        <w:jc w:val="both"/>
        <w:rPr>
          <w:rFonts w:ascii="Tahoma" w:hAnsi="Tahoma" w:cs="Tahoma"/>
          <w:b/>
          <w:color w:val="000000" w:themeColor="text1"/>
          <w:sz w:val="18"/>
          <w:szCs w:val="18"/>
        </w:rPr>
      </w:pPr>
      <w:r w:rsidRPr="008561A8">
        <w:rPr>
          <w:rFonts w:ascii="Tahoma" w:hAnsi="Tahoma" w:cs="Tahoma"/>
          <w:color w:val="000000" w:themeColor="text1"/>
          <w:sz w:val="18"/>
          <w:szCs w:val="18"/>
        </w:rPr>
        <w:t>Vymezení spornosti v dohodě o narovnání</w:t>
      </w:r>
    </w:p>
    <w:p w:rsidR="00FD66FD" w:rsidRDefault="00FD66FD"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020DD5" w:rsidRPr="00BA315A" w:rsidRDefault="00020DD5" w:rsidP="00FD66FD">
      <w:pPr>
        <w:pStyle w:val="Bezmezer"/>
        <w:spacing w:line="360" w:lineRule="auto"/>
        <w:jc w:val="both"/>
        <w:rPr>
          <w:rFonts w:ascii="Tahoma" w:hAnsi="Tahoma" w:cs="Tahoma"/>
          <w:color w:val="000000" w:themeColor="text1"/>
          <w:sz w:val="20"/>
          <w:szCs w:val="20"/>
        </w:rPr>
      </w:pPr>
    </w:p>
    <w:p w:rsidR="00D3025E" w:rsidRDefault="00D3025E"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6902F1" w:rsidRDefault="006902F1" w:rsidP="006902F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B5156">
        <w:rPr>
          <w:rStyle w:val="Hypertextovodkaz"/>
          <w:rFonts w:ascii="Tahoma" w:eastAsia="Times New Roman" w:hAnsi="Tahoma" w:cs="Tahoma"/>
          <w:b/>
          <w:bCs/>
          <w:color w:val="000000" w:themeColor="text1"/>
          <w:kern w:val="36"/>
          <w:sz w:val="24"/>
          <w:szCs w:val="24"/>
          <w:u w:val="none"/>
          <w:lang w:eastAsia="cs-CZ"/>
        </w:rPr>
        <w:t>Zákon č. 237/2020 Sb., kterým se mění zákon č. 151/1997 Sb., o oceňování majetku a o změně některých zákonů</w:t>
      </w:r>
    </w:p>
    <w:p w:rsidR="006902F1" w:rsidRDefault="005C15E3" w:rsidP="006902F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6902F1" w:rsidRDefault="006902F1" w:rsidP="006902F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od 1. 1. 2021</w:t>
      </w:r>
    </w:p>
    <w:p w:rsidR="006902F1" w:rsidRDefault="006902F1" w:rsidP="006902F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6902F1" w:rsidRPr="007B5156" w:rsidRDefault="006902F1" w:rsidP="006902F1">
      <w:pPr>
        <w:spacing w:after="0"/>
        <w:jc w:val="both"/>
        <w:rPr>
          <w:rStyle w:val="Hypertextovodkaz"/>
          <w:rFonts w:ascii="Tahoma" w:eastAsia="Times New Roman" w:hAnsi="Tahoma" w:cs="Tahoma"/>
          <w:bCs/>
          <w:color w:val="000000" w:themeColor="text1"/>
          <w:kern w:val="36"/>
          <w:sz w:val="20"/>
          <w:szCs w:val="24"/>
          <w:u w:val="none"/>
          <w:lang w:eastAsia="cs-CZ"/>
        </w:rPr>
      </w:pPr>
      <w:r w:rsidRPr="007B5156">
        <w:rPr>
          <w:rStyle w:val="Hypertextovodkaz"/>
          <w:rFonts w:ascii="Tahoma" w:eastAsia="Times New Roman" w:hAnsi="Tahoma" w:cs="Tahoma"/>
          <w:bCs/>
          <w:color w:val="000000" w:themeColor="text1"/>
          <w:kern w:val="36"/>
          <w:sz w:val="20"/>
          <w:szCs w:val="24"/>
          <w:u w:val="none"/>
          <w:lang w:eastAsia="cs-CZ"/>
        </w:rPr>
        <w:t>Nov</w:t>
      </w:r>
      <w:r>
        <w:rPr>
          <w:rStyle w:val="Hypertextovodkaz"/>
          <w:rFonts w:ascii="Tahoma" w:eastAsia="Times New Roman" w:hAnsi="Tahoma" w:cs="Tahoma"/>
          <w:bCs/>
          <w:color w:val="000000" w:themeColor="text1"/>
          <w:kern w:val="36"/>
          <w:sz w:val="20"/>
          <w:szCs w:val="24"/>
          <w:u w:val="none"/>
          <w:lang w:eastAsia="cs-CZ"/>
        </w:rPr>
        <w:t xml:space="preserve">ela zákona o oceňování majetku </w:t>
      </w:r>
      <w:r w:rsidRPr="007B5156">
        <w:rPr>
          <w:rStyle w:val="Hypertextovodkaz"/>
          <w:rFonts w:ascii="Tahoma" w:eastAsia="Times New Roman" w:hAnsi="Tahoma" w:cs="Tahoma"/>
          <w:bCs/>
          <w:color w:val="000000" w:themeColor="text1"/>
          <w:kern w:val="36"/>
          <w:sz w:val="20"/>
          <w:szCs w:val="24"/>
          <w:u w:val="none"/>
          <w:lang w:eastAsia="cs-CZ"/>
        </w:rPr>
        <w:t>obsahuje nová ustanovení § 16b týkající se přímo oceňování věcných břemen pro technickou infrastrukturu, přičemž způsob členění věcných břemen, postup výpočtu ceny věcného břemene, způsob určení ročního užitku, míry kapitalizace nově stanovuje oceňovací vyhláška (</w:t>
      </w:r>
      <w:r w:rsidRPr="007B5156">
        <w:rPr>
          <w:rStyle w:val="Hypertextovodkaz"/>
          <w:rFonts w:ascii="Tahoma" w:eastAsia="Times New Roman" w:hAnsi="Tahoma" w:cs="Tahoma"/>
          <w:color w:val="000000" w:themeColor="text1"/>
          <w:kern w:val="36"/>
          <w:sz w:val="20"/>
          <w:szCs w:val="24"/>
          <w:u w:val="none"/>
          <w:lang w:eastAsia="cs-CZ"/>
        </w:rPr>
        <w:t xml:space="preserve">vyhláška č. 441/2013 Sb., ve znění vyh. </w:t>
      </w:r>
      <w:r>
        <w:rPr>
          <w:rStyle w:val="Hypertextovodkaz"/>
          <w:rFonts w:ascii="Tahoma" w:eastAsia="Times New Roman" w:hAnsi="Tahoma" w:cs="Tahoma"/>
          <w:color w:val="000000" w:themeColor="text1"/>
          <w:kern w:val="36"/>
          <w:sz w:val="20"/>
          <w:szCs w:val="24"/>
          <w:u w:val="none"/>
          <w:lang w:eastAsia="cs-CZ"/>
        </w:rPr>
        <w:t>č</w:t>
      </w:r>
      <w:r w:rsidRPr="007B5156">
        <w:rPr>
          <w:rStyle w:val="Hypertextovodkaz"/>
          <w:rFonts w:ascii="Tahoma" w:eastAsia="Times New Roman" w:hAnsi="Tahoma" w:cs="Tahoma"/>
          <w:color w:val="000000" w:themeColor="text1"/>
          <w:kern w:val="36"/>
          <w:sz w:val="20"/>
          <w:szCs w:val="24"/>
          <w:u w:val="none"/>
          <w:lang w:eastAsia="cs-CZ"/>
        </w:rPr>
        <w:t>. 488/2020 Sb.).</w:t>
      </w:r>
      <w:r w:rsidRPr="007B5156">
        <w:rPr>
          <w:rStyle w:val="Hypertextovodkaz"/>
          <w:rFonts w:ascii="Tahoma" w:eastAsia="Times New Roman" w:hAnsi="Tahoma" w:cs="Tahoma"/>
          <w:bCs/>
          <w:color w:val="000000" w:themeColor="text1"/>
          <w:kern w:val="36"/>
          <w:sz w:val="20"/>
          <w:szCs w:val="24"/>
          <w:u w:val="none"/>
          <w:lang w:eastAsia="cs-CZ"/>
        </w:rPr>
        <w:t xml:space="preserve"> Od 1.1.2021 je tedy stanoven podrobný postup oceňování VB přímo pro technickou infrastrukturu, do které patří také produktovody a ropovody.</w:t>
      </w:r>
    </w:p>
    <w:p w:rsidR="006902F1" w:rsidRDefault="006902F1" w:rsidP="006902F1">
      <w:pPr>
        <w:spacing w:after="0"/>
        <w:jc w:val="both"/>
      </w:pPr>
    </w:p>
    <w:p w:rsidR="006902F1" w:rsidRDefault="006902F1" w:rsidP="00400CA9">
      <w:pPr>
        <w:pStyle w:val="Bezmezer"/>
        <w:spacing w:line="360" w:lineRule="auto"/>
        <w:jc w:val="center"/>
        <w:rPr>
          <w:rFonts w:ascii="Tahoma" w:hAnsi="Tahoma" w:cs="Tahoma"/>
          <w:color w:val="000000" w:themeColor="text1"/>
          <w:sz w:val="20"/>
          <w:szCs w:val="20"/>
        </w:rPr>
      </w:pPr>
    </w:p>
    <w:p w:rsidR="00D014C8" w:rsidRDefault="00020DD5" w:rsidP="00020DD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20DD5">
        <w:rPr>
          <w:rStyle w:val="Hypertextovodkaz"/>
          <w:rFonts w:ascii="Tahoma" w:eastAsia="Times New Roman" w:hAnsi="Tahoma" w:cs="Tahoma"/>
          <w:b/>
          <w:bCs/>
          <w:color w:val="000000" w:themeColor="text1"/>
          <w:kern w:val="36"/>
          <w:sz w:val="24"/>
          <w:szCs w:val="24"/>
          <w:u w:val="none"/>
          <w:lang w:eastAsia="cs-CZ"/>
        </w:rPr>
        <w:t xml:space="preserve">Zákon č. 37/2021 Sb., o evidenci skutečných majitelů </w:t>
      </w:r>
      <w:r w:rsidR="005C15E3">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D014C8" w:rsidRDefault="00D014C8" w:rsidP="00D014C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Účinnost od </w:t>
      </w:r>
      <w:r w:rsidR="00CC2A1F">
        <w:rPr>
          <w:rStyle w:val="Hypertextovodkaz"/>
          <w:rFonts w:ascii="Tahoma" w:eastAsia="Times New Roman" w:hAnsi="Tahoma" w:cs="Tahoma"/>
          <w:bCs/>
          <w:color w:val="000000" w:themeColor="text1"/>
          <w:kern w:val="36"/>
          <w:sz w:val="20"/>
          <w:szCs w:val="24"/>
          <w:u w:val="none"/>
          <w:lang w:eastAsia="cs-CZ"/>
        </w:rPr>
        <w:t>1. 6. 2021</w:t>
      </w:r>
    </w:p>
    <w:p w:rsidR="00D014C8" w:rsidRDefault="00D014C8" w:rsidP="00D014C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D014C8" w:rsidRDefault="00CC2A1F"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Dne 3.2.2021 byl</w:t>
      </w:r>
      <w:r w:rsidRPr="00CC2A1F">
        <w:rPr>
          <w:rStyle w:val="Hypertextovodkaz"/>
          <w:rFonts w:ascii="Tahoma" w:eastAsia="Times New Roman" w:hAnsi="Tahoma" w:cs="Tahoma"/>
          <w:bCs/>
          <w:color w:val="000000" w:themeColor="text1"/>
          <w:kern w:val="36"/>
          <w:sz w:val="20"/>
          <w:szCs w:val="24"/>
          <w:u w:val="none"/>
          <w:lang w:eastAsia="cs-CZ"/>
        </w:rPr>
        <w:t xml:space="preserve"> ve Sbírce zákonů publikována pod č. </w:t>
      </w:r>
      <w:r>
        <w:rPr>
          <w:rStyle w:val="Hypertextovodkaz"/>
          <w:rFonts w:ascii="Tahoma" w:eastAsia="Times New Roman" w:hAnsi="Tahoma" w:cs="Tahoma"/>
          <w:bCs/>
          <w:color w:val="000000" w:themeColor="text1"/>
          <w:kern w:val="36"/>
          <w:sz w:val="20"/>
          <w:szCs w:val="24"/>
          <w:u w:val="none"/>
          <w:lang w:eastAsia="cs-CZ"/>
        </w:rPr>
        <w:t>37/2021 Sb. zákon o evidenci skutečných majitelů.</w:t>
      </w:r>
    </w:p>
    <w:p w:rsidR="00CC2A1F" w:rsidRDefault="00CC2A1F"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C2A1F" w:rsidRDefault="008829CA"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Zákon zavádí fikci, že skutečného majitele </w:t>
      </w:r>
      <w:r>
        <w:rPr>
          <w:rStyle w:val="Hypertextovodkaz"/>
          <w:rFonts w:ascii="Tahoma" w:eastAsia="Times New Roman" w:hAnsi="Tahoma" w:cs="Tahoma"/>
          <w:b/>
          <w:bCs/>
          <w:color w:val="000000" w:themeColor="text1"/>
          <w:kern w:val="36"/>
          <w:sz w:val="20"/>
          <w:szCs w:val="24"/>
          <w:lang w:eastAsia="cs-CZ"/>
        </w:rPr>
        <w:t>nemá</w:t>
      </w:r>
      <w:r w:rsidRPr="008829CA">
        <w:rPr>
          <w:rStyle w:val="Hypertextovodkaz"/>
          <w:rFonts w:ascii="Tahoma" w:eastAsia="Times New Roman" w:hAnsi="Tahoma" w:cs="Tahoma"/>
          <w:bCs/>
          <w:color w:val="000000" w:themeColor="text1"/>
          <w:kern w:val="36"/>
          <w:sz w:val="20"/>
          <w:szCs w:val="24"/>
          <w:u w:val="none"/>
          <w:lang w:eastAsia="cs-CZ"/>
        </w:rPr>
        <w:t xml:space="preserve"> právnická osoba, ve které má přímo nebo nepřímo veškeré podíly na prospěchu a hlasovacích právech Česká republika, kraj nebo obec</w:t>
      </w:r>
      <w:r>
        <w:rPr>
          <w:rStyle w:val="Hypertextovodkaz"/>
          <w:rFonts w:ascii="Tahoma" w:eastAsia="Times New Roman" w:hAnsi="Tahoma" w:cs="Tahoma"/>
          <w:bCs/>
          <w:color w:val="000000" w:themeColor="text1"/>
          <w:kern w:val="36"/>
          <w:sz w:val="20"/>
          <w:szCs w:val="24"/>
          <w:u w:val="none"/>
          <w:lang w:eastAsia="cs-CZ"/>
        </w:rPr>
        <w:t>. ČEPRO tedy nově nebude muset jako skutečné majitele uvádět dle doposud platné fikce členy představenstva.</w:t>
      </w:r>
    </w:p>
    <w:p w:rsidR="007156E4" w:rsidRDefault="007156E4"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156E4" w:rsidRDefault="007156E4"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Pokud by společnost ČEPRO založila dceřinou společnost, pak se uplatní fikce, že skutečným majitelem této dceřiné společnosti bude každá osoba ve vrcholném vedení.</w:t>
      </w:r>
    </w:p>
    <w:p w:rsidR="008829CA" w:rsidRDefault="008829CA"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8829CA" w:rsidRDefault="008829CA"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Evidence skutečných majitelů se stane nově veřejně přístupnou. </w:t>
      </w:r>
    </w:p>
    <w:p w:rsidR="008829CA" w:rsidRDefault="008829CA"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105D2" w:rsidRDefault="007105D2"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03213A" w:rsidRDefault="0003213A"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03213A" w:rsidRDefault="0003213A"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03213A" w:rsidRDefault="0003213A"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03213A" w:rsidRDefault="0003213A"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7B5156" w:rsidRPr="007B5156" w:rsidRDefault="007B5156" w:rsidP="007B5156">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8829CA" w:rsidRPr="007B5156" w:rsidRDefault="008829CA" w:rsidP="007B5156">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514132" w:rsidRPr="00514132" w:rsidRDefault="00514132" w:rsidP="00514132">
      <w:pPr>
        <w:pStyle w:val="Bezmezer"/>
        <w:jc w:val="both"/>
        <w:rPr>
          <w:rStyle w:val="Hypertextovodkaz"/>
          <w:rFonts w:ascii="Tahoma" w:eastAsia="Times New Roman" w:hAnsi="Tahoma" w:cs="Tahoma"/>
          <w:bCs/>
          <w:i/>
          <w:color w:val="000000" w:themeColor="text1"/>
          <w:kern w:val="36"/>
          <w:sz w:val="20"/>
          <w:szCs w:val="20"/>
          <w:u w:val="none"/>
          <w:lang w:eastAsia="cs-CZ"/>
        </w:rPr>
      </w:pPr>
      <w:r w:rsidRPr="00514132">
        <w:rPr>
          <w:rStyle w:val="Hypertextovodkaz"/>
          <w:rFonts w:ascii="Tahoma" w:eastAsia="Times New Roman" w:hAnsi="Tahoma" w:cs="Tahoma"/>
          <w:bCs/>
          <w:i/>
          <w:color w:val="000000" w:themeColor="text1"/>
          <w:kern w:val="36"/>
          <w:sz w:val="20"/>
          <w:szCs w:val="20"/>
          <w:u w:val="none"/>
          <w:lang w:eastAsia="cs-CZ"/>
        </w:rPr>
        <w:t xml:space="preserve">Ve sledovaném období nebyly předloženy žádné výstupy ke sledované legislativě. </w:t>
      </w:r>
    </w:p>
    <w:p w:rsidR="006450B7"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829CA" w:rsidRDefault="008829CA"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Pr="00217FEC"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BA315A">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8A3723" w:rsidRDefault="008A3723" w:rsidP="008A3723">
      <w:pPr>
        <w:pStyle w:val="Bezmezer"/>
        <w:spacing w:line="360" w:lineRule="auto"/>
        <w:jc w:val="both"/>
        <w:rPr>
          <w:rFonts w:ascii="Tahoma" w:hAnsi="Tahoma" w:cs="Tahoma"/>
          <w:b/>
          <w:i/>
          <w:color w:val="000000" w:themeColor="text1"/>
          <w:sz w:val="18"/>
          <w:szCs w:val="18"/>
        </w:rPr>
      </w:pPr>
    </w:p>
    <w:p w:rsidR="009C449E" w:rsidRDefault="009C449E" w:rsidP="009C449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C449E">
        <w:rPr>
          <w:rStyle w:val="Hypertextovodkaz"/>
          <w:rFonts w:ascii="Tahoma" w:eastAsia="Times New Roman" w:hAnsi="Tahoma" w:cs="Tahoma"/>
          <w:b/>
          <w:bCs/>
          <w:color w:val="000000" w:themeColor="text1"/>
          <w:kern w:val="36"/>
          <w:sz w:val="24"/>
          <w:szCs w:val="24"/>
          <w:u w:val="none"/>
          <w:lang w:eastAsia="cs-CZ"/>
        </w:rPr>
        <w:t>Návrh zákona, kterým se mění zákon č. 634/1992 Sb., o ochraně spotřebitele, ve znění pozdějších předpisů, a zákon č. 89/2012 Sb., občanský zákoník, ve znění pozdějších předpisů</w:t>
      </w:r>
    </w:p>
    <w:p w:rsidR="008A3723" w:rsidRPr="009C449E" w:rsidRDefault="005C15E3" w:rsidP="009C449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6450B7" w:rsidRDefault="009C449E" w:rsidP="009C449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9C449E">
        <w:rPr>
          <w:rStyle w:val="Hypertextovodkaz"/>
          <w:rFonts w:ascii="Tahoma" w:eastAsia="Times New Roman" w:hAnsi="Tahoma" w:cs="Tahoma"/>
          <w:bCs/>
          <w:color w:val="000000" w:themeColor="text1"/>
          <w:kern w:val="36"/>
          <w:sz w:val="20"/>
          <w:szCs w:val="20"/>
          <w:u w:val="none"/>
          <w:lang w:eastAsia="cs-CZ"/>
        </w:rPr>
        <w:t>ALBSBXVE6S65</w:t>
      </w:r>
    </w:p>
    <w:p w:rsidR="009C449E" w:rsidRDefault="009C449E" w:rsidP="009C449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9C449E" w:rsidRDefault="009C449E" w:rsidP="009C449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8829CA"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7B5156">
        <w:rPr>
          <w:rStyle w:val="Hypertextovodkaz"/>
          <w:rFonts w:ascii="Tahoma" w:eastAsia="Times New Roman" w:hAnsi="Tahoma" w:cs="Tahoma"/>
          <w:bCs/>
          <w:color w:val="000000" w:themeColor="text1"/>
          <w:kern w:val="36"/>
          <w:sz w:val="20"/>
          <w:szCs w:val="20"/>
          <w:u w:val="none"/>
          <w:lang w:eastAsia="cs-CZ"/>
        </w:rPr>
        <w:t>Návrhem se provádí do právního řádu ČR směrnice z oblasti spotřebitelského práva. Konkrétně se jedná o směrnici Evropského parlamentu a Rady (EU) 2019/2161 ze dne 27. listopadu 2019, kterou se mění směrnice Rady 93/13/EHS a směrnice Evropského parlamentu a Rady 98/6/ES, 2005/29/ES a 2011/83/EU, pokud jde o lepší vymáhání a modernizaci právních předpisů Unie na ochranu spotřebitele.</w:t>
      </w:r>
    </w:p>
    <w:p w:rsidR="007B5156"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5156"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Zákon zakotvuje podmínky pro ochranu spotřebitele při nákupech digitálního obsahu a přes tzv. online tržiště. Dále nově v příloze č. 4 definuje zakázaná ujednání ve spotřebitelských smlouvách. </w:t>
      </w:r>
    </w:p>
    <w:p w:rsidR="007B5156"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5156" w:rsidRDefault="007B5156"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213A" w:rsidRDefault="0003213A" w:rsidP="007B515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C449E" w:rsidRDefault="009C449E" w:rsidP="009C449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5156" w:rsidRDefault="007B5156" w:rsidP="009C449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5156" w:rsidRDefault="007B5156" w:rsidP="009C449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7B5156" w:rsidRDefault="007B5156" w:rsidP="009C449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561A8" w:rsidRDefault="008561A8" w:rsidP="009C449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BA315A" w:rsidRDefault="00BA315A" w:rsidP="00BA315A">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t>Aktuální stanoviska a judikatura</w:t>
      </w:r>
    </w:p>
    <w:p w:rsidR="00BA315A" w:rsidRDefault="00BA315A" w:rsidP="00BA315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A315A" w:rsidRPr="00374BCE" w:rsidRDefault="00CC2A1F" w:rsidP="00CC2A1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C2A1F">
        <w:rPr>
          <w:rStyle w:val="Hypertextovodkaz"/>
          <w:rFonts w:ascii="Tahoma" w:eastAsia="Times New Roman" w:hAnsi="Tahoma" w:cs="Tahoma"/>
          <w:b/>
          <w:bCs/>
          <w:color w:val="000000" w:themeColor="text1"/>
          <w:kern w:val="36"/>
          <w:sz w:val="24"/>
          <w:szCs w:val="24"/>
          <w:u w:val="none"/>
          <w:lang w:eastAsia="cs-CZ"/>
        </w:rPr>
        <w:t>Bezprávná výhružka při ukončování pracovního poměru</w:t>
      </w:r>
      <w:r w:rsidR="005C15E3">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BA315A" w:rsidRPr="00374BCE" w:rsidRDefault="007B5156"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w:t>
      </w:r>
      <w:r w:rsidR="00020DD5">
        <w:rPr>
          <w:rStyle w:val="Hypertextovodkaz"/>
          <w:rFonts w:ascii="Tahoma" w:eastAsia="Times New Roman" w:hAnsi="Tahoma" w:cs="Tahoma"/>
          <w:bCs/>
          <w:color w:val="000000" w:themeColor="text1"/>
          <w:kern w:val="36"/>
          <w:sz w:val="20"/>
          <w:szCs w:val="20"/>
          <w:u w:val="none"/>
          <w:lang w:eastAsia="cs-CZ"/>
        </w:rPr>
        <w:t>p. zn.</w:t>
      </w:r>
      <w:r>
        <w:rPr>
          <w:rStyle w:val="Hypertextovodkaz"/>
          <w:rFonts w:ascii="Tahoma" w:eastAsia="Times New Roman" w:hAnsi="Tahoma" w:cs="Tahoma"/>
          <w:bCs/>
          <w:color w:val="000000" w:themeColor="text1"/>
          <w:kern w:val="36"/>
          <w:sz w:val="20"/>
          <w:szCs w:val="20"/>
          <w:u w:val="none"/>
          <w:lang w:eastAsia="cs-CZ"/>
        </w:rPr>
        <w:t xml:space="preserve"> 21 Cdo 2250/2018</w:t>
      </w:r>
      <w:r w:rsidR="00020DD5">
        <w:rPr>
          <w:rStyle w:val="Hypertextovodkaz"/>
          <w:rFonts w:ascii="Tahoma" w:eastAsia="Times New Roman" w:hAnsi="Tahoma" w:cs="Tahoma"/>
          <w:bCs/>
          <w:color w:val="000000" w:themeColor="text1"/>
          <w:kern w:val="36"/>
          <w:sz w:val="20"/>
          <w:szCs w:val="20"/>
          <w:u w:val="none"/>
          <w:lang w:eastAsia="cs-CZ"/>
        </w:rPr>
        <w:t xml:space="preserve"> </w:t>
      </w:r>
    </w:p>
    <w:p w:rsidR="00483D7E" w:rsidRDefault="00483D7E" w:rsidP="00483D7E">
      <w:pPr>
        <w:pStyle w:val="Bezmezer"/>
        <w:spacing w:line="276" w:lineRule="auto"/>
        <w:jc w:val="both"/>
        <w:rPr>
          <w:rFonts w:ascii="Tahoma" w:hAnsi="Tahoma" w:cs="Tahoma"/>
          <w:color w:val="000000" w:themeColor="text1"/>
          <w:sz w:val="18"/>
          <w:szCs w:val="18"/>
        </w:rPr>
      </w:pPr>
    </w:p>
    <w:p w:rsidR="00483D7E" w:rsidRPr="00483D7E" w:rsidRDefault="00483D7E" w:rsidP="00483D7E">
      <w:pPr>
        <w:pStyle w:val="Normlnweb"/>
        <w:shd w:val="clear" w:color="auto" w:fill="FFFFFF"/>
        <w:spacing w:before="0" w:beforeAutospacing="0" w:after="192" w:afterAutospacing="0" w:line="276" w:lineRule="auto"/>
        <w:jc w:val="both"/>
        <w:rPr>
          <w:rFonts w:ascii="Tahoma" w:eastAsiaTheme="minorHAnsi" w:hAnsi="Tahoma" w:cs="Tahoma"/>
          <w:color w:val="000000" w:themeColor="text1"/>
          <w:sz w:val="18"/>
          <w:szCs w:val="18"/>
          <w:lang w:eastAsia="en-US"/>
        </w:rPr>
      </w:pPr>
      <w:r w:rsidRPr="00483D7E">
        <w:rPr>
          <w:rFonts w:ascii="Tahoma" w:eastAsiaTheme="minorHAnsi" w:hAnsi="Tahoma" w:cs="Tahoma"/>
          <w:color w:val="000000" w:themeColor="text1"/>
          <w:sz w:val="18"/>
          <w:szCs w:val="18"/>
          <w:lang w:eastAsia="en-US"/>
        </w:rPr>
        <w:t xml:space="preserve">Nejvyšší soud konstatoval, že závěr o tom, zda vůle jednajícího účastníka pracovněprávního vztahu byla, či nebyla svobodná, je nutno posuzovat vždy s přihlédnutím k okolnostem jednotlivého případu a závisí v každém konkrétním případě na úvaze soudu. </w:t>
      </w:r>
    </w:p>
    <w:p w:rsidR="00483D7E" w:rsidRPr="00483D7E" w:rsidRDefault="00483D7E" w:rsidP="00483D7E">
      <w:pPr>
        <w:pStyle w:val="Normlnweb"/>
        <w:shd w:val="clear" w:color="auto" w:fill="FFFFFF"/>
        <w:spacing w:before="0" w:beforeAutospacing="0" w:after="192" w:afterAutospacing="0" w:line="276" w:lineRule="auto"/>
        <w:jc w:val="both"/>
        <w:rPr>
          <w:rFonts w:ascii="Tahoma" w:eastAsiaTheme="minorHAnsi" w:hAnsi="Tahoma" w:cs="Tahoma"/>
          <w:color w:val="000000" w:themeColor="text1"/>
          <w:sz w:val="18"/>
          <w:szCs w:val="18"/>
          <w:lang w:eastAsia="en-US"/>
        </w:rPr>
      </w:pPr>
      <w:r w:rsidRPr="00483D7E">
        <w:rPr>
          <w:rFonts w:ascii="Tahoma" w:eastAsiaTheme="minorHAnsi" w:hAnsi="Tahoma" w:cs="Tahoma"/>
          <w:color w:val="000000" w:themeColor="text1"/>
          <w:sz w:val="18"/>
          <w:szCs w:val="18"/>
          <w:lang w:eastAsia="en-US"/>
        </w:rPr>
        <w:t>Okolnosti, za kterých byla dohoda uzavřena, se nepochybně vymykaly běžným podmínkám, za nichž zaměstnanec se zaměstnavatelem obvykle uzavírá dohodu o rozvázání pracovního poměru, jestliže jednání o uzavření dohody mezi účastníky proběhlo nedlouho poté, kdy Policií České republiky bylo provedeno zadržení zaměstnance.</w:t>
      </w:r>
    </w:p>
    <w:p w:rsidR="00483D7E" w:rsidRPr="00483D7E" w:rsidRDefault="00483D7E" w:rsidP="00483D7E">
      <w:pPr>
        <w:pStyle w:val="Normlnweb"/>
        <w:shd w:val="clear" w:color="auto" w:fill="FFFFFF"/>
        <w:spacing w:before="0" w:beforeAutospacing="0" w:after="192" w:afterAutospacing="0" w:line="276" w:lineRule="auto"/>
        <w:jc w:val="both"/>
        <w:rPr>
          <w:rFonts w:ascii="Tahoma" w:eastAsiaTheme="minorHAnsi" w:hAnsi="Tahoma" w:cs="Tahoma"/>
          <w:color w:val="000000" w:themeColor="text1"/>
          <w:sz w:val="18"/>
          <w:szCs w:val="18"/>
          <w:lang w:eastAsia="en-US"/>
        </w:rPr>
      </w:pPr>
      <w:r w:rsidRPr="00483D7E">
        <w:rPr>
          <w:rFonts w:ascii="Tahoma" w:eastAsiaTheme="minorHAnsi" w:hAnsi="Tahoma" w:cs="Tahoma"/>
          <w:color w:val="000000" w:themeColor="text1"/>
          <w:sz w:val="18"/>
          <w:szCs w:val="18"/>
          <w:lang w:eastAsia="en-US"/>
        </w:rPr>
        <w:t>Není důvod pochybovat o tom, že uvedená situace (samotné nenadálé zadržení</w:t>
      </w:r>
      <w:r w:rsidR="006902F1">
        <w:rPr>
          <w:rFonts w:ascii="Tahoma" w:eastAsiaTheme="minorHAnsi" w:hAnsi="Tahoma" w:cs="Tahoma"/>
          <w:color w:val="000000" w:themeColor="text1"/>
          <w:sz w:val="18"/>
          <w:szCs w:val="18"/>
          <w:lang w:eastAsia="en-US"/>
        </w:rPr>
        <w:t xml:space="preserve"> ze strany PČR</w:t>
      </w:r>
      <w:r w:rsidRPr="00483D7E">
        <w:rPr>
          <w:rFonts w:ascii="Tahoma" w:eastAsiaTheme="minorHAnsi" w:hAnsi="Tahoma" w:cs="Tahoma"/>
          <w:color w:val="000000" w:themeColor="text1"/>
          <w:sz w:val="18"/>
          <w:szCs w:val="18"/>
          <w:lang w:eastAsia="en-US"/>
        </w:rPr>
        <w:t>, prohlídka jeho kanceláře, umístění do cely předběžného zadržení a úkony s tím spojené, jimž se zaměstnanec musel podrobit) způsobila, že se zaměstnanec nacházel pod silným psychickým tlakem, ve stavu psychického oslabení, nejistoty a celá vzniklá situace byla pro něj stresující.</w:t>
      </w:r>
    </w:p>
    <w:p w:rsidR="00483D7E" w:rsidRPr="00483D7E" w:rsidRDefault="00483D7E" w:rsidP="00483D7E">
      <w:pPr>
        <w:pStyle w:val="Normlnweb"/>
        <w:shd w:val="clear" w:color="auto" w:fill="FFFFFF"/>
        <w:spacing w:before="0" w:beforeAutospacing="0" w:after="192" w:afterAutospacing="0" w:line="276" w:lineRule="auto"/>
        <w:jc w:val="both"/>
        <w:rPr>
          <w:rFonts w:ascii="Tahoma" w:eastAsiaTheme="minorHAnsi" w:hAnsi="Tahoma" w:cs="Tahoma"/>
          <w:color w:val="000000" w:themeColor="text1"/>
          <w:sz w:val="18"/>
          <w:szCs w:val="18"/>
          <w:lang w:eastAsia="en-US"/>
        </w:rPr>
      </w:pPr>
      <w:r w:rsidRPr="00483D7E">
        <w:rPr>
          <w:rFonts w:ascii="Tahoma" w:eastAsiaTheme="minorHAnsi" w:hAnsi="Tahoma" w:cs="Tahoma"/>
          <w:color w:val="000000" w:themeColor="text1"/>
          <w:sz w:val="18"/>
          <w:szCs w:val="18"/>
          <w:lang w:eastAsia="en-US"/>
        </w:rPr>
        <w:t>Za těchto okolností nemohl zaměstnanec dostatečně odolávat nátlaku ze strany tajemníka, který ho poté, co ho seznámil s tím, že ví o tom, že se během pracovní doby věnoval sexuálním aktivitám, k podpisu dohody o rozvázání pracovního poměru zaměstnance přesvědčoval tím, že v případě, kdy dohodu podepíše, nebude o uvedených skutečnostech hovořit a nedozví se tak o nich ani přítelkyně zaměstnance. Uvedené skutečnosti, pokud by byly zveřejněny, jsou přitom takové povahy, že by bezpochyby negativně ovlivnily postavení zaměstnance v pracovním kolektivu, ale především též ohrozily jeho rodinný život a obava z jejich zveřejnění byla způsobilá u zaměstnance vzbudit důvodnou bázeň.</w:t>
      </w:r>
    </w:p>
    <w:p w:rsidR="00483D7E" w:rsidRPr="00483D7E" w:rsidRDefault="00483D7E" w:rsidP="00483D7E">
      <w:pPr>
        <w:pStyle w:val="Normlnweb"/>
        <w:shd w:val="clear" w:color="auto" w:fill="FFFFFF"/>
        <w:spacing w:before="0" w:beforeAutospacing="0" w:after="192" w:afterAutospacing="0" w:line="276" w:lineRule="auto"/>
        <w:jc w:val="both"/>
        <w:rPr>
          <w:rFonts w:ascii="Tahoma" w:eastAsiaTheme="minorHAnsi" w:hAnsi="Tahoma" w:cs="Tahoma"/>
          <w:color w:val="000000" w:themeColor="text1"/>
          <w:sz w:val="18"/>
          <w:szCs w:val="18"/>
          <w:lang w:eastAsia="en-US"/>
        </w:rPr>
      </w:pPr>
      <w:r w:rsidRPr="00483D7E">
        <w:rPr>
          <w:rFonts w:ascii="Tahoma" w:eastAsiaTheme="minorHAnsi" w:hAnsi="Tahoma" w:cs="Tahoma"/>
          <w:color w:val="000000" w:themeColor="text1"/>
          <w:sz w:val="18"/>
          <w:szCs w:val="18"/>
          <w:lang w:eastAsia="en-US"/>
        </w:rPr>
        <w:t>Jednalo se tedy o bezprávnou výhrůžku, neboť tajemník hrozil nepřípustným zásahem do osobnosti zaměstnance (do jeho práva na zachování jeho důstojnosti, vážnosti, cti a soukromí), tedy něčím, co nebyl oprávněn učinit. Ovšem se zaměstnavatelem lze souhlasit v tom, že opakované sledování pornografických stránek v pracovní době může představovat zvlášť hrubé porušení pracovních povinností zaměstnance, uvedeným jednáním.</w:t>
      </w:r>
    </w:p>
    <w:p w:rsidR="00CC2A1F" w:rsidRDefault="00CC2A1F">
      <w:pPr>
        <w:rPr>
          <w:rStyle w:val="Hypertextovodkaz"/>
          <w:rFonts w:ascii="Tahoma" w:hAnsi="Tahoma" w:cs="Tahoma"/>
          <w:b/>
          <w:color w:val="000000" w:themeColor="text1"/>
          <w:kern w:val="36"/>
          <w:sz w:val="24"/>
          <w:szCs w:val="24"/>
          <w:u w:val="none"/>
          <w:lang w:eastAsia="cs-CZ"/>
        </w:rPr>
      </w:pPr>
    </w:p>
    <w:p w:rsidR="00CC2A1F" w:rsidRPr="00374BCE" w:rsidRDefault="00CC2A1F" w:rsidP="00CC2A1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C2A1F">
        <w:rPr>
          <w:rStyle w:val="Hypertextovodkaz"/>
          <w:rFonts w:ascii="Tahoma" w:eastAsia="Times New Roman" w:hAnsi="Tahoma" w:cs="Tahoma"/>
          <w:b/>
          <w:bCs/>
          <w:color w:val="000000" w:themeColor="text1"/>
          <w:kern w:val="36"/>
          <w:sz w:val="24"/>
          <w:szCs w:val="24"/>
          <w:u w:val="none"/>
          <w:lang w:eastAsia="cs-CZ"/>
        </w:rPr>
        <w:t>Vymezení spornosti v dohodě o narovnání</w:t>
      </w:r>
      <w:r w:rsidR="005C15E3">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CC2A1F" w:rsidRPr="00374BCE" w:rsidRDefault="00483D7E" w:rsidP="00CC2A1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w:t>
      </w:r>
      <w:r w:rsidR="00CC2A1F">
        <w:rPr>
          <w:rStyle w:val="Hypertextovodkaz"/>
          <w:rFonts w:ascii="Tahoma" w:eastAsia="Times New Roman" w:hAnsi="Tahoma" w:cs="Tahoma"/>
          <w:bCs/>
          <w:color w:val="000000" w:themeColor="text1"/>
          <w:kern w:val="36"/>
          <w:sz w:val="20"/>
          <w:szCs w:val="20"/>
          <w:u w:val="none"/>
          <w:lang w:eastAsia="cs-CZ"/>
        </w:rPr>
        <w:t xml:space="preserve">p. zn. </w:t>
      </w:r>
      <w:r>
        <w:rPr>
          <w:rStyle w:val="Hypertextovodkaz"/>
          <w:rFonts w:ascii="Tahoma" w:eastAsia="Times New Roman" w:hAnsi="Tahoma" w:cs="Tahoma"/>
          <w:bCs/>
          <w:color w:val="000000" w:themeColor="text1"/>
          <w:kern w:val="36"/>
          <w:sz w:val="20"/>
          <w:szCs w:val="20"/>
          <w:u w:val="none"/>
          <w:lang w:eastAsia="cs-CZ"/>
        </w:rPr>
        <w:t>33 Cdo 1720/2019</w:t>
      </w:r>
    </w:p>
    <w:p w:rsidR="00483D7E" w:rsidRDefault="00483D7E" w:rsidP="00CC2A1F">
      <w:pPr>
        <w:pStyle w:val="Bezmezer"/>
        <w:spacing w:line="360" w:lineRule="auto"/>
        <w:jc w:val="both"/>
        <w:rPr>
          <w:rFonts w:ascii="Tahoma" w:hAnsi="Tahoma" w:cs="Tahoma"/>
          <w:color w:val="000000" w:themeColor="text1"/>
          <w:sz w:val="18"/>
          <w:szCs w:val="18"/>
        </w:rPr>
      </w:pPr>
    </w:p>
    <w:p w:rsidR="00CC2A1F" w:rsidRPr="00483D7E" w:rsidRDefault="00483D7E" w:rsidP="00CC2A1F">
      <w:pPr>
        <w:pStyle w:val="Bezmeze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Nejvyšší soud konstatoval, že vymezení spornosti či pochybnosti určitých práv a povinností </w:t>
      </w:r>
      <w:r>
        <w:rPr>
          <w:rFonts w:ascii="Tahoma" w:hAnsi="Tahoma" w:cs="Tahoma"/>
          <w:b/>
          <w:color w:val="000000" w:themeColor="text1"/>
          <w:sz w:val="18"/>
          <w:szCs w:val="18"/>
          <w:u w:val="single"/>
        </w:rPr>
        <w:t>není nezbytnou</w:t>
      </w:r>
      <w:r>
        <w:rPr>
          <w:rFonts w:ascii="Tahoma" w:hAnsi="Tahoma" w:cs="Tahoma"/>
          <w:b/>
          <w:color w:val="000000" w:themeColor="text1"/>
          <w:sz w:val="18"/>
          <w:szCs w:val="18"/>
        </w:rPr>
        <w:t xml:space="preserve"> </w:t>
      </w:r>
      <w:r>
        <w:rPr>
          <w:rFonts w:ascii="Tahoma" w:hAnsi="Tahoma" w:cs="Tahoma"/>
          <w:color w:val="000000" w:themeColor="text1"/>
          <w:sz w:val="18"/>
          <w:szCs w:val="18"/>
        </w:rPr>
        <w:t>náležitostí dohody o narovnání. Absence takového vymezení spornosti sama o sobě nezakládá neurčitost či neplatnost dohody o narovnání. Spornost nebo pochybnost práv a povinností jsou kategoriemi subjektivními; podstatné je proto, zda se práva a povinnosti jevily jako sporné stranám závazku. Skutečnost, že se takto nejeví třetí osobě či soudu, je bez právního významu.</w:t>
      </w:r>
    </w:p>
    <w:p w:rsidR="00CC2A1F" w:rsidRPr="00374BCE" w:rsidRDefault="00CC2A1F" w:rsidP="00CC2A1F">
      <w:pPr>
        <w:pStyle w:val="Bezmezer"/>
        <w:spacing w:line="360" w:lineRule="auto"/>
        <w:jc w:val="both"/>
        <w:rPr>
          <w:rFonts w:ascii="Tahoma" w:hAnsi="Tahoma" w:cs="Tahoma"/>
          <w:color w:val="000000" w:themeColor="text1"/>
          <w:sz w:val="18"/>
          <w:szCs w:val="18"/>
        </w:rPr>
      </w:pPr>
    </w:p>
    <w:sectPr w:rsidR="00CC2A1F" w:rsidRPr="00374BCE"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5E3" w:rsidRDefault="005C15E3" w:rsidP="004F17ED">
      <w:pPr>
        <w:spacing w:after="0" w:line="240" w:lineRule="auto"/>
      </w:pPr>
      <w:r>
        <w:separator/>
      </w:r>
    </w:p>
  </w:endnote>
  <w:endnote w:type="continuationSeparator" w:id="0">
    <w:p w:rsidR="005C15E3" w:rsidRDefault="005C15E3"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7413AD">
              <w:rPr>
                <w:rFonts w:ascii="Tahoma" w:hAnsi="Tahoma" w:cs="Tahoma"/>
                <w:b/>
                <w:bCs/>
                <w:noProof/>
                <w:sz w:val="16"/>
                <w:szCs w:val="16"/>
              </w:rPr>
              <w:t>4</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7413AD">
              <w:rPr>
                <w:rFonts w:ascii="Tahoma" w:hAnsi="Tahoma" w:cs="Tahoma"/>
                <w:b/>
                <w:bCs/>
                <w:noProof/>
                <w:sz w:val="16"/>
                <w:szCs w:val="16"/>
              </w:rPr>
              <w:t>4</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5E3" w:rsidRDefault="005C15E3" w:rsidP="004F17ED">
      <w:pPr>
        <w:spacing w:after="0" w:line="240" w:lineRule="auto"/>
      </w:pPr>
      <w:r>
        <w:separator/>
      </w:r>
    </w:p>
  </w:footnote>
  <w:footnote w:type="continuationSeparator" w:id="0">
    <w:p w:rsidR="005C15E3" w:rsidRDefault="005C15E3"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1A3D5227"/>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1">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03C2180"/>
    <w:multiLevelType w:val="hybridMultilevel"/>
    <w:tmpl w:val="E7507280"/>
    <w:lvl w:ilvl="0" w:tplc="1C4E1C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E25ADF"/>
    <w:multiLevelType w:val="hybridMultilevel"/>
    <w:tmpl w:val="D5C2F4DA"/>
    <w:lvl w:ilvl="0" w:tplc="2DCAE3E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2">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4">
    <w:nsid w:val="56640868"/>
    <w:multiLevelType w:val="hybridMultilevel"/>
    <w:tmpl w:val="7E68D6AE"/>
    <w:lvl w:ilvl="0" w:tplc="E196C5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078386B"/>
    <w:multiLevelType w:val="hybridMultilevel"/>
    <w:tmpl w:val="25CA0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0"/>
  </w:num>
  <w:num w:numId="3">
    <w:abstractNumId w:val="23"/>
  </w:num>
  <w:num w:numId="4">
    <w:abstractNumId w:val="12"/>
  </w:num>
  <w:num w:numId="5">
    <w:abstractNumId w:val="11"/>
  </w:num>
  <w:num w:numId="6">
    <w:abstractNumId w:val="17"/>
  </w:num>
  <w:num w:numId="7">
    <w:abstractNumId w:val="40"/>
  </w:num>
  <w:num w:numId="8">
    <w:abstractNumId w:val="16"/>
  </w:num>
  <w:num w:numId="9">
    <w:abstractNumId w:val="42"/>
  </w:num>
  <w:num w:numId="10">
    <w:abstractNumId w:val="35"/>
  </w:num>
  <w:num w:numId="11">
    <w:abstractNumId w:val="38"/>
  </w:num>
  <w:num w:numId="12">
    <w:abstractNumId w:val="3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21"/>
  </w:num>
  <w:num w:numId="25">
    <w:abstractNumId w:val="20"/>
  </w:num>
  <w:num w:numId="26">
    <w:abstractNumId w:val="41"/>
  </w:num>
  <w:num w:numId="27">
    <w:abstractNumId w:val="26"/>
  </w:num>
  <w:num w:numId="28">
    <w:abstractNumId w:val="13"/>
  </w:num>
  <w:num w:numId="29">
    <w:abstractNumId w:val="15"/>
  </w:num>
  <w:num w:numId="30">
    <w:abstractNumId w:val="24"/>
  </w:num>
  <w:num w:numId="31">
    <w:abstractNumId w:val="14"/>
  </w:num>
  <w:num w:numId="32">
    <w:abstractNumId w:val="29"/>
  </w:num>
  <w:num w:numId="33">
    <w:abstractNumId w:val="10"/>
  </w:num>
  <w:num w:numId="34">
    <w:abstractNumId w:val="33"/>
  </w:num>
  <w:num w:numId="35">
    <w:abstractNumId w:val="39"/>
  </w:num>
  <w:num w:numId="36">
    <w:abstractNumId w:val="32"/>
  </w:num>
  <w:num w:numId="37">
    <w:abstractNumId w:val="25"/>
  </w:num>
  <w:num w:numId="38">
    <w:abstractNumId w:val="36"/>
  </w:num>
  <w:num w:numId="39">
    <w:abstractNumId w:val="28"/>
  </w:num>
  <w:num w:numId="40">
    <w:abstractNumId w:val="34"/>
  </w:num>
  <w:num w:numId="41">
    <w:abstractNumId w:val="27"/>
  </w:num>
  <w:num w:numId="42">
    <w:abstractNumId w:val="18"/>
  </w:num>
  <w:num w:numId="4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213A"/>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1B6E"/>
    <w:rsid w:val="00156C6C"/>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4111"/>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1DE2"/>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10DD6"/>
    <w:rsid w:val="00311B5F"/>
    <w:rsid w:val="00311C47"/>
    <w:rsid w:val="00312C05"/>
    <w:rsid w:val="003131F8"/>
    <w:rsid w:val="00313573"/>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70ABB"/>
    <w:rsid w:val="00371022"/>
    <w:rsid w:val="0037265F"/>
    <w:rsid w:val="00372802"/>
    <w:rsid w:val="00372FB7"/>
    <w:rsid w:val="00374BCE"/>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2CD7"/>
    <w:rsid w:val="00423FDD"/>
    <w:rsid w:val="00424128"/>
    <w:rsid w:val="004242DB"/>
    <w:rsid w:val="00426698"/>
    <w:rsid w:val="00427709"/>
    <w:rsid w:val="00427F2F"/>
    <w:rsid w:val="00434454"/>
    <w:rsid w:val="004353BF"/>
    <w:rsid w:val="00440048"/>
    <w:rsid w:val="0044093C"/>
    <w:rsid w:val="004450E2"/>
    <w:rsid w:val="0044547E"/>
    <w:rsid w:val="00447E10"/>
    <w:rsid w:val="004515D2"/>
    <w:rsid w:val="004536BC"/>
    <w:rsid w:val="00454762"/>
    <w:rsid w:val="004549DE"/>
    <w:rsid w:val="004559EA"/>
    <w:rsid w:val="0046059F"/>
    <w:rsid w:val="0046265B"/>
    <w:rsid w:val="00465991"/>
    <w:rsid w:val="0046696E"/>
    <w:rsid w:val="00466E48"/>
    <w:rsid w:val="0047044D"/>
    <w:rsid w:val="00471191"/>
    <w:rsid w:val="00471384"/>
    <w:rsid w:val="004766A0"/>
    <w:rsid w:val="0048152A"/>
    <w:rsid w:val="004826DF"/>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4132"/>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37BA2"/>
    <w:rsid w:val="00540EA0"/>
    <w:rsid w:val="00542B36"/>
    <w:rsid w:val="00543D4A"/>
    <w:rsid w:val="00544C49"/>
    <w:rsid w:val="005452CF"/>
    <w:rsid w:val="005569B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B1C5E"/>
    <w:rsid w:val="005B3219"/>
    <w:rsid w:val="005B7211"/>
    <w:rsid w:val="005C15E3"/>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E1E"/>
    <w:rsid w:val="006D437B"/>
    <w:rsid w:val="006D468C"/>
    <w:rsid w:val="006D487E"/>
    <w:rsid w:val="006D5353"/>
    <w:rsid w:val="006E09B3"/>
    <w:rsid w:val="006E28CD"/>
    <w:rsid w:val="006E4B7E"/>
    <w:rsid w:val="006E57D1"/>
    <w:rsid w:val="006F2E08"/>
    <w:rsid w:val="006F443D"/>
    <w:rsid w:val="0070119D"/>
    <w:rsid w:val="00701B95"/>
    <w:rsid w:val="00703EE5"/>
    <w:rsid w:val="007060DB"/>
    <w:rsid w:val="00706A9F"/>
    <w:rsid w:val="00707206"/>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42F4"/>
    <w:rsid w:val="007400F7"/>
    <w:rsid w:val="007413AD"/>
    <w:rsid w:val="007413F0"/>
    <w:rsid w:val="00741601"/>
    <w:rsid w:val="00745373"/>
    <w:rsid w:val="007503D0"/>
    <w:rsid w:val="00751E42"/>
    <w:rsid w:val="00760367"/>
    <w:rsid w:val="00760E95"/>
    <w:rsid w:val="00761984"/>
    <w:rsid w:val="00761C7D"/>
    <w:rsid w:val="0076277F"/>
    <w:rsid w:val="00765FD7"/>
    <w:rsid w:val="00767E86"/>
    <w:rsid w:val="0077167C"/>
    <w:rsid w:val="00772162"/>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5156"/>
    <w:rsid w:val="007B7559"/>
    <w:rsid w:val="007C0CD0"/>
    <w:rsid w:val="007C0E18"/>
    <w:rsid w:val="007C2983"/>
    <w:rsid w:val="007C30AF"/>
    <w:rsid w:val="007C3635"/>
    <w:rsid w:val="007C36DB"/>
    <w:rsid w:val="007C3A4B"/>
    <w:rsid w:val="007C4043"/>
    <w:rsid w:val="007C51BB"/>
    <w:rsid w:val="007C520E"/>
    <w:rsid w:val="007D72DA"/>
    <w:rsid w:val="007E053D"/>
    <w:rsid w:val="007E317C"/>
    <w:rsid w:val="007E5097"/>
    <w:rsid w:val="007E6A31"/>
    <w:rsid w:val="007E7045"/>
    <w:rsid w:val="007F0254"/>
    <w:rsid w:val="007F04D7"/>
    <w:rsid w:val="007F09E2"/>
    <w:rsid w:val="007F154B"/>
    <w:rsid w:val="007F1D75"/>
    <w:rsid w:val="007F3540"/>
    <w:rsid w:val="0080163B"/>
    <w:rsid w:val="00801E54"/>
    <w:rsid w:val="008020EA"/>
    <w:rsid w:val="008048CD"/>
    <w:rsid w:val="0080530B"/>
    <w:rsid w:val="008105BA"/>
    <w:rsid w:val="00811B3E"/>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1A8"/>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29CA"/>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711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3423"/>
    <w:rsid w:val="00944403"/>
    <w:rsid w:val="00950F60"/>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449E"/>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61873"/>
    <w:rsid w:val="00B61D44"/>
    <w:rsid w:val="00B62A83"/>
    <w:rsid w:val="00B636CE"/>
    <w:rsid w:val="00B64DE1"/>
    <w:rsid w:val="00B6540A"/>
    <w:rsid w:val="00B671E0"/>
    <w:rsid w:val="00B72496"/>
    <w:rsid w:val="00B74BB6"/>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6F5"/>
    <w:rsid w:val="00CE413C"/>
    <w:rsid w:val="00CE4377"/>
    <w:rsid w:val="00CE483A"/>
    <w:rsid w:val="00CE724B"/>
    <w:rsid w:val="00CE7FBD"/>
    <w:rsid w:val="00CF014B"/>
    <w:rsid w:val="00CF2948"/>
    <w:rsid w:val="00CF3793"/>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5C81"/>
    <w:rsid w:val="00E2287C"/>
    <w:rsid w:val="00E23EF9"/>
    <w:rsid w:val="00E24E8A"/>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0EFC"/>
    <w:rsid w:val="00F01D94"/>
    <w:rsid w:val="00F02B7C"/>
    <w:rsid w:val="00F03500"/>
    <w:rsid w:val="00F03A9F"/>
    <w:rsid w:val="00F059ED"/>
    <w:rsid w:val="00F06517"/>
    <w:rsid w:val="00F104A5"/>
    <w:rsid w:val="00F11B43"/>
    <w:rsid w:val="00F12A4C"/>
    <w:rsid w:val="00F12C83"/>
    <w:rsid w:val="00F166AB"/>
    <w:rsid w:val="00F17069"/>
    <w:rsid w:val="00F2046E"/>
    <w:rsid w:val="00F209B6"/>
    <w:rsid w:val="00F230F8"/>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99AE-194F-49DB-A6A7-34011C73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856</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Matochová Michala</cp:lastModifiedBy>
  <cp:revision>13</cp:revision>
  <cp:lastPrinted>2021-02-18T15:48:00Z</cp:lastPrinted>
  <dcterms:created xsi:type="dcterms:W3CDTF">2020-10-30T13:20:00Z</dcterms:created>
  <dcterms:modified xsi:type="dcterms:W3CDTF">2021-03-01T10:13:00Z</dcterms:modified>
</cp:coreProperties>
</file>