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3038F">
      <w:pPr>
        <w:tabs>
          <w:tab w:val="center" w:pos="4536"/>
        </w:tabs>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7950DB0B" wp14:editId="2DF03640">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Pr>
          <w:rFonts w:ascii="Tahoma" w:hAnsi="Tahoma" w:cs="Tahoma"/>
          <w:color w:val="000000" w:themeColor="text1"/>
          <w:sz w:val="20"/>
          <w:szCs w:val="20"/>
        </w:rPr>
        <w:tab/>
      </w:r>
    </w:p>
    <w:p w:rsidR="00661CF8" w:rsidRPr="00DB40CC" w:rsidRDefault="00661CF8" w:rsidP="00661CF8">
      <w:pPr>
        <w:rPr>
          <w:rFonts w:ascii="Tahoma" w:hAnsi="Tahoma" w:cs="Tahoma"/>
          <w:color w:val="000000" w:themeColor="text1"/>
          <w:sz w:val="20"/>
          <w:szCs w:val="20"/>
        </w:rPr>
      </w:pPr>
    </w:p>
    <w:p w:rsidR="00BC309F" w:rsidRDefault="00BC309F"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Default="00514132"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PROSINEC</w:t>
      </w:r>
      <w:r w:rsidR="001903C1">
        <w:rPr>
          <w:rFonts w:ascii="Tahoma" w:hAnsi="Tahoma" w:cs="Tahoma"/>
          <w:b/>
          <w:color w:val="000000" w:themeColor="text1"/>
          <w:sz w:val="32"/>
          <w:szCs w:val="20"/>
        </w:rPr>
        <w:t xml:space="preserve"> </w:t>
      </w:r>
      <w:r w:rsidR="00144CDD">
        <w:rPr>
          <w:rFonts w:ascii="Tahoma" w:hAnsi="Tahoma" w:cs="Tahoma"/>
          <w:b/>
          <w:color w:val="000000" w:themeColor="text1"/>
          <w:sz w:val="32"/>
          <w:szCs w:val="20"/>
        </w:rPr>
        <w:t>2020</w:t>
      </w:r>
    </w:p>
    <w:p w:rsidR="00BC309F" w:rsidRPr="00A31A51" w:rsidRDefault="00BC309F" w:rsidP="009B2451">
      <w:pPr>
        <w:pStyle w:val="Bezmezer"/>
        <w:spacing w:line="360" w:lineRule="auto"/>
        <w:jc w:val="center"/>
        <w:rPr>
          <w:rFonts w:ascii="Tahoma" w:hAnsi="Tahoma" w:cs="Tahoma"/>
          <w:b/>
          <w:color w:val="000000" w:themeColor="text1"/>
          <w:sz w:val="18"/>
          <w:szCs w:val="18"/>
        </w:rPr>
      </w:pPr>
    </w:p>
    <w:p w:rsidR="00661CF8" w:rsidRPr="00A31A51" w:rsidRDefault="00661CF8" w:rsidP="001311AC">
      <w:pPr>
        <w:pStyle w:val="Bezmezer"/>
        <w:spacing w:line="360" w:lineRule="auto"/>
        <w:jc w:val="both"/>
        <w:rPr>
          <w:rFonts w:ascii="Tahoma" w:hAnsi="Tahoma" w:cs="Tahoma"/>
          <w:b/>
          <w:color w:val="000000" w:themeColor="text1"/>
          <w:sz w:val="18"/>
          <w:szCs w:val="18"/>
        </w:rPr>
      </w:pPr>
      <w:r w:rsidRPr="00A31A51">
        <w:rPr>
          <w:rFonts w:ascii="Tahoma" w:hAnsi="Tahoma" w:cs="Tahoma"/>
          <w:b/>
          <w:color w:val="000000" w:themeColor="text1"/>
          <w:sz w:val="18"/>
          <w:szCs w:val="18"/>
        </w:rPr>
        <w:t xml:space="preserve">I. Platné právní předpisy vyhlášené ve Sbírce zákonů </w:t>
      </w:r>
    </w:p>
    <w:p w:rsidR="00FD66FD" w:rsidRDefault="00D014C8" w:rsidP="00D014C8">
      <w:pPr>
        <w:pStyle w:val="Bezmezer"/>
        <w:numPr>
          <w:ilvl w:val="0"/>
          <w:numId w:val="2"/>
        </w:numPr>
        <w:spacing w:line="360" w:lineRule="auto"/>
        <w:jc w:val="both"/>
        <w:rPr>
          <w:rFonts w:ascii="Tahoma" w:hAnsi="Tahoma" w:cs="Tahoma"/>
          <w:color w:val="000000" w:themeColor="text1"/>
          <w:sz w:val="18"/>
          <w:szCs w:val="18"/>
        </w:rPr>
      </w:pPr>
      <w:r w:rsidRPr="00D014C8">
        <w:rPr>
          <w:rFonts w:ascii="Tahoma" w:hAnsi="Tahoma" w:cs="Tahoma"/>
          <w:color w:val="000000" w:themeColor="text1"/>
          <w:sz w:val="18"/>
          <w:szCs w:val="18"/>
        </w:rPr>
        <w:t xml:space="preserve">Nařízení vlády č. 492/2020 Sb., kterým se mění nařízení vlády č. 189/2018 Sb., o kritériích udržitelnosti biopaliv a snižování emisí skleníkových plynů z pohonných hmot  </w:t>
      </w:r>
    </w:p>
    <w:p w:rsidR="0077167C" w:rsidRDefault="0077167C" w:rsidP="0077167C">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Vyhláška č. 525/2020 Sb., </w:t>
      </w:r>
      <w:r w:rsidRPr="0077167C">
        <w:rPr>
          <w:rFonts w:ascii="Tahoma" w:hAnsi="Tahoma" w:cs="Tahoma"/>
          <w:color w:val="000000" w:themeColor="text1"/>
          <w:sz w:val="18"/>
          <w:szCs w:val="18"/>
        </w:rPr>
        <w:t xml:space="preserve">o formulářových podáních pro daně z příjmů  </w:t>
      </w:r>
    </w:p>
    <w:p w:rsidR="00434454" w:rsidRDefault="00434454" w:rsidP="00434454">
      <w:pPr>
        <w:pStyle w:val="Bezmezer"/>
        <w:numPr>
          <w:ilvl w:val="0"/>
          <w:numId w:val="2"/>
        </w:numPr>
        <w:spacing w:line="360" w:lineRule="auto"/>
        <w:jc w:val="both"/>
        <w:rPr>
          <w:rFonts w:ascii="Tahoma" w:hAnsi="Tahoma" w:cs="Tahoma"/>
          <w:color w:val="000000" w:themeColor="text1"/>
          <w:sz w:val="18"/>
          <w:szCs w:val="18"/>
        </w:rPr>
      </w:pPr>
      <w:r w:rsidRPr="00434454">
        <w:rPr>
          <w:rFonts w:ascii="Tahoma" w:hAnsi="Tahoma" w:cs="Tahoma"/>
          <w:color w:val="000000" w:themeColor="text1"/>
          <w:sz w:val="18"/>
          <w:szCs w:val="18"/>
        </w:rPr>
        <w:t xml:space="preserve">Vyhláška </w:t>
      </w:r>
      <w:r>
        <w:rPr>
          <w:rFonts w:ascii="Tahoma" w:hAnsi="Tahoma" w:cs="Tahoma"/>
          <w:color w:val="000000" w:themeColor="text1"/>
          <w:sz w:val="18"/>
          <w:szCs w:val="18"/>
        </w:rPr>
        <w:t xml:space="preserve">č. 516/2020 Sb., </w:t>
      </w:r>
      <w:r w:rsidRPr="00434454">
        <w:rPr>
          <w:rFonts w:ascii="Tahoma" w:hAnsi="Tahoma" w:cs="Tahoma"/>
          <w:color w:val="000000" w:themeColor="text1"/>
          <w:sz w:val="18"/>
          <w:szCs w:val="18"/>
        </w:rPr>
        <w:t xml:space="preserve">o požadavcích na pohonné hmoty a provedení některých dalších ustanovení zákona o pohonných hmotách  </w:t>
      </w:r>
    </w:p>
    <w:p w:rsidR="006B1E00" w:rsidRDefault="006B1E00" w:rsidP="006B1E00">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Zákon č. 544/2020 Sb., </w:t>
      </w:r>
      <w:r w:rsidRPr="006B1E00">
        <w:rPr>
          <w:rFonts w:ascii="Tahoma" w:hAnsi="Tahoma" w:cs="Tahoma"/>
          <w:color w:val="000000" w:themeColor="text1"/>
          <w:sz w:val="18"/>
          <w:szCs w:val="18"/>
        </w:rPr>
        <w:t>kterým se mění zákon č. 254/2001 Sb., o vodách a o změně některých zákonů (vodní zákon), ve znění pozdějších předpisů, a další související zákony</w:t>
      </w:r>
    </w:p>
    <w:p w:rsidR="006B1E00" w:rsidRDefault="00035275" w:rsidP="00035275">
      <w:pPr>
        <w:pStyle w:val="Bezmezer"/>
        <w:numPr>
          <w:ilvl w:val="0"/>
          <w:numId w:val="2"/>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 xml:space="preserve">Zákon č. 609/2020 Sb., </w:t>
      </w:r>
      <w:r w:rsidRPr="00035275">
        <w:rPr>
          <w:rFonts w:ascii="Tahoma" w:hAnsi="Tahoma" w:cs="Tahoma"/>
          <w:color w:val="000000" w:themeColor="text1"/>
          <w:sz w:val="18"/>
          <w:szCs w:val="18"/>
        </w:rPr>
        <w:t xml:space="preserve">kterým se mění některé zákony v oblasti daní a některé další zákony  </w:t>
      </w:r>
    </w:p>
    <w:p w:rsidR="00151B6E" w:rsidRDefault="004E29F2" w:rsidP="004E29F2">
      <w:pPr>
        <w:pStyle w:val="Bezmezer"/>
        <w:numPr>
          <w:ilvl w:val="0"/>
          <w:numId w:val="2"/>
        </w:numPr>
        <w:spacing w:line="360" w:lineRule="auto"/>
        <w:jc w:val="both"/>
        <w:rPr>
          <w:rFonts w:ascii="Tahoma" w:hAnsi="Tahoma" w:cs="Tahoma"/>
          <w:color w:val="000000" w:themeColor="text1"/>
          <w:sz w:val="18"/>
          <w:szCs w:val="18"/>
        </w:rPr>
      </w:pPr>
      <w:r w:rsidRPr="004E29F2">
        <w:rPr>
          <w:rFonts w:ascii="Tahoma" w:hAnsi="Tahoma" w:cs="Tahoma"/>
          <w:color w:val="000000" w:themeColor="text1"/>
          <w:sz w:val="18"/>
          <w:szCs w:val="18"/>
        </w:rPr>
        <w:t xml:space="preserve">Vyhláška </w:t>
      </w:r>
      <w:r>
        <w:rPr>
          <w:rFonts w:ascii="Tahoma" w:hAnsi="Tahoma" w:cs="Tahoma"/>
          <w:color w:val="000000" w:themeColor="text1"/>
          <w:sz w:val="18"/>
          <w:szCs w:val="18"/>
        </w:rPr>
        <w:t xml:space="preserve">č. 589/2020 Sb., </w:t>
      </w:r>
      <w:r w:rsidRPr="004E29F2">
        <w:rPr>
          <w:rFonts w:ascii="Tahoma" w:hAnsi="Tahoma" w:cs="Tahoma"/>
          <w:color w:val="000000" w:themeColor="text1"/>
          <w:sz w:val="18"/>
          <w:szCs w:val="18"/>
        </w:rPr>
        <w:t>o změně sazby základní náhrady za používání silničních motorových vozidel a stravného a o stanovení průměrné ceny pohonných hmot pro účely poskytování cestovních náhrad</w:t>
      </w:r>
    </w:p>
    <w:p w:rsidR="00035275" w:rsidRDefault="00151B6E" w:rsidP="00151B6E">
      <w:pPr>
        <w:pStyle w:val="Bezmezer"/>
        <w:numPr>
          <w:ilvl w:val="0"/>
          <w:numId w:val="2"/>
        </w:numPr>
        <w:spacing w:line="360" w:lineRule="auto"/>
        <w:jc w:val="both"/>
        <w:rPr>
          <w:rFonts w:ascii="Tahoma" w:hAnsi="Tahoma" w:cs="Tahoma"/>
          <w:color w:val="000000" w:themeColor="text1"/>
          <w:sz w:val="18"/>
          <w:szCs w:val="18"/>
        </w:rPr>
      </w:pPr>
      <w:r w:rsidRPr="00151B6E">
        <w:rPr>
          <w:rFonts w:ascii="Tahoma" w:hAnsi="Tahoma" w:cs="Tahoma"/>
          <w:color w:val="000000" w:themeColor="text1"/>
          <w:sz w:val="18"/>
          <w:szCs w:val="18"/>
        </w:rPr>
        <w:t>Zákon</w:t>
      </w:r>
      <w:r>
        <w:rPr>
          <w:rFonts w:ascii="Tahoma" w:hAnsi="Tahoma" w:cs="Tahoma"/>
          <w:color w:val="000000" w:themeColor="text1"/>
          <w:sz w:val="18"/>
          <w:szCs w:val="18"/>
        </w:rPr>
        <w:t xml:space="preserve"> č. 543/2020 Sb.</w:t>
      </w:r>
      <w:r w:rsidRPr="00151B6E">
        <w:rPr>
          <w:rFonts w:ascii="Tahoma" w:hAnsi="Tahoma" w:cs="Tahoma"/>
          <w:color w:val="000000" w:themeColor="text1"/>
          <w:sz w:val="18"/>
          <w:szCs w:val="18"/>
        </w:rPr>
        <w:t>, kterým se mění některé zákony v souvislosti s přijetím zákona o odpadech a zákona o výrobcích s ukončenou životností</w:t>
      </w:r>
    </w:p>
    <w:p w:rsidR="004E29F2" w:rsidRDefault="004E29F2" w:rsidP="008D5292">
      <w:pPr>
        <w:pStyle w:val="Bezmezer"/>
        <w:spacing w:line="360" w:lineRule="auto"/>
        <w:ind w:left="708"/>
        <w:jc w:val="both"/>
        <w:rPr>
          <w:rFonts w:ascii="Tahoma" w:hAnsi="Tahoma" w:cs="Tahoma"/>
          <w:b/>
          <w:i/>
          <w:color w:val="000000" w:themeColor="text1"/>
          <w:sz w:val="18"/>
          <w:szCs w:val="18"/>
        </w:rPr>
      </w:pPr>
    </w:p>
    <w:p w:rsidR="008D5292" w:rsidRPr="002C4C4F" w:rsidRDefault="002C4C4F" w:rsidP="008D5292">
      <w:pPr>
        <w:pStyle w:val="Bezmezer"/>
        <w:spacing w:line="360" w:lineRule="auto"/>
        <w:ind w:left="708"/>
        <w:jc w:val="both"/>
        <w:rPr>
          <w:rFonts w:ascii="Tahoma" w:hAnsi="Tahoma" w:cs="Tahoma"/>
          <w:b/>
          <w:i/>
          <w:color w:val="000000" w:themeColor="text1"/>
          <w:sz w:val="18"/>
          <w:szCs w:val="18"/>
        </w:rPr>
      </w:pPr>
      <w:r w:rsidRPr="002C4C4F">
        <w:rPr>
          <w:rFonts w:ascii="Tahoma" w:hAnsi="Tahoma" w:cs="Tahoma"/>
          <w:b/>
          <w:i/>
          <w:color w:val="000000" w:themeColor="text1"/>
          <w:sz w:val="18"/>
          <w:szCs w:val="18"/>
        </w:rPr>
        <w:t>Legislativní opatření vydávaná v souvislosti s pandemií COVID-19 jsou evidována v přiložené sestavě.</w:t>
      </w:r>
    </w:p>
    <w:p w:rsidR="00F23F63" w:rsidRPr="00A31A51" w:rsidRDefault="00F23F63" w:rsidP="00F23F63">
      <w:pPr>
        <w:pStyle w:val="Bezmezer"/>
        <w:spacing w:line="360" w:lineRule="auto"/>
        <w:ind w:left="1070"/>
        <w:jc w:val="both"/>
        <w:rPr>
          <w:rFonts w:ascii="Tahoma" w:hAnsi="Tahoma" w:cs="Tahoma"/>
          <w:color w:val="000000" w:themeColor="text1"/>
          <w:sz w:val="18"/>
          <w:szCs w:val="18"/>
        </w:rPr>
      </w:pPr>
    </w:p>
    <w:p w:rsidR="00661CF8" w:rsidRPr="005E6591" w:rsidRDefault="00661CF8" w:rsidP="001311AC">
      <w:pPr>
        <w:pStyle w:val="Bezmeze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II. Připravovaná legislativa</w:t>
      </w:r>
    </w:p>
    <w:p w:rsidR="000B6E81" w:rsidRPr="005E6591" w:rsidRDefault="000B6E81" w:rsidP="005906EB">
      <w:pPr>
        <w:pStyle w:val="Bezmezer"/>
        <w:numPr>
          <w:ilvl w:val="0"/>
          <w:numId w:val="27"/>
        </w:numPr>
        <w:spacing w:line="360" w:lineRule="auto"/>
        <w:jc w:val="both"/>
        <w:rPr>
          <w:rFonts w:ascii="Tahoma" w:hAnsi="Tahoma" w:cs="Tahoma"/>
          <w:b/>
          <w:color w:val="000000" w:themeColor="text1"/>
          <w:sz w:val="18"/>
          <w:szCs w:val="18"/>
        </w:rPr>
      </w:pPr>
      <w:r w:rsidRPr="005E6591">
        <w:rPr>
          <w:rFonts w:ascii="Tahoma" w:hAnsi="Tahoma" w:cs="Tahoma"/>
          <w:b/>
          <w:color w:val="000000" w:themeColor="text1"/>
          <w:sz w:val="18"/>
          <w:szCs w:val="18"/>
        </w:rPr>
        <w:t>Výstupy</w:t>
      </w:r>
    </w:p>
    <w:p w:rsidR="00514132" w:rsidRPr="00514132" w:rsidRDefault="00514132" w:rsidP="00514132">
      <w:pPr>
        <w:pStyle w:val="Odstavecseseznamem"/>
        <w:numPr>
          <w:ilvl w:val="0"/>
          <w:numId w:val="2"/>
        </w:numPr>
        <w:rPr>
          <w:rFonts w:ascii="Tahoma" w:hAnsi="Tahoma" w:cs="Tahoma"/>
          <w:color w:val="000000" w:themeColor="text1"/>
          <w:sz w:val="18"/>
          <w:szCs w:val="18"/>
        </w:rPr>
      </w:pPr>
      <w:r>
        <w:rPr>
          <w:rFonts w:ascii="Tahoma" w:hAnsi="Tahoma" w:cs="Tahoma"/>
          <w:color w:val="000000" w:themeColor="text1"/>
          <w:sz w:val="18"/>
          <w:szCs w:val="18"/>
        </w:rPr>
        <w:t>Ve sledovaném období nebyly předloženy</w:t>
      </w:r>
      <w:r w:rsidRPr="00514132">
        <w:rPr>
          <w:rFonts w:ascii="Tahoma" w:hAnsi="Tahoma" w:cs="Tahoma"/>
          <w:color w:val="000000" w:themeColor="text1"/>
          <w:sz w:val="18"/>
          <w:szCs w:val="18"/>
        </w:rPr>
        <w:t xml:space="preserve"> žádné </w:t>
      </w:r>
      <w:r>
        <w:rPr>
          <w:rFonts w:ascii="Tahoma" w:hAnsi="Tahoma" w:cs="Tahoma"/>
          <w:color w:val="000000" w:themeColor="text1"/>
          <w:sz w:val="18"/>
          <w:szCs w:val="18"/>
        </w:rPr>
        <w:t>výstupy ke sledované legislativě</w:t>
      </w:r>
      <w:r w:rsidRPr="00514132">
        <w:rPr>
          <w:rFonts w:ascii="Tahoma" w:hAnsi="Tahoma" w:cs="Tahoma"/>
          <w:color w:val="000000" w:themeColor="text1"/>
          <w:sz w:val="18"/>
          <w:szCs w:val="18"/>
        </w:rPr>
        <w:t xml:space="preserve">. </w:t>
      </w:r>
    </w:p>
    <w:p w:rsidR="002535C7" w:rsidRPr="006D5353" w:rsidRDefault="002535C7" w:rsidP="002535C7">
      <w:pPr>
        <w:pStyle w:val="Bezmezer"/>
        <w:spacing w:line="360" w:lineRule="auto"/>
        <w:ind w:left="786"/>
        <w:jc w:val="both"/>
        <w:rPr>
          <w:rFonts w:ascii="Tahoma" w:hAnsi="Tahoma" w:cs="Tahoma"/>
          <w:color w:val="000000" w:themeColor="text1"/>
          <w:sz w:val="18"/>
          <w:szCs w:val="18"/>
        </w:rPr>
      </w:pPr>
    </w:p>
    <w:p w:rsidR="004A3DCA" w:rsidRPr="008A3723" w:rsidRDefault="004A3DCA" w:rsidP="005906EB">
      <w:pPr>
        <w:pStyle w:val="Bezmezer"/>
        <w:numPr>
          <w:ilvl w:val="0"/>
          <w:numId w:val="27"/>
        </w:numPr>
        <w:spacing w:line="360" w:lineRule="auto"/>
        <w:jc w:val="both"/>
        <w:rPr>
          <w:rFonts w:ascii="Tahoma" w:hAnsi="Tahoma" w:cs="Tahoma"/>
          <w:b/>
          <w:color w:val="000000" w:themeColor="text1"/>
          <w:sz w:val="18"/>
          <w:szCs w:val="18"/>
        </w:rPr>
      </w:pPr>
      <w:r w:rsidRPr="008A3723">
        <w:rPr>
          <w:rFonts w:ascii="Tahoma" w:hAnsi="Tahoma" w:cs="Tahoma"/>
          <w:b/>
          <w:color w:val="000000" w:themeColor="text1"/>
          <w:sz w:val="18"/>
          <w:szCs w:val="18"/>
        </w:rPr>
        <w:t>Zadání</w:t>
      </w:r>
    </w:p>
    <w:p w:rsidR="00217FEC" w:rsidRPr="008A3723" w:rsidRDefault="008A3723" w:rsidP="008A3723">
      <w:pPr>
        <w:pStyle w:val="Bezmezer"/>
        <w:numPr>
          <w:ilvl w:val="0"/>
          <w:numId w:val="2"/>
        </w:numPr>
        <w:spacing w:line="360" w:lineRule="auto"/>
        <w:jc w:val="both"/>
        <w:rPr>
          <w:rFonts w:ascii="Tahoma" w:hAnsi="Tahoma" w:cs="Tahoma"/>
          <w:color w:val="000000" w:themeColor="text1"/>
          <w:sz w:val="18"/>
          <w:szCs w:val="18"/>
        </w:rPr>
      </w:pPr>
      <w:r w:rsidRPr="008A3723">
        <w:rPr>
          <w:rFonts w:ascii="Tahoma" w:hAnsi="Tahoma" w:cs="Tahoma"/>
          <w:color w:val="000000" w:themeColor="text1"/>
          <w:sz w:val="18"/>
          <w:szCs w:val="18"/>
        </w:rPr>
        <w:t>Ve sledovaném období nebyla identifikována připravovaná legislativa k věcnému posouzení.</w:t>
      </w:r>
    </w:p>
    <w:p w:rsidR="00BA315A" w:rsidRPr="00BA315A" w:rsidRDefault="00BA315A" w:rsidP="00BA315A">
      <w:pPr>
        <w:pStyle w:val="Bezmezer"/>
        <w:spacing w:line="360" w:lineRule="auto"/>
        <w:jc w:val="both"/>
        <w:rPr>
          <w:rFonts w:ascii="Tahoma" w:hAnsi="Tahoma" w:cs="Tahoma"/>
          <w:color w:val="000000" w:themeColor="text1"/>
          <w:sz w:val="18"/>
          <w:szCs w:val="18"/>
        </w:rPr>
      </w:pPr>
    </w:p>
    <w:p w:rsidR="00BA315A" w:rsidRPr="00E4476D" w:rsidRDefault="00BA315A" w:rsidP="00BA315A">
      <w:pPr>
        <w:pStyle w:val="Bezmezer"/>
        <w:spacing w:line="360" w:lineRule="auto"/>
        <w:jc w:val="both"/>
        <w:rPr>
          <w:rFonts w:ascii="Tahoma" w:hAnsi="Tahoma" w:cs="Tahoma"/>
          <w:b/>
          <w:color w:val="000000" w:themeColor="text1"/>
          <w:sz w:val="18"/>
          <w:szCs w:val="18"/>
        </w:rPr>
      </w:pPr>
      <w:r w:rsidRPr="00E4476D">
        <w:rPr>
          <w:rFonts w:ascii="Tahoma" w:hAnsi="Tahoma" w:cs="Tahoma"/>
          <w:b/>
          <w:color w:val="000000" w:themeColor="text1"/>
          <w:sz w:val="18"/>
          <w:szCs w:val="18"/>
        </w:rPr>
        <w:t>III. Aktuální judikatura a stanoviska</w:t>
      </w:r>
    </w:p>
    <w:p w:rsidR="00FD66FD" w:rsidRPr="00E4476D" w:rsidRDefault="00E4476D" w:rsidP="00E4476D">
      <w:pPr>
        <w:pStyle w:val="Bezmezer"/>
        <w:numPr>
          <w:ilvl w:val="0"/>
          <w:numId w:val="2"/>
        </w:numPr>
        <w:spacing w:line="360" w:lineRule="auto"/>
        <w:jc w:val="both"/>
        <w:rPr>
          <w:rFonts w:ascii="Tahoma" w:hAnsi="Tahoma" w:cs="Tahoma"/>
          <w:b/>
          <w:color w:val="000000" w:themeColor="text1"/>
          <w:sz w:val="18"/>
          <w:szCs w:val="18"/>
        </w:rPr>
      </w:pPr>
      <w:r w:rsidRPr="00E4476D">
        <w:rPr>
          <w:rFonts w:ascii="Tahoma" w:hAnsi="Tahoma" w:cs="Tahoma"/>
          <w:color w:val="000000" w:themeColor="text1"/>
          <w:sz w:val="18"/>
          <w:szCs w:val="18"/>
        </w:rPr>
        <w:t>Trest zákazu činnosti pro právnické osoby</w:t>
      </w:r>
    </w:p>
    <w:p w:rsidR="00E4476D" w:rsidRPr="00BA315A" w:rsidRDefault="00E4476D" w:rsidP="00E4476D">
      <w:pPr>
        <w:pStyle w:val="Bezmezer"/>
        <w:spacing w:line="360" w:lineRule="auto"/>
        <w:ind w:left="786"/>
        <w:jc w:val="both"/>
        <w:rPr>
          <w:rFonts w:ascii="Tahoma" w:hAnsi="Tahoma" w:cs="Tahoma"/>
          <w:b/>
          <w:color w:val="000000" w:themeColor="text1"/>
          <w:sz w:val="18"/>
          <w:szCs w:val="18"/>
        </w:rPr>
      </w:pPr>
    </w:p>
    <w:p w:rsidR="006247DC" w:rsidRPr="00A31A51" w:rsidRDefault="006247DC" w:rsidP="006247DC">
      <w:pPr>
        <w:pStyle w:val="Bezmezer"/>
        <w:spacing w:line="360" w:lineRule="auto"/>
        <w:jc w:val="both"/>
        <w:rPr>
          <w:rFonts w:ascii="Tahoma" w:hAnsi="Tahoma" w:cs="Tahoma"/>
          <w:b/>
          <w:color w:val="000000" w:themeColor="text1"/>
          <w:sz w:val="18"/>
          <w:szCs w:val="18"/>
        </w:rPr>
      </w:pPr>
      <w:r>
        <w:rPr>
          <w:rFonts w:ascii="Tahoma" w:hAnsi="Tahoma" w:cs="Tahoma"/>
          <w:b/>
          <w:color w:val="000000" w:themeColor="text1"/>
          <w:sz w:val="18"/>
          <w:szCs w:val="18"/>
        </w:rPr>
        <w:t>IV</w:t>
      </w:r>
      <w:r w:rsidRPr="00A31A51">
        <w:rPr>
          <w:rFonts w:ascii="Tahoma" w:hAnsi="Tahoma" w:cs="Tahoma"/>
          <w:b/>
          <w:color w:val="000000" w:themeColor="text1"/>
          <w:sz w:val="18"/>
          <w:szCs w:val="18"/>
        </w:rPr>
        <w:t xml:space="preserve">. </w:t>
      </w:r>
      <w:r>
        <w:rPr>
          <w:rFonts w:ascii="Tahoma" w:hAnsi="Tahoma" w:cs="Tahoma"/>
          <w:b/>
          <w:color w:val="000000" w:themeColor="text1"/>
          <w:sz w:val="18"/>
          <w:szCs w:val="18"/>
        </w:rPr>
        <w:t>Legislativní plán 2021</w:t>
      </w:r>
      <w:r w:rsidR="00514132">
        <w:rPr>
          <w:rFonts w:ascii="Tahoma" w:hAnsi="Tahoma" w:cs="Tahoma"/>
          <w:b/>
          <w:color w:val="000000" w:themeColor="text1"/>
          <w:sz w:val="18"/>
          <w:szCs w:val="18"/>
        </w:rPr>
        <w:t xml:space="preserve"> - aktualizace</w:t>
      </w:r>
    </w:p>
    <w:p w:rsidR="00FD66FD" w:rsidRPr="00BA315A" w:rsidRDefault="00FD66FD" w:rsidP="00FD66FD">
      <w:pPr>
        <w:pStyle w:val="Bezmezer"/>
        <w:spacing w:line="360" w:lineRule="auto"/>
        <w:jc w:val="both"/>
        <w:rPr>
          <w:rFonts w:ascii="Tahoma" w:hAnsi="Tahoma" w:cs="Tahoma"/>
          <w:color w:val="000000" w:themeColor="text1"/>
          <w:sz w:val="20"/>
          <w:szCs w:val="20"/>
        </w:rPr>
      </w:pPr>
    </w:p>
    <w:p w:rsidR="00D3025E" w:rsidRDefault="00D3025E" w:rsidP="002910D6">
      <w:pPr>
        <w:pStyle w:val="Bezmezer"/>
        <w:spacing w:line="360" w:lineRule="auto"/>
        <w:ind w:left="426"/>
        <w:jc w:val="both"/>
        <w:rPr>
          <w:rFonts w:ascii="Tahoma" w:hAnsi="Tahoma" w:cs="Tahoma"/>
          <w:color w:val="000000" w:themeColor="text1"/>
          <w:sz w:val="20"/>
          <w:szCs w:val="20"/>
        </w:rPr>
      </w:pPr>
    </w:p>
    <w:p w:rsidR="00514132" w:rsidRDefault="00514132" w:rsidP="002910D6">
      <w:pPr>
        <w:pStyle w:val="Bezmezer"/>
        <w:spacing w:line="360" w:lineRule="auto"/>
        <w:ind w:left="426"/>
        <w:jc w:val="both"/>
        <w:rPr>
          <w:rFonts w:ascii="Tahoma" w:hAnsi="Tahoma" w:cs="Tahoma"/>
          <w:color w:val="000000" w:themeColor="text1"/>
          <w:sz w:val="20"/>
          <w:szCs w:val="20"/>
        </w:rPr>
      </w:pPr>
    </w:p>
    <w:p w:rsidR="00514132" w:rsidRDefault="00514132" w:rsidP="002910D6">
      <w:pPr>
        <w:pStyle w:val="Bezmezer"/>
        <w:spacing w:line="360" w:lineRule="auto"/>
        <w:ind w:left="426"/>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400CA9" w:rsidRDefault="00400CA9" w:rsidP="00400CA9">
      <w:pPr>
        <w:pStyle w:val="Bezmezer"/>
        <w:spacing w:line="360" w:lineRule="auto"/>
        <w:jc w:val="center"/>
        <w:rPr>
          <w:rFonts w:ascii="Tahoma" w:hAnsi="Tahoma" w:cs="Tahoma"/>
          <w:color w:val="000000" w:themeColor="text1"/>
          <w:sz w:val="20"/>
          <w:szCs w:val="20"/>
        </w:rPr>
      </w:pPr>
    </w:p>
    <w:p w:rsidR="00D014C8" w:rsidRDefault="00D014C8" w:rsidP="00D014C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D014C8">
        <w:rPr>
          <w:rStyle w:val="Hypertextovodkaz"/>
          <w:rFonts w:ascii="Tahoma" w:eastAsia="Times New Roman" w:hAnsi="Tahoma" w:cs="Tahoma"/>
          <w:b/>
          <w:bCs/>
          <w:color w:val="000000" w:themeColor="text1"/>
          <w:kern w:val="36"/>
          <w:sz w:val="24"/>
          <w:szCs w:val="24"/>
          <w:u w:val="none"/>
          <w:lang w:eastAsia="cs-CZ"/>
        </w:rPr>
        <w:t>Nařízení vlády č. 492/2020 Sb., kterým se mění nařízení vlády č. 189/2018 Sb., o kritériích udržitelnosti biopaliv a snižování emisí skleníkových plynů z pohonných hmot</w:t>
      </w:r>
    </w:p>
    <w:p w:rsidR="00D014C8" w:rsidRDefault="00914508" w:rsidP="00D014C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D014C8" w:rsidRDefault="00D014C8" w:rsidP="00D014C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Účinnost od 1.1.2021</w:t>
      </w:r>
    </w:p>
    <w:p w:rsidR="00D014C8" w:rsidRDefault="00D014C8" w:rsidP="00D014C8">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D014C8" w:rsidRDefault="00D014C8"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Dne 2.12.2020 bylo ve sbírce zákonů publikováno nařízení </w:t>
      </w:r>
      <w:r w:rsidRPr="00D014C8">
        <w:rPr>
          <w:rStyle w:val="Hypertextovodkaz"/>
          <w:rFonts w:ascii="Tahoma" w:eastAsia="Times New Roman" w:hAnsi="Tahoma" w:cs="Tahoma"/>
          <w:bCs/>
          <w:color w:val="000000" w:themeColor="text1"/>
          <w:kern w:val="36"/>
          <w:sz w:val="20"/>
          <w:szCs w:val="24"/>
          <w:u w:val="none"/>
          <w:lang w:eastAsia="cs-CZ"/>
        </w:rPr>
        <w:t>vlády č. 492/2020 Sb., kterým se mění nařízení vlády č. 189/2018 Sb., o kritériích udržitelnosti biopaliv a snižování emisí skleníkových plynů z pohonných hmot</w:t>
      </w:r>
      <w:r>
        <w:rPr>
          <w:rStyle w:val="Hypertextovodkaz"/>
          <w:rFonts w:ascii="Tahoma" w:eastAsia="Times New Roman" w:hAnsi="Tahoma" w:cs="Tahoma"/>
          <w:bCs/>
          <w:color w:val="000000" w:themeColor="text1"/>
          <w:kern w:val="36"/>
          <w:sz w:val="20"/>
          <w:szCs w:val="24"/>
          <w:u w:val="none"/>
          <w:lang w:eastAsia="cs-CZ"/>
        </w:rPr>
        <w:t>.</w:t>
      </w:r>
    </w:p>
    <w:p w:rsidR="00D014C8" w:rsidRDefault="00D014C8"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014C8" w:rsidRDefault="00D014C8"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Nařízení </w:t>
      </w:r>
      <w:r w:rsidRPr="00D014C8">
        <w:rPr>
          <w:rStyle w:val="Hypertextovodkaz"/>
          <w:rFonts w:ascii="Tahoma" w:eastAsia="Times New Roman" w:hAnsi="Tahoma" w:cs="Tahoma"/>
          <w:bCs/>
          <w:color w:val="000000" w:themeColor="text1"/>
          <w:kern w:val="36"/>
          <w:sz w:val="20"/>
          <w:szCs w:val="24"/>
          <w:u w:val="none"/>
          <w:lang w:eastAsia="cs-CZ"/>
        </w:rPr>
        <w:t>je stručnou novelizací prováděcího nařízení k zákonu č. 201/2012 Sb., o ochraně ovzduší, ve znění pozdějších předpisů, a je předkládán za účelem uvedení národní legislativy do souladu s některými ustanoveními právních předpisů Evropské unie.</w:t>
      </w:r>
    </w:p>
    <w:p w:rsidR="00D014C8" w:rsidRPr="00434454" w:rsidRDefault="00D014C8" w:rsidP="00D014C8">
      <w:pPr>
        <w:pStyle w:val="Bezmezer"/>
        <w:spacing w:line="360" w:lineRule="auto"/>
        <w:jc w:val="both"/>
        <w:rPr>
          <w:rStyle w:val="Hypertextovodkaz"/>
          <w:rFonts w:ascii="Tahoma" w:eastAsia="Times New Roman" w:hAnsi="Tahoma" w:cs="Tahoma"/>
          <w:b/>
          <w:bCs/>
          <w:color w:val="000000" w:themeColor="text1"/>
          <w:kern w:val="36"/>
          <w:sz w:val="20"/>
          <w:szCs w:val="24"/>
          <w:lang w:eastAsia="cs-CZ"/>
        </w:rPr>
      </w:pPr>
    </w:p>
    <w:p w:rsidR="00D014C8" w:rsidRPr="00434454" w:rsidRDefault="00D014C8" w:rsidP="00D014C8">
      <w:pPr>
        <w:pStyle w:val="Bezmezer"/>
        <w:spacing w:line="360" w:lineRule="auto"/>
        <w:jc w:val="both"/>
        <w:rPr>
          <w:rStyle w:val="Hypertextovodkaz"/>
          <w:rFonts w:ascii="Tahoma" w:eastAsia="Times New Roman" w:hAnsi="Tahoma" w:cs="Tahoma"/>
          <w:b/>
          <w:bCs/>
          <w:color w:val="000000" w:themeColor="text1"/>
          <w:kern w:val="36"/>
          <w:sz w:val="20"/>
          <w:szCs w:val="24"/>
          <w:lang w:eastAsia="cs-CZ"/>
        </w:rPr>
      </w:pPr>
      <w:r w:rsidRPr="00434454">
        <w:rPr>
          <w:rStyle w:val="Hypertextovodkaz"/>
          <w:rFonts w:ascii="Tahoma" w:eastAsia="Times New Roman" w:hAnsi="Tahoma" w:cs="Tahoma"/>
          <w:b/>
          <w:bCs/>
          <w:color w:val="000000" w:themeColor="text1"/>
          <w:kern w:val="36"/>
          <w:sz w:val="20"/>
          <w:szCs w:val="24"/>
          <w:lang w:eastAsia="cs-CZ"/>
        </w:rPr>
        <w:t>Dle věcného posouzení provedeného obchodním úsekem má novelizace pouze drobné administrativní dopady - pro potřeby zprávy o emisích nebude společnost muset reportovat o místě nákupu paliva. Dále z oddílu Obsahové náležitosti dokladu o snížení emisí z těžby vypadávají 2 požadavky na informace, které v</w:t>
      </w:r>
      <w:r w:rsidR="00B45331">
        <w:rPr>
          <w:rStyle w:val="Hypertextovodkaz"/>
          <w:rFonts w:ascii="Tahoma" w:eastAsia="Times New Roman" w:hAnsi="Tahoma" w:cs="Tahoma"/>
          <w:b/>
          <w:bCs/>
          <w:color w:val="000000" w:themeColor="text1"/>
          <w:kern w:val="36"/>
          <w:sz w:val="20"/>
          <w:szCs w:val="24"/>
          <w:lang w:eastAsia="cs-CZ"/>
        </w:rPr>
        <w:t> evropské legislativě</w:t>
      </w:r>
      <w:r w:rsidRPr="00434454">
        <w:rPr>
          <w:rStyle w:val="Hypertextovodkaz"/>
          <w:rFonts w:ascii="Tahoma" w:eastAsia="Times New Roman" w:hAnsi="Tahoma" w:cs="Tahoma"/>
          <w:b/>
          <w:bCs/>
          <w:color w:val="000000" w:themeColor="text1"/>
          <w:kern w:val="36"/>
          <w:sz w:val="20"/>
          <w:szCs w:val="24"/>
          <w:lang w:eastAsia="cs-CZ"/>
        </w:rPr>
        <w:t xml:space="preserve"> nejsou.</w:t>
      </w:r>
    </w:p>
    <w:p w:rsidR="0077167C" w:rsidRDefault="0077167C" w:rsidP="00D014C8">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77167C" w:rsidRDefault="0077167C" w:rsidP="0077167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77167C">
        <w:rPr>
          <w:rStyle w:val="Hypertextovodkaz"/>
          <w:rFonts w:ascii="Tahoma" w:eastAsia="Times New Roman" w:hAnsi="Tahoma" w:cs="Tahoma"/>
          <w:b/>
          <w:bCs/>
          <w:color w:val="000000" w:themeColor="text1"/>
          <w:kern w:val="36"/>
          <w:sz w:val="24"/>
          <w:szCs w:val="24"/>
          <w:u w:val="none"/>
          <w:lang w:eastAsia="cs-CZ"/>
        </w:rPr>
        <w:t xml:space="preserve">Vyhláška č. 525/2020 Sb., o formulářových podáních pro daně z příjmů  </w:t>
      </w:r>
    </w:p>
    <w:p w:rsidR="0077167C" w:rsidRPr="0077167C" w:rsidRDefault="00914508" w:rsidP="0077167C">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77167C" w:rsidRDefault="0077167C" w:rsidP="007716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Účinnost od 1.1.2021</w:t>
      </w:r>
    </w:p>
    <w:p w:rsidR="0077167C" w:rsidRDefault="0077167C" w:rsidP="0077167C">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77167C" w:rsidRPr="0077167C" w:rsidRDefault="0077167C" w:rsidP="007716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7167C">
        <w:rPr>
          <w:rStyle w:val="Hypertextovodkaz"/>
          <w:rFonts w:ascii="Tahoma" w:eastAsia="Times New Roman" w:hAnsi="Tahoma" w:cs="Tahoma"/>
          <w:bCs/>
          <w:color w:val="000000" w:themeColor="text1"/>
          <w:kern w:val="36"/>
          <w:sz w:val="20"/>
          <w:szCs w:val="24"/>
          <w:u w:val="none"/>
          <w:lang w:eastAsia="cs-CZ"/>
        </w:rPr>
        <w:t>Dne 17. 12. 2020 byla ve Sbírce zákonů publikována pod č. 525/2020 Sb. vyhláška o formulářových podáních pro daně z příjmů.</w:t>
      </w:r>
    </w:p>
    <w:p w:rsidR="0077167C" w:rsidRDefault="0077167C" w:rsidP="007716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7167C">
        <w:rPr>
          <w:rStyle w:val="Hypertextovodkaz"/>
          <w:rFonts w:ascii="Tahoma" w:eastAsia="Times New Roman" w:hAnsi="Tahoma" w:cs="Tahoma"/>
          <w:bCs/>
          <w:color w:val="000000" w:themeColor="text1"/>
          <w:kern w:val="36"/>
          <w:sz w:val="20"/>
          <w:szCs w:val="24"/>
          <w:u w:val="none"/>
          <w:lang w:eastAsia="cs-CZ"/>
        </w:rPr>
        <w:t>Ministerstvo financí jí v intencích daňového řádu v případě formulářových podání pro daně z příjmů stanovuje podrobnosti obecných náležitostí podání a požadovaných údajů, formát elektronického formulářového podání a vzor formulářového podání. Jde o reakci ministerstva na zákon novelizující daňový řád a</w:t>
      </w:r>
      <w:r w:rsidR="00B45331">
        <w:rPr>
          <w:rStyle w:val="Hypertextovodkaz"/>
          <w:rFonts w:ascii="Tahoma" w:eastAsia="Times New Roman" w:hAnsi="Tahoma" w:cs="Tahoma"/>
          <w:bCs/>
          <w:color w:val="000000" w:themeColor="text1"/>
          <w:kern w:val="36"/>
          <w:sz w:val="20"/>
          <w:szCs w:val="24"/>
          <w:u w:val="none"/>
          <w:lang w:eastAsia="cs-CZ"/>
        </w:rPr>
        <w:t xml:space="preserve"> další daňové zákony publikované ve</w:t>
      </w:r>
      <w:r w:rsidRPr="0077167C">
        <w:rPr>
          <w:rStyle w:val="Hypertextovodkaz"/>
          <w:rFonts w:ascii="Tahoma" w:eastAsia="Times New Roman" w:hAnsi="Tahoma" w:cs="Tahoma"/>
          <w:bCs/>
          <w:color w:val="000000" w:themeColor="text1"/>
          <w:kern w:val="36"/>
          <w:sz w:val="20"/>
          <w:szCs w:val="24"/>
          <w:u w:val="none"/>
          <w:lang w:eastAsia="cs-CZ"/>
        </w:rPr>
        <w:t xml:space="preserve"> se Sbírce zákonů pod č. 283/2020 Sb. (respektive přesněji, na jím nově formulovaný § 72 daňového řádu) a účinný od počátku tohoto roku.</w:t>
      </w:r>
    </w:p>
    <w:p w:rsidR="00434454" w:rsidRDefault="00434454" w:rsidP="007716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34454" w:rsidRDefault="00434454" w:rsidP="0077167C">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34454" w:rsidRPr="00434454" w:rsidRDefault="00434454" w:rsidP="00434454">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34454">
        <w:rPr>
          <w:rStyle w:val="Hypertextovodkaz"/>
          <w:rFonts w:ascii="Tahoma" w:eastAsia="Times New Roman" w:hAnsi="Tahoma" w:cs="Tahoma"/>
          <w:b/>
          <w:bCs/>
          <w:color w:val="000000" w:themeColor="text1"/>
          <w:kern w:val="36"/>
          <w:sz w:val="24"/>
          <w:szCs w:val="24"/>
          <w:u w:val="none"/>
          <w:lang w:eastAsia="cs-CZ"/>
        </w:rPr>
        <w:t xml:space="preserve">Vyhláška č. 516/2020 Sb., o požadavcích na pohonné hmoty a provedení některých dalších ustanovení zákona o pohonných hmotách  </w:t>
      </w:r>
      <w:r w:rsidR="00914508">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434454" w:rsidRDefault="00434454" w:rsidP="00434454">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Účinnost od 1.1.2021</w:t>
      </w:r>
    </w:p>
    <w:p w:rsidR="00434454" w:rsidRDefault="00434454" w:rsidP="00434454">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434454" w:rsidRPr="00434454" w:rsidRDefault="00434454" w:rsidP="0043445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434454">
        <w:rPr>
          <w:rStyle w:val="Hypertextovodkaz"/>
          <w:rFonts w:ascii="Tahoma" w:eastAsia="Times New Roman" w:hAnsi="Tahoma" w:cs="Tahoma"/>
          <w:bCs/>
          <w:color w:val="000000" w:themeColor="text1"/>
          <w:kern w:val="36"/>
          <w:sz w:val="20"/>
          <w:szCs w:val="24"/>
          <w:u w:val="none"/>
          <w:lang w:eastAsia="cs-CZ"/>
        </w:rPr>
        <w:t>Dne 11. 12. 2020 byla ve Sbírce zákonů publikována pod č. 516/2020 Sb. vyhláška o požadavcích na pohonné hmoty a provedení některých dalších ustanovení zákona o pohonných hmotách.</w:t>
      </w:r>
    </w:p>
    <w:p w:rsidR="00434454" w:rsidRPr="00434454" w:rsidRDefault="00434454" w:rsidP="0043445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Vyhláška </w:t>
      </w:r>
      <w:r w:rsidRPr="00434454">
        <w:rPr>
          <w:rStyle w:val="Hypertextovodkaz"/>
          <w:rFonts w:ascii="Tahoma" w:eastAsia="Times New Roman" w:hAnsi="Tahoma" w:cs="Tahoma"/>
          <w:bCs/>
          <w:color w:val="000000" w:themeColor="text1"/>
          <w:kern w:val="36"/>
          <w:sz w:val="20"/>
          <w:szCs w:val="24"/>
          <w:u w:val="none"/>
          <w:lang w:eastAsia="cs-CZ"/>
        </w:rPr>
        <w:t>v podrobnostech nově upravuje požadavky na složení a jakost pohonných hmot a způsob sledování a monitorování složení a jakosti pohonných hmot, stanovení údajů obsažených v souhrnné zprávě o množství a složení jednotlivých druhů pohonných hmot prodaných provozovatelem čerpací stanice, stanovení aditivačních přísad a jejich dávkování, způsob předávání údajů o množství elektřiny spotřebované pro dobíjení vozidel v dobíjecích stanicích, a nakonec stanovení obsahu zpráv a souhrnných zpráv o výsledcích sledování složení a jakosti pohonných hmot.</w:t>
      </w:r>
    </w:p>
    <w:p w:rsidR="00434454" w:rsidRPr="00434454" w:rsidRDefault="00434454" w:rsidP="0043445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014C8" w:rsidRDefault="00434454" w:rsidP="0043445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434454">
        <w:rPr>
          <w:rStyle w:val="Hypertextovodkaz"/>
          <w:rFonts w:ascii="Tahoma" w:eastAsia="Times New Roman" w:hAnsi="Tahoma" w:cs="Tahoma"/>
          <w:bCs/>
          <w:color w:val="000000" w:themeColor="text1"/>
          <w:kern w:val="36"/>
          <w:sz w:val="20"/>
          <w:szCs w:val="24"/>
          <w:u w:val="none"/>
          <w:lang w:eastAsia="cs-CZ"/>
        </w:rPr>
        <w:t xml:space="preserve">Nahrazuje přitom dosavadní právní úpravu prezentovanou vyhláškou č. 133/2010 Sb., o požadavcích na pohonné hmoty, o způsobu sledování a monitorování složení a jakosti pohonných hmot a o jejich evidenci (vyhláška o jakosti a evidenci pohonných hmot), jež se s účinností nové vyhlášky zrušuje, a to včetně svých novel. </w:t>
      </w:r>
    </w:p>
    <w:p w:rsidR="00434454" w:rsidRDefault="00434454" w:rsidP="0043445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34454" w:rsidRPr="00434454" w:rsidRDefault="00434454" w:rsidP="00434454">
      <w:pPr>
        <w:jc w:val="both"/>
        <w:rPr>
          <w:rFonts w:ascii="Tahoma" w:eastAsia="Times New Roman" w:hAnsi="Tahoma" w:cs="Tahoma"/>
          <w:b/>
          <w:color w:val="000000"/>
          <w:sz w:val="20"/>
          <w:szCs w:val="20"/>
          <w:u w:val="single"/>
          <w:lang w:eastAsia="cs-CZ"/>
        </w:rPr>
      </w:pPr>
      <w:r w:rsidRPr="00434454">
        <w:rPr>
          <w:rStyle w:val="Hypertextovodkaz"/>
          <w:rFonts w:ascii="Tahoma" w:eastAsia="Times New Roman" w:hAnsi="Tahoma" w:cs="Tahoma"/>
          <w:b/>
          <w:bCs/>
          <w:color w:val="000000" w:themeColor="text1"/>
          <w:kern w:val="36"/>
          <w:sz w:val="20"/>
          <w:szCs w:val="24"/>
          <w:lang w:eastAsia="cs-CZ"/>
        </w:rPr>
        <w:t xml:space="preserve">Dle věcného posouzení obchodního úseku je </w:t>
      </w:r>
      <w:r w:rsidRPr="00434454">
        <w:rPr>
          <w:rFonts w:ascii="Tahoma" w:eastAsia="Times New Roman" w:hAnsi="Tahoma" w:cs="Tahoma"/>
          <w:b/>
          <w:color w:val="000000"/>
          <w:sz w:val="20"/>
          <w:szCs w:val="20"/>
          <w:u w:val="single"/>
          <w:lang w:eastAsia="cs-CZ"/>
        </w:rPr>
        <w:t xml:space="preserve">tato novelizace spíše technickou revizí, která není významnou změnou s dopadem na aktivity společnosti. </w:t>
      </w:r>
    </w:p>
    <w:p w:rsidR="006B1E00" w:rsidRPr="00434454" w:rsidRDefault="006B1E00" w:rsidP="006B1E00">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B1E00">
        <w:rPr>
          <w:rStyle w:val="Hypertextovodkaz"/>
          <w:rFonts w:ascii="Tahoma" w:eastAsia="Times New Roman" w:hAnsi="Tahoma" w:cs="Tahoma"/>
          <w:b/>
          <w:bCs/>
          <w:color w:val="000000" w:themeColor="text1"/>
          <w:kern w:val="36"/>
          <w:sz w:val="24"/>
          <w:szCs w:val="24"/>
          <w:u w:val="none"/>
          <w:lang w:eastAsia="cs-CZ"/>
        </w:rPr>
        <w:t>Zákon č. 544/2020 Sb., kterým se mění zákon č. 254/2001 Sb., o vodách a o změně některých zákonů (vodní zákon), ve znění pozdějších předpisů, a další související zákony</w:t>
      </w:r>
      <w:r w:rsidR="00914508">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6B1E00" w:rsidRDefault="006B1E00" w:rsidP="006B1E00">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Účinnost od 1.2.2021</w:t>
      </w:r>
    </w:p>
    <w:p w:rsidR="006B1E00" w:rsidRDefault="006B1E00" w:rsidP="006B1E00">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p>
    <w:p w:rsidR="006B1E00" w:rsidRPr="00434454" w:rsidRDefault="006B1E00" w:rsidP="006B1E00">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434454">
        <w:rPr>
          <w:rStyle w:val="Hypertextovodkaz"/>
          <w:rFonts w:ascii="Tahoma" w:eastAsia="Times New Roman" w:hAnsi="Tahoma" w:cs="Tahoma"/>
          <w:bCs/>
          <w:color w:val="000000" w:themeColor="text1"/>
          <w:kern w:val="36"/>
          <w:sz w:val="20"/>
          <w:szCs w:val="24"/>
          <w:u w:val="none"/>
          <w:lang w:eastAsia="cs-CZ"/>
        </w:rPr>
        <w:t xml:space="preserve">Dne </w:t>
      </w:r>
      <w:r w:rsidR="00F00EFC">
        <w:rPr>
          <w:rStyle w:val="Hypertextovodkaz"/>
          <w:rFonts w:ascii="Tahoma" w:eastAsia="Times New Roman" w:hAnsi="Tahoma" w:cs="Tahoma"/>
          <w:bCs/>
          <w:color w:val="000000" w:themeColor="text1"/>
          <w:kern w:val="36"/>
          <w:sz w:val="20"/>
          <w:szCs w:val="24"/>
          <w:u w:val="none"/>
          <w:lang w:eastAsia="cs-CZ"/>
        </w:rPr>
        <w:t>23</w:t>
      </w:r>
      <w:r w:rsidRPr="00434454">
        <w:rPr>
          <w:rStyle w:val="Hypertextovodkaz"/>
          <w:rFonts w:ascii="Tahoma" w:eastAsia="Times New Roman" w:hAnsi="Tahoma" w:cs="Tahoma"/>
          <w:bCs/>
          <w:color w:val="000000" w:themeColor="text1"/>
          <w:kern w:val="36"/>
          <w:sz w:val="20"/>
          <w:szCs w:val="24"/>
          <w:u w:val="none"/>
          <w:lang w:eastAsia="cs-CZ"/>
        </w:rPr>
        <w:t xml:space="preserve">. 12. 2020 byla ve Sbírce zákonů publikována pod č. 516/2020 Sb. </w:t>
      </w:r>
      <w:r w:rsidR="00F00EFC">
        <w:rPr>
          <w:rStyle w:val="Hypertextovodkaz"/>
          <w:rFonts w:ascii="Tahoma" w:eastAsia="Times New Roman" w:hAnsi="Tahoma" w:cs="Tahoma"/>
          <w:bCs/>
          <w:color w:val="000000" w:themeColor="text1"/>
          <w:kern w:val="36"/>
          <w:sz w:val="20"/>
          <w:szCs w:val="24"/>
          <w:u w:val="none"/>
          <w:lang w:eastAsia="cs-CZ"/>
        </w:rPr>
        <w:t>novela zákona č. 254/2001 Sb, o vodách</w:t>
      </w:r>
      <w:r w:rsidRPr="00434454">
        <w:rPr>
          <w:rStyle w:val="Hypertextovodkaz"/>
          <w:rFonts w:ascii="Tahoma" w:eastAsia="Times New Roman" w:hAnsi="Tahoma" w:cs="Tahoma"/>
          <w:bCs/>
          <w:color w:val="000000" w:themeColor="text1"/>
          <w:kern w:val="36"/>
          <w:sz w:val="20"/>
          <w:szCs w:val="24"/>
          <w:u w:val="none"/>
          <w:lang w:eastAsia="cs-CZ"/>
        </w:rPr>
        <w:t>.</w:t>
      </w:r>
    </w:p>
    <w:p w:rsidR="006B1E00" w:rsidRPr="00434454" w:rsidRDefault="006B1E00" w:rsidP="006B1E00">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6B1E00" w:rsidRDefault="00F00EFC" w:rsidP="006B1E00">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Novela zavádí </w:t>
      </w:r>
      <w:r w:rsidRPr="00F00EFC">
        <w:rPr>
          <w:rStyle w:val="Hypertextovodkaz"/>
          <w:rFonts w:ascii="Tahoma" w:eastAsia="Times New Roman" w:hAnsi="Tahoma" w:cs="Tahoma"/>
          <w:bCs/>
          <w:color w:val="000000" w:themeColor="text1"/>
          <w:kern w:val="36"/>
          <w:sz w:val="20"/>
          <w:szCs w:val="24"/>
          <w:u w:val="none"/>
          <w:lang w:eastAsia="cs-CZ"/>
        </w:rPr>
        <w:t>opatření pro zvládání sucha a nedostatku vody</w:t>
      </w:r>
      <w:r>
        <w:rPr>
          <w:rStyle w:val="Hypertextovodkaz"/>
          <w:rFonts w:ascii="Tahoma" w:eastAsia="Times New Roman" w:hAnsi="Tahoma" w:cs="Tahoma"/>
          <w:bCs/>
          <w:color w:val="000000" w:themeColor="text1"/>
          <w:kern w:val="36"/>
          <w:sz w:val="20"/>
          <w:szCs w:val="24"/>
          <w:u w:val="none"/>
          <w:lang w:eastAsia="cs-CZ"/>
        </w:rPr>
        <w:t xml:space="preserve">. Blíže byla novela obsahem monitoringu za měsíc březen a za měsíc duben 2019. </w:t>
      </w:r>
    </w:p>
    <w:p w:rsidR="00F00EFC" w:rsidRDefault="00F00EFC" w:rsidP="006B1E00">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F00EFC" w:rsidRPr="00F00EFC" w:rsidRDefault="006B1E00" w:rsidP="00F00EFC">
      <w:pPr>
        <w:rPr>
          <w:rFonts w:ascii="Tahoma" w:eastAsia="Times New Roman" w:hAnsi="Tahoma" w:cs="Tahoma"/>
          <w:b/>
          <w:bCs/>
          <w:color w:val="000000" w:themeColor="text1"/>
          <w:kern w:val="36"/>
          <w:sz w:val="20"/>
          <w:szCs w:val="24"/>
          <w:u w:val="single"/>
          <w:lang w:eastAsia="cs-CZ"/>
        </w:rPr>
      </w:pPr>
      <w:r w:rsidRPr="00434454">
        <w:rPr>
          <w:rStyle w:val="Hypertextovodkaz"/>
          <w:rFonts w:ascii="Tahoma" w:eastAsia="Times New Roman" w:hAnsi="Tahoma" w:cs="Tahoma"/>
          <w:b/>
          <w:bCs/>
          <w:color w:val="000000" w:themeColor="text1"/>
          <w:kern w:val="36"/>
          <w:sz w:val="20"/>
          <w:szCs w:val="24"/>
          <w:lang w:eastAsia="cs-CZ"/>
        </w:rPr>
        <w:t xml:space="preserve">Dle věcného posouzení </w:t>
      </w:r>
      <w:r w:rsidR="00F00EFC">
        <w:rPr>
          <w:rStyle w:val="Hypertextovodkaz"/>
          <w:rFonts w:ascii="Tahoma" w:eastAsia="Times New Roman" w:hAnsi="Tahoma" w:cs="Tahoma"/>
          <w:b/>
          <w:bCs/>
          <w:color w:val="000000" w:themeColor="text1"/>
          <w:kern w:val="36"/>
          <w:sz w:val="20"/>
          <w:szCs w:val="24"/>
          <w:lang w:eastAsia="cs-CZ"/>
        </w:rPr>
        <w:t>HSE z</w:t>
      </w:r>
      <w:r w:rsidR="00F00EFC" w:rsidRPr="00F00EFC">
        <w:rPr>
          <w:rFonts w:ascii="Tahoma" w:eastAsia="Times New Roman" w:hAnsi="Tahoma" w:cs="Tahoma"/>
          <w:b/>
          <w:bCs/>
          <w:color w:val="000000" w:themeColor="text1"/>
          <w:kern w:val="36"/>
          <w:sz w:val="20"/>
          <w:szCs w:val="24"/>
          <w:u w:val="single"/>
          <w:lang w:eastAsia="cs-CZ"/>
        </w:rPr>
        <w:t xml:space="preserve">avedení hierarchizace nakládání s vodami může mít dopad na investiční náklady zejména u srážkových vod. Dosud byly všechny způsoby nakládání rovnocenné. Novela rovněž navrhuje zakotvit povinnost instalace vodoměrů u odběrů vod od 1000 m3/rok nebo 100 m3/měsíc (od 6000 m3/rok se již dnes měří). Nově se dotkne skladů Bělčice, Klobouky, V. Bíteš. Návrh sebou přináší požadavky na administraci: povinný subjekt 12x ročně provede odečet odebraného množství vody, a předá 1x ročně informaci prostřednictvím formuláře ISPOP. </w:t>
      </w:r>
    </w:p>
    <w:p w:rsidR="00F00EFC" w:rsidRPr="00F00EFC" w:rsidRDefault="00F00EFC" w:rsidP="00F00EFC">
      <w:pPr>
        <w:jc w:val="both"/>
        <w:rPr>
          <w:rFonts w:ascii="Tahoma" w:eastAsia="Times New Roman" w:hAnsi="Tahoma" w:cs="Tahoma"/>
          <w:b/>
          <w:bCs/>
          <w:color w:val="000000" w:themeColor="text1"/>
          <w:kern w:val="36"/>
          <w:sz w:val="20"/>
          <w:szCs w:val="24"/>
          <w:u w:val="single"/>
          <w:lang w:eastAsia="cs-CZ"/>
        </w:rPr>
      </w:pPr>
      <w:r>
        <w:rPr>
          <w:rFonts w:ascii="Tahoma" w:eastAsia="Times New Roman" w:hAnsi="Tahoma" w:cs="Tahoma"/>
          <w:b/>
          <w:bCs/>
          <w:color w:val="000000" w:themeColor="text1"/>
          <w:kern w:val="36"/>
          <w:sz w:val="20"/>
          <w:szCs w:val="24"/>
          <w:u w:val="single"/>
          <w:lang w:eastAsia="cs-CZ"/>
        </w:rPr>
        <w:t>Implementační opatření HSE</w:t>
      </w:r>
      <w:r w:rsidRPr="00F00EFC">
        <w:rPr>
          <w:rFonts w:ascii="Tahoma" w:eastAsia="Times New Roman" w:hAnsi="Tahoma" w:cs="Tahoma"/>
          <w:b/>
          <w:bCs/>
          <w:color w:val="000000" w:themeColor="text1"/>
          <w:kern w:val="36"/>
          <w:sz w:val="20"/>
          <w:szCs w:val="24"/>
          <w:u w:val="single"/>
          <w:lang w:eastAsia="cs-CZ"/>
        </w:rPr>
        <w:t xml:space="preserve">: Instalace vodoměrů na dotčených skladech a Aktualizace Sm VOHSE 02/HSE/02/00/2015, čl. c8 Měření množství vod. </w:t>
      </w:r>
    </w:p>
    <w:p w:rsidR="006B1E00" w:rsidRPr="00035275" w:rsidRDefault="006B1E00" w:rsidP="00035275">
      <w:pPr>
        <w:jc w:val="center"/>
        <w:rPr>
          <w:rStyle w:val="Hypertextovodkaz"/>
          <w:rFonts w:ascii="Tahoma" w:hAnsi="Tahoma" w:cs="Tahoma"/>
          <w:bCs/>
          <w:color w:val="000000" w:themeColor="text1"/>
          <w:kern w:val="36"/>
          <w:sz w:val="24"/>
          <w:szCs w:val="24"/>
          <w:u w:val="none"/>
        </w:rPr>
      </w:pPr>
    </w:p>
    <w:p w:rsidR="00035275" w:rsidRDefault="00035275" w:rsidP="00035275">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35275">
        <w:rPr>
          <w:rStyle w:val="Hypertextovodkaz"/>
          <w:rFonts w:ascii="Tahoma" w:eastAsia="Times New Roman" w:hAnsi="Tahoma" w:cs="Tahoma"/>
          <w:b/>
          <w:bCs/>
          <w:color w:val="000000" w:themeColor="text1"/>
          <w:kern w:val="36"/>
          <w:sz w:val="24"/>
          <w:szCs w:val="24"/>
          <w:u w:val="none"/>
          <w:lang w:eastAsia="cs-CZ"/>
        </w:rPr>
        <w:t>Zákon č. 609/2020 Sb., kterým se mění některé zákony v oblasti daní a některé další zákony</w:t>
      </w:r>
    </w:p>
    <w:p w:rsidR="00035275" w:rsidRPr="00035275" w:rsidRDefault="00914508" w:rsidP="00035275">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035275" w:rsidRDefault="00035275" w:rsidP="00035275">
      <w:pPr>
        <w:jc w:val="right"/>
        <w:rPr>
          <w:rFonts w:ascii="Tahoma" w:eastAsia="Times New Roman" w:hAnsi="Tahoma" w:cs="Tahoma"/>
          <w:color w:val="000000"/>
          <w:sz w:val="20"/>
          <w:szCs w:val="20"/>
          <w:lang w:eastAsia="cs-CZ"/>
        </w:rPr>
      </w:pPr>
      <w:r w:rsidRPr="00035275">
        <w:rPr>
          <w:rFonts w:ascii="Tahoma" w:eastAsia="Times New Roman" w:hAnsi="Tahoma" w:cs="Tahoma"/>
          <w:color w:val="000000"/>
          <w:sz w:val="20"/>
          <w:szCs w:val="20"/>
          <w:lang w:eastAsia="cs-CZ"/>
        </w:rPr>
        <w:t>Účinnost 1.1.2021</w:t>
      </w:r>
    </w:p>
    <w:p w:rsidR="00035275" w:rsidRDefault="00035275" w:rsidP="00035275">
      <w:pPr>
        <w:jc w:val="both"/>
        <w:rPr>
          <w:rFonts w:ascii="Tahoma" w:eastAsia="Times New Roman" w:hAnsi="Tahoma" w:cs="Tahoma"/>
          <w:color w:val="000000"/>
          <w:sz w:val="20"/>
          <w:szCs w:val="20"/>
          <w:lang w:eastAsia="cs-CZ"/>
        </w:rPr>
      </w:pPr>
    </w:p>
    <w:p w:rsidR="00035275" w:rsidRDefault="00035275" w:rsidP="00035275">
      <w:pPr>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 xml:space="preserve">Dne 31. 12. 2020 byl ve sbírce zákonů publikován </w:t>
      </w:r>
      <w:r w:rsidR="00537BA2">
        <w:rPr>
          <w:rFonts w:ascii="Tahoma" w:eastAsia="Times New Roman" w:hAnsi="Tahoma" w:cs="Tahoma"/>
          <w:color w:val="000000"/>
          <w:sz w:val="20"/>
          <w:szCs w:val="20"/>
          <w:lang w:eastAsia="cs-CZ"/>
        </w:rPr>
        <w:t>zákon č</w:t>
      </w:r>
      <w:r w:rsidR="00537BA2" w:rsidRPr="00537BA2">
        <w:rPr>
          <w:rFonts w:ascii="Tahoma" w:eastAsia="Times New Roman" w:hAnsi="Tahoma" w:cs="Tahoma"/>
          <w:color w:val="000000"/>
          <w:sz w:val="20"/>
          <w:szCs w:val="20"/>
          <w:lang w:eastAsia="cs-CZ"/>
        </w:rPr>
        <w:t>. 609/2020 Sb., kterým se mění některé zákony v oblasti daní a některé další zákony</w:t>
      </w:r>
      <w:r w:rsidR="00537BA2">
        <w:rPr>
          <w:rFonts w:ascii="Tahoma" w:eastAsia="Times New Roman" w:hAnsi="Tahoma" w:cs="Tahoma"/>
          <w:color w:val="000000"/>
          <w:sz w:val="20"/>
          <w:szCs w:val="20"/>
          <w:lang w:eastAsia="cs-CZ"/>
        </w:rPr>
        <w:t>.</w:t>
      </w:r>
    </w:p>
    <w:p w:rsidR="00537BA2" w:rsidRDefault="00537BA2" w:rsidP="00035275">
      <w:pPr>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Tento daňový balíček přináší:</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Snížení daně z</w:t>
      </w:r>
      <w:r>
        <w:rPr>
          <w:rFonts w:ascii="Tahoma" w:eastAsia="Times New Roman" w:hAnsi="Tahoma" w:cs="Tahoma"/>
          <w:color w:val="000000"/>
          <w:sz w:val="20"/>
          <w:szCs w:val="20"/>
          <w:lang w:eastAsia="cs-CZ"/>
        </w:rPr>
        <w:t> </w:t>
      </w:r>
      <w:r w:rsidRPr="00537BA2">
        <w:rPr>
          <w:rFonts w:ascii="Tahoma" w:eastAsia="Times New Roman" w:hAnsi="Tahoma" w:cs="Tahoma"/>
          <w:color w:val="000000"/>
          <w:sz w:val="20"/>
          <w:szCs w:val="20"/>
          <w:lang w:eastAsia="cs-CZ"/>
        </w:rPr>
        <w:t>příjmů</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Zavedení stravovacího paušálu</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Zrušení limitu u daňového bonusu</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Prodloužení období pro bezúplatná plnění v boji s</w:t>
      </w:r>
      <w:r>
        <w:rPr>
          <w:rFonts w:ascii="Tahoma" w:eastAsia="Times New Roman" w:hAnsi="Tahoma" w:cs="Tahoma"/>
          <w:color w:val="000000"/>
          <w:sz w:val="20"/>
          <w:szCs w:val="20"/>
          <w:lang w:eastAsia="cs-CZ"/>
        </w:rPr>
        <w:t> </w:t>
      </w:r>
      <w:r w:rsidRPr="00537BA2">
        <w:rPr>
          <w:rFonts w:ascii="Tahoma" w:eastAsia="Times New Roman" w:hAnsi="Tahoma" w:cs="Tahoma"/>
          <w:color w:val="000000"/>
          <w:sz w:val="20"/>
          <w:szCs w:val="20"/>
          <w:lang w:eastAsia="cs-CZ"/>
        </w:rPr>
        <w:t>koronavirem</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Změny u odpisů</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Změny u DPH u komunálního odpadu</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Zvýšení spotřební daně z tabákových výrobků</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Snížení spotřební daně u motorové nafty</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Změny u místního koeficientu daně z nemovitých věcí</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Účetní závěrku půjde posílat skrze správce daně</w:t>
      </w:r>
    </w:p>
    <w:p w:rsidR="00537BA2" w:rsidRDefault="00537BA2" w:rsidP="00537BA2">
      <w:pPr>
        <w:pStyle w:val="Odstavecseseznamem"/>
        <w:numPr>
          <w:ilvl w:val="0"/>
          <w:numId w:val="41"/>
        </w:numPr>
        <w:jc w:val="both"/>
        <w:rPr>
          <w:rFonts w:ascii="Tahoma" w:eastAsia="Times New Roman" w:hAnsi="Tahoma" w:cs="Tahoma"/>
          <w:color w:val="000000"/>
          <w:sz w:val="20"/>
          <w:szCs w:val="20"/>
          <w:lang w:eastAsia="cs-CZ"/>
        </w:rPr>
      </w:pPr>
      <w:r w:rsidRPr="00537BA2">
        <w:rPr>
          <w:rFonts w:ascii="Tahoma" w:eastAsia="Times New Roman" w:hAnsi="Tahoma" w:cs="Tahoma"/>
          <w:color w:val="000000"/>
          <w:sz w:val="20"/>
          <w:szCs w:val="20"/>
          <w:lang w:eastAsia="cs-CZ"/>
        </w:rPr>
        <w:t>Vykazování dobíjení elektromobilů</w:t>
      </w:r>
    </w:p>
    <w:p w:rsidR="00537BA2" w:rsidRDefault="00537BA2" w:rsidP="00537BA2">
      <w:pPr>
        <w:jc w:val="both"/>
        <w:rPr>
          <w:rFonts w:ascii="Tahoma" w:eastAsia="Times New Roman" w:hAnsi="Tahoma" w:cs="Tahoma"/>
          <w:color w:val="000000"/>
          <w:sz w:val="20"/>
          <w:szCs w:val="20"/>
          <w:lang w:eastAsia="cs-CZ"/>
        </w:rPr>
      </w:pPr>
    </w:p>
    <w:p w:rsidR="00035275" w:rsidRPr="00035275" w:rsidRDefault="00537BA2" w:rsidP="00035275">
      <w:pPr>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Daňový balíček byl sledován a průběžně vyhodnocován daňovým specialistou.</w:t>
      </w:r>
    </w:p>
    <w:p w:rsidR="00434454" w:rsidRDefault="00434454" w:rsidP="00434454">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E29F2" w:rsidRDefault="004E29F2" w:rsidP="004E29F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E29F2">
        <w:rPr>
          <w:rStyle w:val="Hypertextovodkaz"/>
          <w:rFonts w:ascii="Tahoma" w:eastAsia="Times New Roman" w:hAnsi="Tahoma" w:cs="Tahoma"/>
          <w:b/>
          <w:bCs/>
          <w:color w:val="000000" w:themeColor="text1"/>
          <w:kern w:val="36"/>
          <w:sz w:val="24"/>
          <w:szCs w:val="24"/>
          <w:u w:val="none"/>
          <w:lang w:eastAsia="cs-CZ"/>
        </w:rPr>
        <w:t xml:space="preserve">Vyhláška č. 589/2020 Sb., o změně sazby základní náhrady za používání silničních motorových vozidel a stravného a o stanovení průměrné ceny pohonných hmot pro účely poskytování cestovních náhrad  </w:t>
      </w:r>
    </w:p>
    <w:p w:rsidR="004E29F2" w:rsidRDefault="00914508" w:rsidP="004E29F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4E29F2" w:rsidRPr="004E29F2" w:rsidRDefault="004E29F2" w:rsidP="004E29F2">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sidRPr="004E29F2">
        <w:rPr>
          <w:rStyle w:val="Hypertextovodkaz"/>
          <w:rFonts w:ascii="Tahoma" w:eastAsia="Times New Roman" w:hAnsi="Tahoma" w:cs="Tahoma"/>
          <w:bCs/>
          <w:color w:val="000000" w:themeColor="text1"/>
          <w:kern w:val="36"/>
          <w:sz w:val="20"/>
          <w:szCs w:val="24"/>
          <w:u w:val="none"/>
          <w:lang w:eastAsia="cs-CZ"/>
        </w:rPr>
        <w:t>Účinnost od 1.1.2021</w:t>
      </w:r>
    </w:p>
    <w:p w:rsidR="004E29F2" w:rsidRDefault="004E29F2" w:rsidP="004E29F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E29F2" w:rsidRDefault="004E29F2" w:rsidP="004E29F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 xml:space="preserve">Dne 31. 12. 2020 byla ve sbírce zákonů publikována nová vyhláška o </w:t>
      </w:r>
      <w:r w:rsidRPr="004E29F2">
        <w:rPr>
          <w:rStyle w:val="Hypertextovodkaz"/>
          <w:rFonts w:ascii="Tahoma" w:eastAsia="Times New Roman" w:hAnsi="Tahoma" w:cs="Tahoma"/>
          <w:bCs/>
          <w:color w:val="000000" w:themeColor="text1"/>
          <w:kern w:val="36"/>
          <w:sz w:val="20"/>
          <w:szCs w:val="24"/>
          <w:u w:val="none"/>
          <w:lang w:eastAsia="cs-CZ"/>
        </w:rPr>
        <w:t>o změně sazby základní náhrady za používání silničních motorových vozidel a stravného a o stanovení průměrné ceny pohonných hmot pro účely poskytování cestovních náhrad</w:t>
      </w:r>
      <w:r>
        <w:rPr>
          <w:rStyle w:val="Hypertextovodkaz"/>
          <w:rFonts w:ascii="Tahoma" w:eastAsia="Times New Roman" w:hAnsi="Tahoma" w:cs="Tahoma"/>
          <w:bCs/>
          <w:color w:val="000000" w:themeColor="text1"/>
          <w:kern w:val="36"/>
          <w:sz w:val="20"/>
          <w:szCs w:val="24"/>
          <w:u w:val="none"/>
          <w:lang w:eastAsia="cs-CZ"/>
        </w:rPr>
        <w:t xml:space="preserve">. </w:t>
      </w:r>
    </w:p>
    <w:p w:rsidR="004E29F2" w:rsidRDefault="004E29F2" w:rsidP="004E29F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E29F2" w:rsidRPr="00B90D2F" w:rsidRDefault="004E29F2" w:rsidP="00B90D2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B90D2F" w:rsidRPr="007105D2" w:rsidRDefault="00B90D2F" w:rsidP="00B90D2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7105D2">
        <w:rPr>
          <w:rStyle w:val="Hypertextovodkaz"/>
          <w:rFonts w:ascii="Tahoma" w:eastAsia="Times New Roman" w:hAnsi="Tahoma" w:cs="Tahoma"/>
          <w:b/>
          <w:bCs/>
          <w:color w:val="000000" w:themeColor="text1"/>
          <w:kern w:val="36"/>
          <w:sz w:val="24"/>
          <w:szCs w:val="24"/>
          <w:u w:val="none"/>
          <w:lang w:eastAsia="cs-CZ"/>
        </w:rPr>
        <w:t>Zákon č. 543/2020 Sb., kterým se mění některé zákony v souvislosti s přijetím zákona o odpadech a zákona o výrobcích s ukončenou životností</w:t>
      </w:r>
    </w:p>
    <w:p w:rsidR="00B90D2F" w:rsidRPr="007105D2" w:rsidRDefault="00914508" w:rsidP="00B90D2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1" style="width:0;height:1.5pt" o:hralign="center" o:hrstd="t" o:hr="t" fillcolor="#a0a0a0" stroked="f"/>
        </w:pict>
      </w:r>
    </w:p>
    <w:p w:rsidR="00B90D2F" w:rsidRPr="007105D2" w:rsidRDefault="00B90D2F" w:rsidP="00B90D2F">
      <w:pPr>
        <w:pStyle w:val="Bezmezer"/>
        <w:spacing w:line="360" w:lineRule="auto"/>
        <w:jc w:val="right"/>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Účinnost od 1.1.2021</w:t>
      </w:r>
    </w:p>
    <w:p w:rsidR="00B90D2F" w:rsidRPr="007105D2" w:rsidRDefault="00B90D2F" w:rsidP="007105D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7105D2" w:rsidRPr="007105D2" w:rsidRDefault="007105D2" w:rsidP="007105D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Změna zákona o zadávání veřejných zakázek zakotvuje explicitně do zákona č. 134/2016 Sb. (dále jen ZZVZ) povinnost pro zadavatele spočívající v </w:t>
      </w:r>
      <w:r w:rsidRPr="007105D2">
        <w:rPr>
          <w:rStyle w:val="Hypertextovodkaz"/>
          <w:rFonts w:ascii="Tahoma" w:eastAsia="Times New Roman" w:hAnsi="Tahoma" w:cs="Tahoma"/>
          <w:b/>
          <w:bCs/>
          <w:color w:val="000000" w:themeColor="text1"/>
          <w:kern w:val="36"/>
          <w:sz w:val="20"/>
          <w:szCs w:val="24"/>
          <w:lang w:eastAsia="cs-CZ"/>
        </w:rPr>
        <w:t xml:space="preserve">tzv. odpovědném veřejném zadávaní </w:t>
      </w:r>
      <w:r w:rsidRPr="007105D2">
        <w:rPr>
          <w:rStyle w:val="Hypertextovodkaz"/>
          <w:rFonts w:ascii="Tahoma" w:eastAsia="Times New Roman" w:hAnsi="Tahoma" w:cs="Tahoma"/>
          <w:bCs/>
          <w:color w:val="000000" w:themeColor="text1"/>
          <w:kern w:val="36"/>
          <w:sz w:val="20"/>
          <w:szCs w:val="24"/>
          <w:u w:val="none"/>
          <w:lang w:eastAsia="cs-CZ"/>
        </w:rPr>
        <w:t>v oblastech:</w:t>
      </w:r>
    </w:p>
    <w:p w:rsidR="007105D2" w:rsidRPr="007105D2" w:rsidRDefault="007105D2" w:rsidP="007105D2">
      <w:pPr>
        <w:pStyle w:val="Bezmezer"/>
        <w:numPr>
          <w:ilvl w:val="0"/>
          <w:numId w:val="42"/>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sociálně odpovědného zadávání;</w:t>
      </w:r>
    </w:p>
    <w:p w:rsidR="007105D2" w:rsidRPr="007105D2" w:rsidRDefault="007105D2" w:rsidP="007105D2">
      <w:pPr>
        <w:pStyle w:val="Bezmezer"/>
        <w:numPr>
          <w:ilvl w:val="0"/>
          <w:numId w:val="42"/>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environmentálně odpovědného zadávání;</w:t>
      </w:r>
    </w:p>
    <w:p w:rsidR="007105D2" w:rsidRDefault="007105D2" w:rsidP="007105D2">
      <w:pPr>
        <w:pStyle w:val="Bezmezer"/>
        <w:numPr>
          <w:ilvl w:val="0"/>
          <w:numId w:val="42"/>
        </w:numP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inovací</w:t>
      </w:r>
      <w:r>
        <w:rPr>
          <w:rStyle w:val="Hypertextovodkaz"/>
          <w:rFonts w:ascii="Tahoma" w:eastAsia="Times New Roman" w:hAnsi="Tahoma" w:cs="Tahoma"/>
          <w:bCs/>
          <w:color w:val="000000" w:themeColor="text1"/>
          <w:kern w:val="36"/>
          <w:sz w:val="20"/>
          <w:szCs w:val="24"/>
          <w:u w:val="none"/>
          <w:lang w:eastAsia="cs-CZ"/>
        </w:rPr>
        <w:t>.</w:t>
      </w:r>
    </w:p>
    <w:p w:rsidR="007105D2" w:rsidRPr="007105D2" w:rsidRDefault="007105D2" w:rsidP="007105D2">
      <w:pPr>
        <w:pStyle w:val="Bezmezer"/>
        <w:spacing w:line="360" w:lineRule="auto"/>
        <w:ind w:left="720"/>
        <w:jc w:val="both"/>
        <w:rPr>
          <w:rStyle w:val="Hypertextovodkaz"/>
          <w:rFonts w:ascii="Tahoma" w:eastAsia="Times New Roman" w:hAnsi="Tahoma" w:cs="Tahoma"/>
          <w:bCs/>
          <w:color w:val="000000" w:themeColor="text1"/>
          <w:kern w:val="36"/>
          <w:sz w:val="20"/>
          <w:szCs w:val="24"/>
          <w:u w:val="none"/>
          <w:lang w:eastAsia="cs-CZ"/>
        </w:rPr>
      </w:pPr>
    </w:p>
    <w:p w:rsidR="007105D2" w:rsidRPr="007105D2" w:rsidRDefault="007105D2" w:rsidP="007105D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Odpovědné veřejné zadávání se tak stává novou zásadou veřejného z</w:t>
      </w:r>
      <w:r>
        <w:rPr>
          <w:rStyle w:val="Hypertextovodkaz"/>
          <w:rFonts w:ascii="Tahoma" w:eastAsia="Times New Roman" w:hAnsi="Tahoma" w:cs="Tahoma"/>
          <w:bCs/>
          <w:color w:val="000000" w:themeColor="text1"/>
          <w:kern w:val="36"/>
          <w:sz w:val="20"/>
          <w:szCs w:val="24"/>
          <w:u w:val="none"/>
          <w:lang w:eastAsia="cs-CZ"/>
        </w:rPr>
        <w:t>a</w:t>
      </w:r>
      <w:r w:rsidRPr="007105D2">
        <w:rPr>
          <w:rStyle w:val="Hypertextovodkaz"/>
          <w:rFonts w:ascii="Tahoma" w:eastAsia="Times New Roman" w:hAnsi="Tahoma" w:cs="Tahoma"/>
          <w:bCs/>
          <w:color w:val="000000" w:themeColor="text1"/>
          <w:kern w:val="36"/>
          <w:sz w:val="20"/>
          <w:szCs w:val="24"/>
          <w:u w:val="none"/>
          <w:lang w:eastAsia="cs-CZ"/>
        </w:rPr>
        <w:t xml:space="preserve">dávání s tím, že zadavatelé tuto zásadu musí projevit při vytváření zadávacích podmínek, hodnocení nabídek a výběr dodavatele a svůj postup řádně odůvodnit. </w:t>
      </w:r>
    </w:p>
    <w:p w:rsidR="007105D2" w:rsidRDefault="007105D2" w:rsidP="007105D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7105D2" w:rsidRPr="007105D2" w:rsidRDefault="007105D2" w:rsidP="007105D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 xml:space="preserve">Novela neobsahuje přechodná ustanovení, tedy aplikuje se na nové </w:t>
      </w:r>
      <w:r>
        <w:rPr>
          <w:rStyle w:val="Hypertextovodkaz"/>
          <w:rFonts w:ascii="Tahoma" w:eastAsia="Times New Roman" w:hAnsi="Tahoma" w:cs="Tahoma"/>
          <w:bCs/>
          <w:color w:val="000000" w:themeColor="text1"/>
          <w:kern w:val="36"/>
          <w:sz w:val="20"/>
          <w:szCs w:val="24"/>
          <w:u w:val="none"/>
          <w:lang w:eastAsia="cs-CZ"/>
        </w:rPr>
        <w:t xml:space="preserve">i probíhající zadávací řízení. </w:t>
      </w:r>
      <w:r w:rsidRPr="007105D2">
        <w:rPr>
          <w:rStyle w:val="Hypertextovodkaz"/>
          <w:rFonts w:ascii="Tahoma" w:eastAsia="Times New Roman" w:hAnsi="Tahoma" w:cs="Tahoma"/>
          <w:bCs/>
          <w:color w:val="000000" w:themeColor="text1"/>
          <w:kern w:val="36"/>
          <w:sz w:val="20"/>
          <w:szCs w:val="24"/>
          <w:u w:val="none"/>
          <w:lang w:eastAsia="cs-CZ"/>
        </w:rPr>
        <w:t xml:space="preserve">Zásada odpovědného zadávání se aplikuje i na VZMR.  </w:t>
      </w:r>
    </w:p>
    <w:p w:rsidR="007105D2" w:rsidRPr="007105D2" w:rsidRDefault="007105D2" w:rsidP="007105D2">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7105D2" w:rsidRPr="007105D2" w:rsidRDefault="007105D2" w:rsidP="007105D2">
      <w:pPr>
        <w:pStyle w:val="Bezmezer"/>
        <w:shd w:val="clear" w:color="auto" w:fill="D9D9D9" w:themeFill="background1" w:themeFillShade="D9"/>
        <w:spacing w:line="360" w:lineRule="auto"/>
        <w:jc w:val="both"/>
        <w:rPr>
          <w:rStyle w:val="Hypertextovodkaz"/>
          <w:rFonts w:ascii="Tahoma" w:eastAsia="Times New Roman" w:hAnsi="Tahoma" w:cs="Tahoma"/>
          <w:b/>
          <w:bCs/>
          <w:color w:val="000000" w:themeColor="text1"/>
          <w:kern w:val="36"/>
          <w:sz w:val="20"/>
          <w:szCs w:val="24"/>
          <w:lang w:eastAsia="cs-CZ"/>
        </w:rPr>
      </w:pPr>
      <w:r w:rsidRPr="007105D2">
        <w:rPr>
          <w:rStyle w:val="Hypertextovodkaz"/>
          <w:rFonts w:ascii="Tahoma" w:eastAsia="Times New Roman" w:hAnsi="Tahoma" w:cs="Tahoma"/>
          <w:b/>
          <w:bCs/>
          <w:color w:val="000000" w:themeColor="text1"/>
          <w:kern w:val="36"/>
          <w:sz w:val="20"/>
          <w:szCs w:val="24"/>
          <w:lang w:eastAsia="cs-CZ"/>
        </w:rPr>
        <w:t>Věcné posouzení dopadů na ČEPRO ze strany OPS:</w:t>
      </w:r>
    </w:p>
    <w:p w:rsidR="007105D2" w:rsidRPr="007105D2" w:rsidRDefault="007105D2" w:rsidP="007105D2">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 xml:space="preserve">Novela dopadá do procesu upraveného Směrnicí 01/OCN/01/00/2018 Výběr dodavatele. </w:t>
      </w:r>
    </w:p>
    <w:p w:rsidR="007105D2" w:rsidRPr="007105D2" w:rsidRDefault="007105D2" w:rsidP="007105D2">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S ohledem na absenci přechodným ustanovení dopadá i na probíhající zadávací řízení, kdy je vhodné provést posouzení, zda nelze ještě projevit zásadu odpovědného veřejného zadávání do probíhajících řízení.</w:t>
      </w:r>
    </w:p>
    <w:p w:rsidR="007105D2" w:rsidRPr="007105D2" w:rsidRDefault="007105D2" w:rsidP="007105D2">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 xml:space="preserve">V případě zadávací řízení, které mají být zahájeny po účinnosti novely je nutné již zásadu odpovědného zadávání zohlednit a být schopen svůj postup odůvodnit. </w:t>
      </w:r>
    </w:p>
    <w:p w:rsidR="007105D2" w:rsidRPr="007105D2" w:rsidRDefault="007105D2" w:rsidP="007105D2">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Na základě novely ZZVZ se doporučuje</w:t>
      </w:r>
    </w:p>
    <w:p w:rsidR="007105D2" w:rsidRDefault="007105D2" w:rsidP="007105D2">
      <w:pPr>
        <w:pStyle w:val="Bezmezer"/>
        <w:numPr>
          <w:ilvl w:val="0"/>
          <w:numId w:val="43"/>
        </w:numPr>
        <w:shd w:val="clear" w:color="auto" w:fill="D9D9D9" w:themeFill="background1" w:themeFillShade="D9"/>
        <w:spacing w:line="360" w:lineRule="auto"/>
        <w:ind w:hanging="720"/>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provést kontrolu probíhajících řízení u zakázek podle ZZVZ  z pohledu dodržení zásady odpovědného zadává</w:t>
      </w:r>
      <w:r>
        <w:rPr>
          <w:rStyle w:val="Hypertextovodkaz"/>
          <w:rFonts w:ascii="Tahoma" w:eastAsia="Times New Roman" w:hAnsi="Tahoma" w:cs="Tahoma"/>
          <w:bCs/>
          <w:color w:val="000000" w:themeColor="text1"/>
          <w:kern w:val="36"/>
          <w:sz w:val="20"/>
          <w:szCs w:val="24"/>
          <w:u w:val="none"/>
          <w:lang w:eastAsia="cs-CZ"/>
        </w:rPr>
        <w:t xml:space="preserve">ní a jejího možného zohlednění </w:t>
      </w:r>
      <w:r w:rsidRPr="007105D2">
        <w:rPr>
          <w:rStyle w:val="Hypertextovodkaz"/>
          <w:rFonts w:ascii="Tahoma" w:eastAsia="Times New Roman" w:hAnsi="Tahoma" w:cs="Tahoma"/>
          <w:bCs/>
          <w:color w:val="000000" w:themeColor="text1"/>
          <w:kern w:val="36"/>
          <w:sz w:val="20"/>
          <w:szCs w:val="24"/>
          <w:u w:val="none"/>
          <w:lang w:eastAsia="cs-CZ"/>
        </w:rPr>
        <w:t>a učinit o této kontroly záznam v dokumentaci k VZ a případně provést úpravy zadávacích podmíne</w:t>
      </w:r>
      <w:r>
        <w:rPr>
          <w:rStyle w:val="Hypertextovodkaz"/>
          <w:rFonts w:ascii="Tahoma" w:eastAsia="Times New Roman" w:hAnsi="Tahoma" w:cs="Tahoma"/>
          <w:bCs/>
          <w:color w:val="000000" w:themeColor="text1"/>
          <w:kern w:val="36"/>
          <w:sz w:val="20"/>
          <w:szCs w:val="24"/>
          <w:u w:val="none"/>
          <w:lang w:eastAsia="cs-CZ"/>
        </w:rPr>
        <w:t xml:space="preserve">k – </w:t>
      </w:r>
      <w:r w:rsidRPr="007105D2">
        <w:rPr>
          <w:rStyle w:val="Hypertextovodkaz"/>
          <w:rFonts w:ascii="Tahoma" w:eastAsia="Times New Roman" w:hAnsi="Tahoma" w:cs="Tahoma"/>
          <w:b/>
          <w:bCs/>
          <w:color w:val="000000" w:themeColor="text1"/>
          <w:kern w:val="36"/>
          <w:sz w:val="20"/>
          <w:szCs w:val="24"/>
          <w:u w:val="none"/>
          <w:lang w:eastAsia="cs-CZ"/>
        </w:rPr>
        <w:t>odpovídá: OCN v kooperaci se žadateli, součinnost OPS</w:t>
      </w:r>
    </w:p>
    <w:p w:rsidR="007105D2" w:rsidRDefault="007105D2" w:rsidP="007105D2">
      <w:pPr>
        <w:pStyle w:val="Bezmezer"/>
        <w:shd w:val="clear" w:color="auto" w:fill="D9D9D9" w:themeFill="background1" w:themeFillShade="D9"/>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494BA1" w:rsidRPr="007105D2" w:rsidRDefault="007105D2" w:rsidP="007105D2">
      <w:pPr>
        <w:pStyle w:val="Bezmezer"/>
        <w:numPr>
          <w:ilvl w:val="0"/>
          <w:numId w:val="43"/>
        </w:numPr>
        <w:shd w:val="clear" w:color="auto" w:fill="D9D9D9" w:themeFill="background1" w:themeFillShade="D9"/>
        <w:spacing w:line="360" w:lineRule="auto"/>
        <w:ind w:hanging="720"/>
        <w:jc w:val="both"/>
        <w:rPr>
          <w:rStyle w:val="Hypertextovodkaz"/>
          <w:rFonts w:ascii="Tahoma" w:eastAsia="Times New Roman" w:hAnsi="Tahoma" w:cs="Tahoma"/>
          <w:bCs/>
          <w:color w:val="000000" w:themeColor="text1"/>
          <w:kern w:val="36"/>
          <w:sz w:val="20"/>
          <w:szCs w:val="24"/>
          <w:u w:val="none"/>
          <w:lang w:eastAsia="cs-CZ"/>
        </w:rPr>
      </w:pPr>
      <w:r w:rsidRPr="007105D2">
        <w:rPr>
          <w:rStyle w:val="Hypertextovodkaz"/>
          <w:rFonts w:ascii="Tahoma" w:eastAsia="Times New Roman" w:hAnsi="Tahoma" w:cs="Tahoma"/>
          <w:bCs/>
          <w:color w:val="000000" w:themeColor="text1"/>
          <w:kern w:val="36"/>
          <w:sz w:val="20"/>
          <w:szCs w:val="24"/>
          <w:u w:val="none"/>
          <w:lang w:eastAsia="cs-CZ"/>
        </w:rPr>
        <w:t>implementovat proces zohlednění zásady odpovědného zadávání v nových zadávacích řízení</w:t>
      </w:r>
      <w:r>
        <w:rPr>
          <w:rStyle w:val="Hypertextovodkaz"/>
          <w:rFonts w:ascii="Tahoma" w:eastAsia="Times New Roman" w:hAnsi="Tahoma" w:cs="Tahoma"/>
          <w:bCs/>
          <w:color w:val="000000" w:themeColor="text1"/>
          <w:kern w:val="36"/>
          <w:sz w:val="20"/>
          <w:szCs w:val="24"/>
          <w:u w:val="none"/>
          <w:lang w:eastAsia="cs-CZ"/>
        </w:rPr>
        <w:t>ch – tvorba „check-listu“</w:t>
      </w:r>
      <w:r w:rsidRPr="007105D2">
        <w:rPr>
          <w:rStyle w:val="Hypertextovodkaz"/>
          <w:rFonts w:ascii="Tahoma" w:eastAsia="Times New Roman" w:hAnsi="Tahoma" w:cs="Tahoma"/>
          <w:bCs/>
          <w:color w:val="000000" w:themeColor="text1"/>
          <w:kern w:val="36"/>
          <w:sz w:val="20"/>
          <w:szCs w:val="24"/>
          <w:u w:val="none"/>
          <w:lang w:eastAsia="cs-CZ"/>
        </w:rPr>
        <w:t xml:space="preserve">, případně úprava směrnice – </w:t>
      </w:r>
      <w:r w:rsidRPr="007105D2">
        <w:rPr>
          <w:rStyle w:val="Hypertextovodkaz"/>
          <w:rFonts w:ascii="Tahoma" w:eastAsia="Times New Roman" w:hAnsi="Tahoma" w:cs="Tahoma"/>
          <w:b/>
          <w:bCs/>
          <w:color w:val="000000" w:themeColor="text1"/>
          <w:kern w:val="36"/>
          <w:sz w:val="20"/>
          <w:szCs w:val="24"/>
          <w:u w:val="none"/>
          <w:lang w:eastAsia="cs-CZ"/>
        </w:rPr>
        <w:t>odpovídá: OCN ve spolupráci s OPS</w:t>
      </w:r>
      <w:r w:rsidRPr="007105D2">
        <w:rPr>
          <w:rStyle w:val="Hypertextovodkaz"/>
          <w:rFonts w:ascii="Tahoma" w:eastAsia="Times New Roman" w:hAnsi="Tahoma" w:cs="Tahoma"/>
          <w:bCs/>
          <w:color w:val="000000" w:themeColor="text1"/>
          <w:kern w:val="36"/>
          <w:sz w:val="20"/>
          <w:szCs w:val="24"/>
          <w:u w:val="none"/>
          <w:lang w:eastAsia="cs-CZ"/>
        </w:rPr>
        <w:t xml:space="preserve">  </w:t>
      </w:r>
    </w:p>
    <w:p w:rsidR="007105D2" w:rsidRDefault="007105D2" w:rsidP="007105D2">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160EC0" w:rsidRDefault="00160EC0" w:rsidP="007105D2">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7105D2" w:rsidRPr="002535C7" w:rsidRDefault="007105D2" w:rsidP="007105D2">
      <w:pPr>
        <w:pStyle w:val="Bezmezer"/>
        <w:spacing w:line="360" w:lineRule="auto"/>
        <w:jc w:val="both"/>
        <w:rPr>
          <w:rStyle w:val="Hypertextovodkaz"/>
          <w:rFonts w:ascii="Tahoma" w:eastAsia="Times New Roman" w:hAnsi="Tahoma" w:cs="Tahoma"/>
          <w:bCs/>
          <w:i/>
          <w:color w:val="000000" w:themeColor="text1"/>
          <w:kern w:val="36"/>
          <w:sz w:val="20"/>
          <w:szCs w:val="20"/>
          <w:u w:val="none"/>
          <w:lang w:eastAsia="cs-CZ"/>
        </w:rPr>
      </w:pPr>
    </w:p>
    <w:p w:rsidR="00DD4232" w:rsidRDefault="00DD4232" w:rsidP="005906EB">
      <w:pPr>
        <w:pStyle w:val="Bezmezer"/>
        <w:numPr>
          <w:ilvl w:val="0"/>
          <w:numId w:val="2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D4232" w:rsidRPr="00DB40CC" w:rsidRDefault="00DD4232" w:rsidP="00DD4232">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C55A70" w:rsidRDefault="00C55A70" w:rsidP="00DE312D">
      <w:pPr>
        <w:pStyle w:val="Bezmezer"/>
        <w:spacing w:line="360" w:lineRule="auto"/>
        <w:jc w:val="both"/>
        <w:rPr>
          <w:rFonts w:ascii="Tahoma" w:hAnsi="Tahoma" w:cs="Tahoma"/>
          <w:b/>
          <w:i/>
          <w:color w:val="000000" w:themeColor="text1"/>
          <w:sz w:val="18"/>
          <w:szCs w:val="18"/>
        </w:rPr>
      </w:pPr>
    </w:p>
    <w:p w:rsidR="00514132" w:rsidRPr="00514132" w:rsidRDefault="00514132" w:rsidP="00514132">
      <w:pPr>
        <w:pStyle w:val="Bezmezer"/>
        <w:jc w:val="both"/>
        <w:rPr>
          <w:rStyle w:val="Hypertextovodkaz"/>
          <w:rFonts w:ascii="Tahoma" w:eastAsia="Times New Roman" w:hAnsi="Tahoma" w:cs="Tahoma"/>
          <w:bCs/>
          <w:i/>
          <w:color w:val="000000" w:themeColor="text1"/>
          <w:kern w:val="36"/>
          <w:sz w:val="20"/>
          <w:szCs w:val="20"/>
          <w:u w:val="none"/>
          <w:lang w:eastAsia="cs-CZ"/>
        </w:rPr>
      </w:pPr>
      <w:r w:rsidRPr="00514132">
        <w:rPr>
          <w:rStyle w:val="Hypertextovodkaz"/>
          <w:rFonts w:ascii="Tahoma" w:eastAsia="Times New Roman" w:hAnsi="Tahoma" w:cs="Tahoma"/>
          <w:bCs/>
          <w:i/>
          <w:color w:val="000000" w:themeColor="text1"/>
          <w:kern w:val="36"/>
          <w:sz w:val="20"/>
          <w:szCs w:val="20"/>
          <w:u w:val="none"/>
          <w:lang w:eastAsia="cs-CZ"/>
        </w:rPr>
        <w:t xml:space="preserve">Ve sledovaném období nebyly předloženy žádné výstupy ke sledované legislativě. </w:t>
      </w:r>
    </w:p>
    <w:p w:rsidR="006450B7" w:rsidRPr="00514132"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Pr="00217FEC" w:rsidRDefault="006450B7" w:rsidP="00217FEC">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D8020C" w:rsidRDefault="00D8020C" w:rsidP="00BA315A">
      <w:pPr>
        <w:pStyle w:val="Bezmezer"/>
        <w:numPr>
          <w:ilvl w:val="0"/>
          <w:numId w:val="39"/>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8A3723" w:rsidRDefault="008A3723" w:rsidP="008A3723">
      <w:pPr>
        <w:pStyle w:val="Bezmezer"/>
        <w:spacing w:line="360" w:lineRule="auto"/>
        <w:jc w:val="both"/>
        <w:rPr>
          <w:rFonts w:ascii="Tahoma" w:hAnsi="Tahoma" w:cs="Tahoma"/>
          <w:b/>
          <w:i/>
          <w:color w:val="000000" w:themeColor="text1"/>
          <w:sz w:val="18"/>
          <w:szCs w:val="18"/>
        </w:rPr>
      </w:pPr>
    </w:p>
    <w:p w:rsidR="008A3723" w:rsidRPr="00514132" w:rsidRDefault="008A3723" w:rsidP="008A3723">
      <w:pPr>
        <w:pStyle w:val="Bezmezer"/>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Cs/>
          <w:i/>
          <w:color w:val="000000" w:themeColor="text1"/>
          <w:kern w:val="36"/>
          <w:sz w:val="20"/>
          <w:szCs w:val="20"/>
          <w:u w:val="none"/>
          <w:lang w:eastAsia="cs-CZ"/>
        </w:rPr>
        <w:t>Ve sledovaném období nebyla</w:t>
      </w:r>
      <w:r w:rsidRPr="00514132">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identifikována připravovaná legislativa k věcnému posouzení.</w:t>
      </w:r>
      <w:r w:rsidRPr="00514132">
        <w:rPr>
          <w:rStyle w:val="Hypertextovodkaz"/>
          <w:rFonts w:ascii="Tahoma" w:eastAsia="Times New Roman" w:hAnsi="Tahoma" w:cs="Tahoma"/>
          <w:bCs/>
          <w:i/>
          <w:color w:val="000000" w:themeColor="text1"/>
          <w:kern w:val="36"/>
          <w:sz w:val="20"/>
          <w:szCs w:val="20"/>
          <w:u w:val="none"/>
          <w:lang w:eastAsia="cs-CZ"/>
        </w:rPr>
        <w:t xml:space="preserve"> </w:t>
      </w:r>
    </w:p>
    <w:p w:rsidR="008A3723" w:rsidRPr="00514132" w:rsidRDefault="008A3723" w:rsidP="008A3723">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450B7" w:rsidRDefault="006450B7"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217FEC" w:rsidRPr="0063608A" w:rsidRDefault="00217FEC" w:rsidP="00BA315A">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BA315A" w:rsidRDefault="00BA315A" w:rsidP="00BA315A">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t>Aktuální stanoviska a judikatura</w:t>
      </w:r>
    </w:p>
    <w:p w:rsidR="00BA315A" w:rsidRDefault="00BA315A" w:rsidP="00BA315A">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BA315A" w:rsidRPr="00374BCE" w:rsidRDefault="00E4476D" w:rsidP="00901E8D">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374BCE">
        <w:rPr>
          <w:rStyle w:val="Hypertextovodkaz"/>
          <w:rFonts w:ascii="Tahoma" w:eastAsia="Times New Roman" w:hAnsi="Tahoma" w:cs="Tahoma"/>
          <w:b/>
          <w:bCs/>
          <w:color w:val="000000" w:themeColor="text1"/>
          <w:kern w:val="36"/>
          <w:sz w:val="24"/>
          <w:szCs w:val="24"/>
          <w:u w:val="none"/>
          <w:lang w:eastAsia="cs-CZ"/>
        </w:rPr>
        <w:t>Trest zákazu činnosti pro právnické osoby</w:t>
      </w:r>
      <w:r w:rsidR="00914508">
        <w:rPr>
          <w:rStyle w:val="Hypertextovodkaz"/>
          <w:rFonts w:ascii="Tahoma" w:eastAsia="Times New Roman" w:hAnsi="Tahoma" w:cs="Tahoma"/>
          <w:b/>
          <w:bCs/>
          <w:color w:val="000000" w:themeColor="text1"/>
          <w:kern w:val="36"/>
          <w:sz w:val="24"/>
          <w:szCs w:val="24"/>
          <w:u w:val="none"/>
          <w:lang w:eastAsia="cs-CZ"/>
        </w:rPr>
        <w:pict>
          <v:rect id="_x0000_i1032" style="width:0;height:1.5pt" o:hralign="center" o:hrstd="t" o:hr="t" fillcolor="#a0a0a0" stroked="f"/>
        </w:pict>
      </w:r>
    </w:p>
    <w:p w:rsidR="00BA315A" w:rsidRPr="00374BCE" w:rsidRDefault="00B45331" w:rsidP="00BA31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374BCE">
        <w:rPr>
          <w:rStyle w:val="Hypertextovodkaz"/>
          <w:rFonts w:ascii="Tahoma" w:eastAsia="Times New Roman" w:hAnsi="Tahoma" w:cs="Tahoma"/>
          <w:bCs/>
          <w:color w:val="000000" w:themeColor="text1"/>
          <w:kern w:val="36"/>
          <w:sz w:val="20"/>
          <w:szCs w:val="20"/>
          <w:u w:val="none"/>
          <w:lang w:eastAsia="cs-CZ"/>
        </w:rPr>
        <w:t>Nejvyšší soud sp. zn. 7 Tdo 1427/2019</w:t>
      </w:r>
    </w:p>
    <w:p w:rsidR="00BA315A" w:rsidRPr="00374BCE" w:rsidRDefault="00BA315A" w:rsidP="00BA315A">
      <w:pPr>
        <w:pStyle w:val="Bezmezer"/>
        <w:spacing w:line="360" w:lineRule="auto"/>
        <w:jc w:val="both"/>
        <w:rPr>
          <w:rFonts w:ascii="Tahoma" w:hAnsi="Tahoma" w:cs="Tahoma"/>
          <w:color w:val="000000" w:themeColor="text1"/>
          <w:sz w:val="18"/>
          <w:szCs w:val="18"/>
        </w:rPr>
      </w:pPr>
    </w:p>
    <w:p w:rsidR="00374BCE" w:rsidRPr="00374BCE" w:rsidRDefault="00374BCE" w:rsidP="00374BCE">
      <w:pPr>
        <w:pStyle w:val="Bezmezer"/>
        <w:spacing w:line="360" w:lineRule="auto"/>
        <w:jc w:val="both"/>
        <w:rPr>
          <w:rFonts w:ascii="Tahoma" w:hAnsi="Tahoma" w:cs="Tahoma"/>
          <w:color w:val="000000" w:themeColor="text1"/>
          <w:sz w:val="18"/>
          <w:szCs w:val="18"/>
        </w:rPr>
      </w:pPr>
      <w:r w:rsidRPr="00374BCE">
        <w:rPr>
          <w:rFonts w:ascii="Tahoma" w:hAnsi="Tahoma" w:cs="Tahoma"/>
          <w:color w:val="000000" w:themeColor="text1"/>
          <w:sz w:val="18"/>
          <w:szCs w:val="18"/>
        </w:rPr>
        <w:t xml:space="preserve">Trestem zákazu činnosti podle § 20 odst. 1 </w:t>
      </w:r>
      <w:r>
        <w:rPr>
          <w:rFonts w:ascii="Tahoma" w:hAnsi="Tahoma" w:cs="Tahoma"/>
          <w:color w:val="000000" w:themeColor="text1"/>
          <w:sz w:val="18"/>
          <w:szCs w:val="18"/>
        </w:rPr>
        <w:t>TOPO</w:t>
      </w:r>
      <w:r w:rsidRPr="00374BCE">
        <w:rPr>
          <w:rFonts w:ascii="Tahoma" w:hAnsi="Tahoma" w:cs="Tahoma"/>
          <w:color w:val="000000" w:themeColor="text1"/>
          <w:sz w:val="18"/>
          <w:szCs w:val="18"/>
        </w:rPr>
        <w:t xml:space="preserve"> lze právnické osobě zakázat jen tu činnost, v souvislosti s níž se dopustila trestného činu. </w:t>
      </w:r>
      <w:r w:rsidRPr="00CE483A">
        <w:rPr>
          <w:rFonts w:ascii="Tahoma" w:hAnsi="Tahoma" w:cs="Tahoma"/>
          <w:b/>
          <w:color w:val="000000" w:themeColor="text1"/>
          <w:sz w:val="18"/>
          <w:szCs w:val="18"/>
        </w:rPr>
        <w:t>Uložený trest není možno vymezit jako zákaz jakékoli činnosti právnické osoby bez bližší specifikace druhu této činnosti.</w:t>
      </w:r>
      <w:r w:rsidRPr="00374BCE">
        <w:rPr>
          <w:rFonts w:ascii="Tahoma" w:hAnsi="Tahoma" w:cs="Tahoma"/>
          <w:color w:val="000000" w:themeColor="text1"/>
          <w:sz w:val="18"/>
          <w:szCs w:val="18"/>
        </w:rPr>
        <w:t xml:space="preserve"> Obecné vymezení činnosti, jejíž výkon lze zakázat, obsahuje ustanovení § 73 odst. 3 tr. zákoníku, z něhož se ovšem u právnických osob s ohledem na § 1 odst. 2 </w:t>
      </w:r>
      <w:r w:rsidR="00CE483A">
        <w:rPr>
          <w:rFonts w:ascii="Tahoma" w:hAnsi="Tahoma" w:cs="Tahoma"/>
          <w:color w:val="000000" w:themeColor="text1"/>
          <w:sz w:val="18"/>
          <w:szCs w:val="18"/>
        </w:rPr>
        <w:t>TOPO</w:t>
      </w:r>
      <w:r w:rsidRPr="00374BCE">
        <w:rPr>
          <w:rFonts w:ascii="Tahoma" w:hAnsi="Tahoma" w:cs="Tahoma"/>
          <w:color w:val="000000" w:themeColor="text1"/>
          <w:sz w:val="18"/>
          <w:szCs w:val="18"/>
        </w:rPr>
        <w:t xml:space="preserve"> uplatní jen ta část, kde jde o výkon určité funkce nebo takové činnosti, ke které je třeba zvláštního povolení, nebo jejíž výkon upravuje jiný právní předpis.</w:t>
      </w:r>
    </w:p>
    <w:p w:rsidR="00291DE2" w:rsidRDefault="00291DE2">
      <w:pPr>
        <w:rPr>
          <w:rStyle w:val="Hypertextovodkaz"/>
          <w:rFonts w:ascii="Tahoma" w:hAnsi="Tahoma" w:cs="Tahoma"/>
          <w:b/>
          <w:color w:val="000000" w:themeColor="text1"/>
          <w:kern w:val="36"/>
          <w:sz w:val="24"/>
          <w:szCs w:val="24"/>
          <w:u w:val="none"/>
          <w:lang w:eastAsia="cs-CZ"/>
        </w:rPr>
        <w:sectPr w:rsidR="00291DE2" w:rsidSect="00024EFD">
          <w:footerReference w:type="default" r:id="rId10"/>
          <w:pgSz w:w="11906" w:h="16838"/>
          <w:pgMar w:top="1417" w:right="1417" w:bottom="1417" w:left="1417" w:header="708" w:footer="708" w:gutter="0"/>
          <w:pgNumType w:start="1"/>
          <w:cols w:space="708"/>
          <w:docGrid w:linePitch="360"/>
        </w:sectPr>
      </w:pPr>
    </w:p>
    <w:p w:rsidR="00624927" w:rsidRDefault="00624927" w:rsidP="00624927">
      <w:pPr>
        <w:pStyle w:val="Bezmezer"/>
        <w:numPr>
          <w:ilvl w:val="0"/>
          <w:numId w:val="28"/>
        </w:numPr>
        <w:shd w:val="clear" w:color="auto" w:fill="CCFFCC"/>
        <w:spacing w:line="360" w:lineRule="auto"/>
        <w:jc w:val="center"/>
        <w:rPr>
          <w:rFonts w:ascii="Tahoma" w:hAnsi="Tahoma" w:cs="Tahoma"/>
          <w:b/>
          <w:sz w:val="28"/>
          <w:szCs w:val="20"/>
        </w:rPr>
      </w:pPr>
      <w:r>
        <w:rPr>
          <w:rFonts w:ascii="Tahoma" w:hAnsi="Tahoma" w:cs="Tahoma"/>
          <w:b/>
          <w:sz w:val="28"/>
          <w:szCs w:val="20"/>
        </w:rPr>
        <w:t>Legislativní plán 2021</w:t>
      </w:r>
      <w:r w:rsidR="00514132">
        <w:rPr>
          <w:rFonts w:ascii="Tahoma" w:hAnsi="Tahoma" w:cs="Tahoma"/>
          <w:b/>
          <w:sz w:val="28"/>
          <w:szCs w:val="20"/>
        </w:rPr>
        <w:t xml:space="preserve"> -</w:t>
      </w:r>
      <w:r w:rsidR="00514132" w:rsidRPr="00B90D2F">
        <w:rPr>
          <w:rFonts w:ascii="Tahoma" w:hAnsi="Tahoma" w:cs="Tahoma"/>
          <w:b/>
          <w:color w:val="FF0000"/>
          <w:sz w:val="28"/>
          <w:szCs w:val="20"/>
        </w:rPr>
        <w:t xml:space="preserve"> aktualizace</w:t>
      </w:r>
    </w:p>
    <w:p w:rsidR="00624927" w:rsidRDefault="00624927" w:rsidP="00761C7D">
      <w:pPr>
        <w:pStyle w:val="Bezmezer"/>
        <w:spacing w:line="360" w:lineRule="auto"/>
        <w:jc w:val="both"/>
        <w:rPr>
          <w:rStyle w:val="Hypertextovodkaz"/>
          <w:rFonts w:ascii="Tahoma" w:hAnsi="Tahoma" w:cs="Tahoma"/>
          <w:b/>
          <w:color w:val="000000" w:themeColor="text1"/>
          <w:kern w:val="36"/>
          <w:sz w:val="24"/>
          <w:szCs w:val="24"/>
          <w:u w:val="none"/>
          <w:lang w:eastAsia="cs-CZ"/>
        </w:rPr>
      </w:pPr>
    </w:p>
    <w:tbl>
      <w:tblPr>
        <w:tblW w:w="1407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1"/>
        <w:gridCol w:w="6692"/>
        <w:gridCol w:w="1250"/>
        <w:gridCol w:w="4856"/>
      </w:tblGrid>
      <w:tr w:rsidR="00291DE2" w:rsidRPr="00131618" w:rsidTr="001A6F8F">
        <w:trPr>
          <w:trHeight w:val="1069"/>
        </w:trPr>
        <w:tc>
          <w:tcPr>
            <w:tcW w:w="1281" w:type="dxa"/>
            <w:shd w:val="clear" w:color="auto" w:fill="D9D9D9" w:themeFill="background1" w:themeFillShade="D9"/>
          </w:tcPr>
          <w:p w:rsidR="00291DE2" w:rsidRPr="002D46CD" w:rsidRDefault="00291DE2" w:rsidP="00705F2E">
            <w:pPr>
              <w:jc w:val="center"/>
              <w:rPr>
                <w:rFonts w:ascii="Arial" w:hAnsi="Arial" w:cs="Arial"/>
                <w:b/>
                <w:sz w:val="16"/>
                <w:szCs w:val="16"/>
              </w:rPr>
            </w:pPr>
          </w:p>
          <w:p w:rsidR="00291DE2" w:rsidRPr="002D46CD" w:rsidRDefault="00291DE2" w:rsidP="00705F2E">
            <w:pPr>
              <w:jc w:val="center"/>
              <w:rPr>
                <w:rFonts w:ascii="Arial" w:hAnsi="Arial" w:cs="Arial"/>
                <w:b/>
                <w:sz w:val="16"/>
                <w:szCs w:val="16"/>
              </w:rPr>
            </w:pPr>
          </w:p>
          <w:p w:rsidR="00291DE2" w:rsidRPr="002D46CD" w:rsidRDefault="00291DE2" w:rsidP="00705F2E">
            <w:pPr>
              <w:jc w:val="center"/>
              <w:rPr>
                <w:rFonts w:ascii="Arial" w:hAnsi="Arial" w:cs="Arial"/>
                <w:b/>
                <w:sz w:val="16"/>
                <w:szCs w:val="16"/>
              </w:rPr>
            </w:pPr>
            <w:r w:rsidRPr="002D46CD">
              <w:rPr>
                <w:rFonts w:ascii="Arial" w:hAnsi="Arial" w:cs="Arial"/>
                <w:b/>
                <w:sz w:val="16"/>
                <w:szCs w:val="16"/>
              </w:rPr>
              <w:t>Odpovědný útvar</w:t>
            </w:r>
          </w:p>
        </w:tc>
        <w:tc>
          <w:tcPr>
            <w:tcW w:w="6692" w:type="dxa"/>
            <w:shd w:val="clear" w:color="auto" w:fill="E0E0E0"/>
            <w:vAlign w:val="center"/>
          </w:tcPr>
          <w:p w:rsidR="00291DE2" w:rsidRPr="002D46CD" w:rsidRDefault="00291DE2" w:rsidP="00705F2E">
            <w:pPr>
              <w:jc w:val="center"/>
              <w:rPr>
                <w:rFonts w:ascii="Arial" w:hAnsi="Arial" w:cs="Arial"/>
                <w:b/>
                <w:sz w:val="16"/>
                <w:szCs w:val="16"/>
              </w:rPr>
            </w:pPr>
            <w:r w:rsidRPr="002D46CD">
              <w:rPr>
                <w:rFonts w:ascii="Arial" w:hAnsi="Arial" w:cs="Arial"/>
                <w:b/>
                <w:sz w:val="16"/>
                <w:szCs w:val="16"/>
              </w:rPr>
              <w:t>Název legislativního úkolu</w:t>
            </w:r>
          </w:p>
        </w:tc>
        <w:tc>
          <w:tcPr>
            <w:tcW w:w="1250" w:type="dxa"/>
            <w:shd w:val="clear" w:color="auto" w:fill="E0E0E0"/>
            <w:vAlign w:val="center"/>
          </w:tcPr>
          <w:p w:rsidR="00291DE2" w:rsidRPr="002D46CD" w:rsidRDefault="00291DE2" w:rsidP="00705F2E">
            <w:pPr>
              <w:jc w:val="center"/>
              <w:rPr>
                <w:rFonts w:ascii="Arial" w:hAnsi="Arial" w:cs="Arial"/>
                <w:b/>
                <w:sz w:val="16"/>
                <w:szCs w:val="16"/>
              </w:rPr>
            </w:pPr>
            <w:r w:rsidRPr="002D46CD">
              <w:rPr>
                <w:rFonts w:ascii="Arial" w:hAnsi="Arial" w:cs="Arial"/>
                <w:b/>
                <w:sz w:val="16"/>
                <w:szCs w:val="16"/>
              </w:rPr>
              <w:t>Stanovený termín předložení vládě</w:t>
            </w:r>
          </w:p>
        </w:tc>
        <w:tc>
          <w:tcPr>
            <w:tcW w:w="4856" w:type="dxa"/>
            <w:shd w:val="clear" w:color="auto" w:fill="E0E0E0"/>
            <w:vAlign w:val="center"/>
          </w:tcPr>
          <w:p w:rsidR="00291DE2" w:rsidRPr="002D46CD" w:rsidRDefault="00291DE2" w:rsidP="00705F2E">
            <w:pPr>
              <w:jc w:val="center"/>
              <w:rPr>
                <w:rFonts w:ascii="Arial" w:hAnsi="Arial" w:cs="Arial"/>
                <w:b/>
                <w:sz w:val="16"/>
                <w:szCs w:val="16"/>
              </w:rPr>
            </w:pPr>
            <w:r w:rsidRPr="002D46CD">
              <w:rPr>
                <w:rFonts w:ascii="Arial" w:hAnsi="Arial" w:cs="Arial"/>
                <w:b/>
                <w:sz w:val="16"/>
                <w:szCs w:val="16"/>
              </w:rPr>
              <w:t>Cíl návrhu právního předpisu</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4E6380" w:rsidP="00705F2E">
            <w:pPr>
              <w:jc w:val="center"/>
              <w:rPr>
                <w:rFonts w:ascii="Tahoma" w:hAnsi="Tahoma" w:cs="Tahoma"/>
                <w:sz w:val="20"/>
                <w:szCs w:val="20"/>
              </w:rPr>
            </w:pPr>
            <w:r>
              <w:rPr>
                <w:rFonts w:ascii="Tahoma" w:hAnsi="Tahoma" w:cs="Tahoma"/>
                <w:sz w:val="20"/>
                <w:szCs w:val="20"/>
              </w:rPr>
              <w:t>O</w:t>
            </w:r>
            <w:r w:rsidR="00291DE2">
              <w:rPr>
                <w:rFonts w:ascii="Tahoma" w:hAnsi="Tahoma" w:cs="Tahoma"/>
                <w:sz w:val="20"/>
                <w:szCs w:val="20"/>
              </w:rPr>
              <w:t>dbor dopravy</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zákona, kterým se mění zákon č. 13/1997 Sb., o pozemních komunikacích, ve znění pozdějších předpisů</w:t>
            </w:r>
          </w:p>
        </w:tc>
        <w:tc>
          <w:tcPr>
            <w:tcW w:w="1250" w:type="dxa"/>
            <w:shd w:val="clear" w:color="auto" w:fill="auto"/>
            <w:vAlign w:val="center"/>
          </w:tcPr>
          <w:p w:rsidR="00291DE2" w:rsidRDefault="00291DE2" w:rsidP="00705F2E">
            <w:pPr>
              <w:jc w:val="center"/>
              <w:rPr>
                <w:rFonts w:ascii="Arial" w:hAnsi="Arial" w:cs="Arial"/>
                <w:sz w:val="18"/>
                <w:szCs w:val="18"/>
              </w:rPr>
            </w:pPr>
            <w:r>
              <w:rPr>
                <w:rFonts w:ascii="Arial" w:hAnsi="Arial" w:cs="Arial"/>
                <w:sz w:val="18"/>
                <w:szCs w:val="18"/>
              </w:rPr>
              <w:t>01.21</w:t>
            </w:r>
          </w:p>
        </w:tc>
        <w:tc>
          <w:tcPr>
            <w:tcW w:w="4856" w:type="dxa"/>
            <w:shd w:val="clear" w:color="auto" w:fill="auto"/>
            <w:vAlign w:val="center"/>
          </w:tcPr>
          <w:p w:rsidR="00291DE2" w:rsidRPr="00FC6C22" w:rsidRDefault="00291DE2" w:rsidP="00705F2E">
            <w:pPr>
              <w:rPr>
                <w:rFonts w:ascii="Arial" w:hAnsi="Arial" w:cs="Arial"/>
                <w:sz w:val="18"/>
                <w:szCs w:val="18"/>
              </w:rPr>
            </w:pPr>
            <w:r w:rsidRPr="00FC6C22">
              <w:rPr>
                <w:rFonts w:ascii="Arial" w:hAnsi="Arial" w:cs="Arial"/>
                <w:sz w:val="18"/>
                <w:szCs w:val="18"/>
              </w:rPr>
              <w:t>Zajištění souladu zákona o pozemních komunikacích se směrnicí 2019/1936 a směrnicí 2019/520 a tím naplnění povinností České republiky z těchto směrnic vyplývajících. Cílem je zvýšení bezpečnosti pozemních komunikací, zajištění technické a provozní propojenosti elektronických systémů pro výběr mýtného a usnadnění přeshraniční výměny informací týkajících se dlužného mýtného, resp. veškerých silničních poplatků.</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OPS + OŘLZ</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zákona, kterým se mění zákon č. 262/2006 Sb., zákoník práce, ve znění pozdějších předpisů, a další související předpisy</w:t>
            </w:r>
          </w:p>
        </w:tc>
        <w:tc>
          <w:tcPr>
            <w:tcW w:w="1250" w:type="dxa"/>
            <w:shd w:val="clear" w:color="auto" w:fill="auto"/>
            <w:vAlign w:val="center"/>
          </w:tcPr>
          <w:p w:rsidR="00291DE2" w:rsidRPr="002D46CD" w:rsidRDefault="00291DE2" w:rsidP="00705F2E">
            <w:pPr>
              <w:jc w:val="center"/>
              <w:rPr>
                <w:rFonts w:ascii="Arial" w:hAnsi="Arial" w:cs="Arial"/>
                <w:sz w:val="18"/>
                <w:szCs w:val="18"/>
              </w:rPr>
            </w:pPr>
            <w:r w:rsidRPr="002D46CD">
              <w:rPr>
                <w:rFonts w:ascii="Arial" w:hAnsi="Arial" w:cs="Arial"/>
                <w:sz w:val="18"/>
                <w:szCs w:val="18"/>
              </w:rPr>
              <w:t>01.21</w:t>
            </w:r>
          </w:p>
        </w:tc>
        <w:tc>
          <w:tcPr>
            <w:tcW w:w="4856" w:type="dxa"/>
            <w:shd w:val="clear" w:color="auto" w:fill="auto"/>
            <w:vAlign w:val="center"/>
          </w:tcPr>
          <w:p w:rsidR="00291DE2" w:rsidRPr="002D46CD" w:rsidRDefault="00291DE2" w:rsidP="00705F2E">
            <w:pPr>
              <w:rPr>
                <w:rFonts w:ascii="Arial" w:hAnsi="Arial" w:cs="Arial"/>
                <w:sz w:val="18"/>
                <w:szCs w:val="18"/>
              </w:rPr>
            </w:pPr>
            <w:r w:rsidRPr="002D46CD">
              <w:rPr>
                <w:rFonts w:ascii="Arial" w:hAnsi="Arial" w:cs="Arial"/>
                <w:sz w:val="18"/>
                <w:szCs w:val="18"/>
              </w:rPr>
              <w:t xml:space="preserve">Cílem návrhu zákona je provést transpozici směrnice </w:t>
            </w:r>
            <w:r w:rsidRPr="002D46CD">
              <w:rPr>
                <w:rStyle w:val="Siln"/>
                <w:rFonts w:ascii="Arial" w:hAnsi="Arial" w:cs="Arial"/>
                <w:b w:val="0"/>
                <w:sz w:val="18"/>
                <w:szCs w:val="18"/>
              </w:rPr>
              <w:t>Evropského parlamentu a Rady (EU) 20109/1158 ze dne 20. června 2019 o rovnováze mezi pracovním a soukromým životem rodičů a pečujících osob a o zrušení směrnice Rady 2010/18/EU a směrnice Evropského parlamentu a Rady (EU) 2019/1152 ze dne 20. června 2019 o transparentních a předvídatelných pracovních podmínkách v Evropské unii.</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FÚ</w:t>
            </w:r>
          </w:p>
        </w:tc>
        <w:tc>
          <w:tcPr>
            <w:tcW w:w="6692" w:type="dxa"/>
            <w:shd w:val="clear" w:color="auto" w:fill="auto"/>
            <w:vAlign w:val="center"/>
          </w:tcPr>
          <w:p w:rsidR="00291DE2" w:rsidRDefault="00291DE2" w:rsidP="00705F2E">
            <w:pPr>
              <w:rPr>
                <w:rFonts w:ascii="Arial" w:hAnsi="Arial" w:cs="Arial"/>
                <w:sz w:val="18"/>
                <w:szCs w:val="18"/>
              </w:rPr>
            </w:pPr>
            <w:r w:rsidRPr="002966CC">
              <w:rPr>
                <w:rFonts w:ascii="Arial" w:hAnsi="Arial" w:cs="Arial"/>
                <w:sz w:val="18"/>
                <w:szCs w:val="18"/>
              </w:rPr>
              <w:t>Návrh zákona, kterým se mění zákon č. 353/2003 Sb., o</w:t>
            </w:r>
            <w:r>
              <w:rPr>
                <w:rFonts w:ascii="Arial" w:hAnsi="Arial" w:cs="Arial"/>
                <w:sz w:val="18"/>
                <w:szCs w:val="18"/>
              </w:rPr>
              <w:t> </w:t>
            </w:r>
            <w:r w:rsidRPr="002966CC">
              <w:rPr>
                <w:rFonts w:ascii="Arial" w:hAnsi="Arial" w:cs="Arial"/>
                <w:sz w:val="18"/>
                <w:szCs w:val="18"/>
              </w:rPr>
              <w:t>spotřebních daních, ve znění pozdějších předpisů, a</w:t>
            </w:r>
            <w:r>
              <w:rPr>
                <w:rFonts w:ascii="Arial" w:hAnsi="Arial" w:cs="Arial"/>
                <w:sz w:val="18"/>
                <w:szCs w:val="18"/>
              </w:rPr>
              <w:t> </w:t>
            </w:r>
            <w:r w:rsidRPr="002966CC">
              <w:rPr>
                <w:rFonts w:ascii="Arial" w:hAnsi="Arial" w:cs="Arial"/>
                <w:sz w:val="18"/>
                <w:szCs w:val="18"/>
              </w:rPr>
              <w:t>některé další zákony</w:t>
            </w:r>
            <w:r w:rsidRPr="002966CC">
              <w:rPr>
                <w:sz w:val="18"/>
                <w:szCs w:val="18"/>
              </w:rPr>
              <w:t xml:space="preserve"> </w:t>
            </w:r>
            <w:r w:rsidRPr="002966CC">
              <w:rPr>
                <w:rFonts w:ascii="Arial" w:hAnsi="Arial" w:cs="Arial"/>
                <w:sz w:val="18"/>
                <w:szCs w:val="18"/>
              </w:rPr>
              <w:t xml:space="preserve"> </w:t>
            </w:r>
          </w:p>
        </w:tc>
        <w:tc>
          <w:tcPr>
            <w:tcW w:w="1250" w:type="dxa"/>
            <w:shd w:val="clear" w:color="auto" w:fill="auto"/>
            <w:vAlign w:val="center"/>
          </w:tcPr>
          <w:p w:rsidR="00291DE2" w:rsidRPr="002D46CD" w:rsidRDefault="00291DE2" w:rsidP="00705F2E">
            <w:pPr>
              <w:jc w:val="center"/>
              <w:rPr>
                <w:rFonts w:ascii="Arial" w:hAnsi="Arial" w:cs="Arial"/>
                <w:sz w:val="18"/>
                <w:szCs w:val="18"/>
              </w:rPr>
            </w:pPr>
            <w:r w:rsidRPr="002D46CD">
              <w:rPr>
                <w:rFonts w:ascii="Arial" w:hAnsi="Arial" w:cs="Arial"/>
                <w:sz w:val="18"/>
                <w:szCs w:val="18"/>
              </w:rPr>
              <w:t>02.21</w:t>
            </w:r>
          </w:p>
        </w:tc>
        <w:tc>
          <w:tcPr>
            <w:tcW w:w="4856" w:type="dxa"/>
            <w:shd w:val="clear" w:color="auto" w:fill="auto"/>
            <w:vAlign w:val="center"/>
          </w:tcPr>
          <w:p w:rsidR="00291DE2" w:rsidRPr="002D46CD" w:rsidRDefault="00291DE2" w:rsidP="00705F2E">
            <w:pPr>
              <w:rPr>
                <w:rFonts w:ascii="Arial" w:hAnsi="Arial" w:cs="Arial"/>
                <w:sz w:val="18"/>
                <w:szCs w:val="18"/>
              </w:rPr>
            </w:pPr>
            <w:r w:rsidRPr="002D46CD">
              <w:rPr>
                <w:rFonts w:ascii="Arial" w:hAnsi="Arial" w:cs="Arial"/>
                <w:sz w:val="18"/>
                <w:szCs w:val="18"/>
              </w:rPr>
              <w:t>Plná transpozice směrnice o obecné úpravě spotřebních daní, alkoholové směrnice a směrnice o společném obranném úsilí. V případě e-VDO se jedná o snížení administrativní zátěže na straně dotčených subjektů, zjednodušení správy daní a předcházení daňovým únikům. Pokud jde o denaturaci lihu, cílem je úprava mechanismů pro uplatnění osvobození od daně a předcházení daňovým únikům.</w:t>
            </w:r>
          </w:p>
          <w:p w:rsidR="00291DE2" w:rsidRPr="002D46CD" w:rsidRDefault="00291DE2" w:rsidP="00705F2E">
            <w:pPr>
              <w:rPr>
                <w:rFonts w:ascii="Arial" w:hAnsi="Arial" w:cs="Arial"/>
                <w:sz w:val="18"/>
                <w:szCs w:val="18"/>
              </w:rPr>
            </w:pPr>
          </w:p>
          <w:p w:rsidR="00291DE2" w:rsidRPr="002D46CD" w:rsidRDefault="00291DE2" w:rsidP="00705F2E">
            <w:pPr>
              <w:rPr>
                <w:rFonts w:ascii="Arial" w:hAnsi="Arial" w:cs="Arial"/>
                <w:sz w:val="18"/>
                <w:szCs w:val="18"/>
              </w:rPr>
            </w:pPr>
            <w:r w:rsidRPr="002D46CD">
              <w:rPr>
                <w:rFonts w:ascii="Arial" w:hAnsi="Arial" w:cs="Arial"/>
                <w:sz w:val="18"/>
                <w:szCs w:val="18"/>
              </w:rPr>
              <w:t>Odstranění výkladových či jiných problémů spojených s praktickým uplatňováním zákona o spotřebních daních a zvýšení právní jistoty dotčených subjektů. Dalším cílem je snížení administrativních nákladů podnikatelské sféry.</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OPS</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zákona, kterým se mění zákon č. 634/1992 Sb., o ochraně spotřebitele, ve znění pozdějších předpisů, a zákon č. 89/2012 Sb., občanský zákoník, ve znění pozdějších předpisů</w:t>
            </w:r>
          </w:p>
        </w:tc>
        <w:tc>
          <w:tcPr>
            <w:tcW w:w="1250" w:type="dxa"/>
            <w:shd w:val="clear" w:color="auto" w:fill="auto"/>
            <w:vAlign w:val="center"/>
          </w:tcPr>
          <w:p w:rsidR="00291DE2" w:rsidRDefault="00291DE2" w:rsidP="00705F2E">
            <w:pPr>
              <w:jc w:val="center"/>
              <w:rPr>
                <w:rFonts w:ascii="Arial" w:hAnsi="Arial" w:cs="Arial"/>
                <w:sz w:val="18"/>
                <w:szCs w:val="18"/>
              </w:rPr>
            </w:pPr>
            <w:r>
              <w:rPr>
                <w:rFonts w:ascii="Arial" w:hAnsi="Arial" w:cs="Arial"/>
                <w:sz w:val="18"/>
                <w:szCs w:val="18"/>
              </w:rPr>
              <w:t>02.21</w:t>
            </w:r>
          </w:p>
        </w:tc>
        <w:tc>
          <w:tcPr>
            <w:tcW w:w="4856"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Cílem navrhované právní úpravy je zapracovat do právního řádu České republiky směrnici Evropského parlamentu a Rady (EU) 2019/2161 ze dne 27. listopadu 2019, kterou se mění směrnice Rady 93/13/EHS a směrnice Evropského parlamentu a Rady 98/6/ES, 2005/259/EU a 2011/83/EU, pokud jde o lepší vymáhání a modernizaci právních předpisů Unie na ochranu spotřebitele, aby bylo zajištěno posílení postavení českých spotřebitelů tím, že bude v celé Unii aplikována stejná úroveň jejich ochrany.</w:t>
            </w:r>
          </w:p>
          <w:p w:rsidR="00291DE2" w:rsidRDefault="00291DE2" w:rsidP="00705F2E">
            <w:pPr>
              <w:rPr>
                <w:rFonts w:ascii="Arial" w:hAnsi="Arial" w:cs="Arial"/>
                <w:sz w:val="18"/>
                <w:szCs w:val="18"/>
              </w:rPr>
            </w:pPr>
            <w:r>
              <w:rPr>
                <w:rFonts w:ascii="Arial" w:hAnsi="Arial" w:cs="Arial"/>
                <w:sz w:val="18"/>
                <w:szCs w:val="18"/>
              </w:rPr>
              <w:t>Současně je cílem též odstranit nedostatky aktuální právní úpravy na národní úrovni.</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OŘLZ + odbor dopravy</w:t>
            </w:r>
          </w:p>
        </w:tc>
        <w:tc>
          <w:tcPr>
            <w:tcW w:w="6692" w:type="dxa"/>
            <w:shd w:val="clear" w:color="auto" w:fill="auto"/>
            <w:vAlign w:val="center"/>
          </w:tcPr>
          <w:p w:rsidR="00291DE2" w:rsidRPr="00B470A3" w:rsidRDefault="00291DE2" w:rsidP="00705F2E">
            <w:pPr>
              <w:rPr>
                <w:rFonts w:ascii="Arial" w:hAnsi="Arial" w:cs="Arial"/>
                <w:sz w:val="18"/>
                <w:szCs w:val="18"/>
              </w:rPr>
            </w:pPr>
            <w:r>
              <w:rPr>
                <w:rFonts w:ascii="Arial" w:hAnsi="Arial" w:cs="Arial"/>
                <w:sz w:val="18"/>
                <w:szCs w:val="18"/>
              </w:rPr>
              <w:t>Návrh nařízení vlády, kterým se mění nařízení vlády č. 589/2006 Sb., kterým se stanoví odchylná úprava pracovní doby a doby odpočinku zaměstnanců v dopravě, ve znění pozdějších předpisů</w:t>
            </w:r>
          </w:p>
        </w:tc>
        <w:tc>
          <w:tcPr>
            <w:tcW w:w="1250" w:type="dxa"/>
            <w:shd w:val="clear" w:color="auto" w:fill="auto"/>
            <w:vAlign w:val="center"/>
          </w:tcPr>
          <w:p w:rsidR="00291DE2" w:rsidRPr="00B470A3" w:rsidRDefault="00291DE2" w:rsidP="00705F2E">
            <w:pPr>
              <w:jc w:val="center"/>
              <w:rPr>
                <w:rFonts w:ascii="Arial" w:hAnsi="Arial" w:cs="Arial"/>
                <w:sz w:val="18"/>
                <w:szCs w:val="18"/>
              </w:rPr>
            </w:pPr>
            <w:r>
              <w:rPr>
                <w:rFonts w:ascii="Arial" w:hAnsi="Arial" w:cs="Arial"/>
                <w:sz w:val="18"/>
                <w:szCs w:val="18"/>
              </w:rPr>
              <w:t>02.21</w:t>
            </w:r>
          </w:p>
        </w:tc>
        <w:tc>
          <w:tcPr>
            <w:tcW w:w="4856" w:type="dxa"/>
            <w:shd w:val="clear" w:color="auto" w:fill="auto"/>
            <w:vAlign w:val="center"/>
          </w:tcPr>
          <w:p w:rsidR="00291DE2" w:rsidRPr="0060236C" w:rsidRDefault="00291DE2" w:rsidP="00705F2E">
            <w:pPr>
              <w:rPr>
                <w:rFonts w:ascii="Arial" w:hAnsi="Arial" w:cs="Arial"/>
                <w:sz w:val="18"/>
                <w:szCs w:val="18"/>
              </w:rPr>
            </w:pPr>
            <w:r>
              <w:rPr>
                <w:rFonts w:ascii="Arial" w:hAnsi="Arial" w:cs="Arial"/>
                <w:sz w:val="18"/>
                <w:szCs w:val="18"/>
              </w:rPr>
              <w:t>Cílem návrhu nařízení vlády je zpřesnění a částečně zpřísnění stávající právní úpravy pracovní doby a doby odpočinku zaměstnanců drážní dopravy, a to nejen v reakci na množící se tragické nehody drážních vozidel v poslední době, ale také na určité nedostatky stávající právní úprav vyplývající z praxe. Jako jeden z problémů, na který často upozorňují samotní strojvedoucí, je nedostatečný zákonný minimální odpočinek mezi směnami (6 hodin), nedostatečná nebo žádná přestávka v práci na jídlo a oddech, a velmi dlouhá doba, po kterou jsou zaměstnanci povinni pracovat, nebo trávit přemísťováním z místa výkonu práce na jiné místo výkonu práce během 24 hodin.</w:t>
            </w:r>
          </w:p>
        </w:tc>
      </w:tr>
      <w:tr w:rsidR="00291DE2" w:rsidRPr="009A0FC9" w:rsidTr="001A6F8F">
        <w:trPr>
          <w:trHeight w:val="1069"/>
        </w:trPr>
        <w:tc>
          <w:tcPr>
            <w:tcW w:w="1281" w:type="dxa"/>
            <w:shd w:val="clear" w:color="auto" w:fill="D6E3BC" w:themeFill="accent3" w:themeFillTint="66"/>
          </w:tcPr>
          <w:p w:rsidR="00291DE2" w:rsidRPr="00514132" w:rsidRDefault="00291DE2" w:rsidP="00705F2E">
            <w:pPr>
              <w:jc w:val="center"/>
              <w:rPr>
                <w:rFonts w:ascii="Tahoma" w:hAnsi="Tahoma" w:cs="Tahoma"/>
                <w:b/>
                <w:color w:val="FF0000"/>
                <w:sz w:val="20"/>
                <w:szCs w:val="20"/>
              </w:rPr>
            </w:pPr>
          </w:p>
          <w:p w:rsidR="00291DE2" w:rsidRPr="00514132" w:rsidRDefault="00291DE2" w:rsidP="00705F2E">
            <w:pPr>
              <w:jc w:val="center"/>
              <w:rPr>
                <w:rFonts w:ascii="Tahoma" w:hAnsi="Tahoma" w:cs="Tahoma"/>
                <w:b/>
                <w:color w:val="FF0000"/>
                <w:sz w:val="20"/>
                <w:szCs w:val="20"/>
              </w:rPr>
            </w:pPr>
            <w:r w:rsidRPr="00514132">
              <w:rPr>
                <w:rFonts w:ascii="Tahoma" w:hAnsi="Tahoma" w:cs="Tahoma"/>
                <w:b/>
                <w:color w:val="FF0000"/>
                <w:sz w:val="20"/>
                <w:szCs w:val="20"/>
              </w:rPr>
              <w:t>HSE</w:t>
            </w:r>
          </w:p>
        </w:tc>
        <w:tc>
          <w:tcPr>
            <w:tcW w:w="6692" w:type="dxa"/>
            <w:shd w:val="clear" w:color="auto" w:fill="auto"/>
            <w:vAlign w:val="center"/>
          </w:tcPr>
          <w:p w:rsidR="00291DE2" w:rsidRPr="00514132" w:rsidRDefault="00E15C81" w:rsidP="00705F2E">
            <w:pPr>
              <w:rPr>
                <w:rFonts w:ascii="Arial" w:hAnsi="Arial" w:cs="Arial"/>
                <w:b/>
                <w:color w:val="FF0000"/>
                <w:sz w:val="18"/>
                <w:szCs w:val="18"/>
              </w:rPr>
            </w:pPr>
            <w:r w:rsidRPr="00514132">
              <w:rPr>
                <w:rFonts w:ascii="Arial" w:hAnsi="Arial" w:cs="Arial"/>
                <w:b/>
                <w:color w:val="FF0000"/>
                <w:sz w:val="18"/>
                <w:szCs w:val="18"/>
              </w:rPr>
              <w:t>Návrh nařízení vlády, kterým se mění nařízení vlády č. 361/2007 Sb., o ochraně zdraví při práci, ve znění pozdějších předpisů</w:t>
            </w:r>
          </w:p>
        </w:tc>
        <w:tc>
          <w:tcPr>
            <w:tcW w:w="1250" w:type="dxa"/>
            <w:shd w:val="clear" w:color="auto" w:fill="auto"/>
            <w:vAlign w:val="center"/>
          </w:tcPr>
          <w:p w:rsidR="00291DE2" w:rsidRPr="00514132" w:rsidRDefault="00291DE2" w:rsidP="00E15C81">
            <w:pPr>
              <w:jc w:val="center"/>
              <w:rPr>
                <w:rFonts w:ascii="Arial" w:hAnsi="Arial" w:cs="Arial"/>
                <w:b/>
                <w:color w:val="FF0000"/>
                <w:sz w:val="18"/>
                <w:szCs w:val="18"/>
              </w:rPr>
            </w:pPr>
            <w:r w:rsidRPr="00514132">
              <w:rPr>
                <w:rFonts w:ascii="Arial" w:hAnsi="Arial" w:cs="Arial"/>
                <w:b/>
                <w:color w:val="FF0000"/>
                <w:sz w:val="18"/>
                <w:szCs w:val="18"/>
              </w:rPr>
              <w:t>0</w:t>
            </w:r>
            <w:r w:rsidR="00E15C81" w:rsidRPr="00514132">
              <w:rPr>
                <w:rFonts w:ascii="Arial" w:hAnsi="Arial" w:cs="Arial"/>
                <w:b/>
                <w:color w:val="FF0000"/>
                <w:sz w:val="18"/>
                <w:szCs w:val="18"/>
              </w:rPr>
              <w:t>3</w:t>
            </w:r>
            <w:r w:rsidRPr="00514132">
              <w:rPr>
                <w:rFonts w:ascii="Arial" w:hAnsi="Arial" w:cs="Arial"/>
                <w:b/>
                <w:color w:val="FF0000"/>
                <w:sz w:val="18"/>
                <w:szCs w:val="18"/>
              </w:rPr>
              <w:t>.21</w:t>
            </w:r>
          </w:p>
        </w:tc>
        <w:tc>
          <w:tcPr>
            <w:tcW w:w="4856" w:type="dxa"/>
            <w:shd w:val="clear" w:color="auto" w:fill="auto"/>
            <w:vAlign w:val="center"/>
          </w:tcPr>
          <w:p w:rsidR="00291DE2" w:rsidRPr="00514132" w:rsidRDefault="00E15C81" w:rsidP="00705F2E">
            <w:pPr>
              <w:rPr>
                <w:rFonts w:ascii="Arial" w:hAnsi="Arial" w:cs="Arial"/>
                <w:b/>
                <w:color w:val="FF0000"/>
                <w:sz w:val="18"/>
                <w:szCs w:val="18"/>
              </w:rPr>
            </w:pPr>
            <w:r w:rsidRPr="00514132">
              <w:rPr>
                <w:rFonts w:ascii="Arial" w:hAnsi="Arial" w:cs="Arial"/>
                <w:b/>
                <w:color w:val="FF0000"/>
                <w:sz w:val="18"/>
                <w:szCs w:val="18"/>
              </w:rPr>
              <w:t>Dosažení souladu národní právní úpravy s právem Evropské unie, pokud jde o minimální požadavky na bezpečnost a ochranu zdraví pro používání osobních ochranných prostředků zaměstnanci při práci, ve znění změn příloh technického charakteru provedených směrnicí Komise (EU) 2019/1832.</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OBIA</w:t>
            </w:r>
          </w:p>
        </w:tc>
        <w:tc>
          <w:tcPr>
            <w:tcW w:w="6692" w:type="dxa"/>
            <w:shd w:val="clear" w:color="auto" w:fill="auto"/>
            <w:vAlign w:val="center"/>
          </w:tcPr>
          <w:p w:rsidR="00291DE2" w:rsidRPr="009A0FC9" w:rsidRDefault="00291DE2" w:rsidP="00705F2E">
            <w:pPr>
              <w:rPr>
                <w:rFonts w:ascii="Tahoma" w:hAnsi="Tahoma" w:cs="Tahoma"/>
                <w:sz w:val="20"/>
                <w:szCs w:val="20"/>
              </w:rPr>
            </w:pPr>
            <w:r w:rsidRPr="009A0FC9">
              <w:rPr>
                <w:rFonts w:ascii="Tahoma" w:hAnsi="Tahoma" w:cs="Tahoma"/>
                <w:sz w:val="20"/>
                <w:szCs w:val="20"/>
              </w:rPr>
              <w:t>Návrh nařízení vlády o Katalogu oblastí utajovaných informací</w:t>
            </w:r>
          </w:p>
        </w:tc>
        <w:tc>
          <w:tcPr>
            <w:tcW w:w="1250" w:type="dxa"/>
            <w:shd w:val="clear" w:color="auto" w:fill="auto"/>
            <w:vAlign w:val="center"/>
          </w:tcPr>
          <w:p w:rsidR="00291DE2" w:rsidRPr="009A0FC9" w:rsidRDefault="00291DE2" w:rsidP="00705F2E">
            <w:pPr>
              <w:jc w:val="center"/>
              <w:rPr>
                <w:rFonts w:ascii="Tahoma" w:hAnsi="Tahoma" w:cs="Tahoma"/>
                <w:sz w:val="20"/>
                <w:szCs w:val="20"/>
              </w:rPr>
            </w:pPr>
            <w:r w:rsidRPr="009A0FC9">
              <w:rPr>
                <w:rFonts w:ascii="Tahoma" w:hAnsi="Tahoma" w:cs="Tahoma"/>
                <w:sz w:val="20"/>
                <w:szCs w:val="20"/>
              </w:rPr>
              <w:t>04.21</w:t>
            </w:r>
          </w:p>
        </w:tc>
        <w:tc>
          <w:tcPr>
            <w:tcW w:w="4856" w:type="dxa"/>
            <w:shd w:val="clear" w:color="auto" w:fill="auto"/>
            <w:vAlign w:val="center"/>
          </w:tcPr>
          <w:p w:rsidR="00291DE2" w:rsidRPr="009A0FC9" w:rsidRDefault="00291DE2" w:rsidP="00705F2E">
            <w:pPr>
              <w:rPr>
                <w:rFonts w:ascii="Tahoma" w:hAnsi="Tahoma" w:cs="Tahoma"/>
                <w:sz w:val="20"/>
                <w:szCs w:val="20"/>
              </w:rPr>
            </w:pPr>
            <w:r w:rsidRPr="009A0FC9">
              <w:rPr>
                <w:rFonts w:ascii="Tahoma" w:hAnsi="Tahoma" w:cs="Tahoma"/>
                <w:sz w:val="20"/>
                <w:szCs w:val="20"/>
              </w:rPr>
              <w:t>Cílem návrhu je vydat nařízení vlády, které bude v souladu s novou koncepcí, kterou přináší novela zákona č. 412/2005 Sb., o ochraně utajovaných informací a o bezpečnostní způsobilosti, ve znění pozdějších předpisů, přičemž musí dojít ke změně i samotného názvu nařízení vlády (katalog oblastí utajovaných informací).</w:t>
            </w:r>
          </w:p>
        </w:tc>
      </w:tr>
      <w:tr w:rsidR="00291DE2" w:rsidRPr="009A0FC9" w:rsidTr="001A6F8F">
        <w:trPr>
          <w:trHeight w:val="1069"/>
        </w:trPr>
        <w:tc>
          <w:tcPr>
            <w:tcW w:w="1281" w:type="dxa"/>
            <w:shd w:val="clear" w:color="auto" w:fill="D6E3BC" w:themeFill="accent3" w:themeFillTint="66"/>
          </w:tcPr>
          <w:p w:rsidR="00291DE2" w:rsidRPr="009A0FC9" w:rsidRDefault="00291DE2" w:rsidP="00705F2E">
            <w:pPr>
              <w:jc w:val="center"/>
              <w:rPr>
                <w:rFonts w:ascii="Tahoma" w:hAnsi="Tahoma" w:cs="Tahoma"/>
                <w:sz w:val="20"/>
                <w:szCs w:val="20"/>
              </w:rPr>
            </w:pPr>
            <w:r>
              <w:rPr>
                <w:rFonts w:ascii="Tahoma" w:hAnsi="Tahoma" w:cs="Tahoma"/>
                <w:sz w:val="20"/>
                <w:szCs w:val="20"/>
              </w:rPr>
              <w:t>Odbor dopravy</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zákona, kterým se mění zákon č. 111/1994 Sb., o silniční dopravě, ve znění pozdějších předpisů, a další související zákony</w:t>
            </w:r>
          </w:p>
        </w:tc>
        <w:tc>
          <w:tcPr>
            <w:tcW w:w="1250" w:type="dxa"/>
            <w:shd w:val="clear" w:color="auto" w:fill="auto"/>
            <w:vAlign w:val="center"/>
          </w:tcPr>
          <w:p w:rsidR="00291DE2" w:rsidRDefault="00E15C81" w:rsidP="00705F2E">
            <w:pPr>
              <w:jc w:val="center"/>
              <w:rPr>
                <w:rFonts w:ascii="Arial" w:hAnsi="Arial" w:cs="Arial"/>
                <w:sz w:val="18"/>
                <w:szCs w:val="18"/>
              </w:rPr>
            </w:pPr>
            <w:r>
              <w:rPr>
                <w:rFonts w:ascii="Arial" w:hAnsi="Arial" w:cs="Arial"/>
                <w:sz w:val="18"/>
                <w:szCs w:val="18"/>
              </w:rPr>
              <w:t>06.</w:t>
            </w:r>
            <w:r w:rsidR="00291DE2">
              <w:rPr>
                <w:rFonts w:ascii="Arial" w:hAnsi="Arial" w:cs="Arial"/>
                <w:sz w:val="18"/>
                <w:szCs w:val="18"/>
              </w:rPr>
              <w:t>21</w:t>
            </w:r>
          </w:p>
        </w:tc>
        <w:tc>
          <w:tcPr>
            <w:tcW w:w="4856" w:type="dxa"/>
            <w:shd w:val="clear" w:color="auto" w:fill="auto"/>
            <w:vAlign w:val="center"/>
          </w:tcPr>
          <w:p w:rsidR="00291DE2" w:rsidRPr="00FC6C22" w:rsidRDefault="00291DE2" w:rsidP="00705F2E">
            <w:pPr>
              <w:rPr>
                <w:rFonts w:ascii="Arial" w:hAnsi="Arial" w:cs="Arial"/>
                <w:sz w:val="18"/>
                <w:szCs w:val="18"/>
              </w:rPr>
            </w:pPr>
            <w:r>
              <w:rPr>
                <w:rFonts w:ascii="Arial" w:hAnsi="Arial" w:cs="Arial"/>
                <w:sz w:val="18"/>
                <w:szCs w:val="18"/>
              </w:rPr>
              <w:t>Uvedení tuzemské právní úpravy do souladu s právními předpisy EU a zajištění stavu, kdy by byl i pro adresáty normy jasně a srozumitelně stanoven režim přepravy zboží vozidly s největší povolenou hmotností od 2,5 do 3,5 tuny, které provádí mezinárodní přepravu.</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FÚ</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nařízení vlády k provedení některých ustanovení celního zákona v oblasti statistiky</w:t>
            </w:r>
          </w:p>
        </w:tc>
        <w:tc>
          <w:tcPr>
            <w:tcW w:w="1250" w:type="dxa"/>
            <w:shd w:val="clear" w:color="auto" w:fill="auto"/>
            <w:vAlign w:val="center"/>
          </w:tcPr>
          <w:p w:rsidR="00291DE2" w:rsidRDefault="00291DE2" w:rsidP="00705F2E">
            <w:pPr>
              <w:jc w:val="center"/>
              <w:rPr>
                <w:rFonts w:ascii="Arial" w:hAnsi="Arial" w:cs="Arial"/>
                <w:sz w:val="18"/>
                <w:szCs w:val="18"/>
              </w:rPr>
            </w:pPr>
            <w:r>
              <w:rPr>
                <w:rFonts w:ascii="Arial" w:hAnsi="Arial" w:cs="Arial"/>
                <w:sz w:val="18"/>
                <w:szCs w:val="18"/>
              </w:rPr>
              <w:t>06.21</w:t>
            </w:r>
          </w:p>
        </w:tc>
        <w:tc>
          <w:tcPr>
            <w:tcW w:w="4856"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Adaptace na nařízení FRIBS v oblasti působnosti Celní správy České republiky.</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PÚ</w:t>
            </w:r>
          </w:p>
        </w:tc>
        <w:tc>
          <w:tcPr>
            <w:tcW w:w="6692" w:type="dxa"/>
            <w:shd w:val="clear" w:color="auto" w:fill="auto"/>
            <w:vAlign w:val="center"/>
          </w:tcPr>
          <w:p w:rsidR="00291DE2" w:rsidRDefault="00291DE2" w:rsidP="00705F2E">
            <w:pPr>
              <w:rPr>
                <w:rFonts w:ascii="Arial" w:hAnsi="Arial" w:cs="Arial"/>
                <w:sz w:val="18"/>
                <w:szCs w:val="18"/>
              </w:rPr>
            </w:pPr>
            <w:r w:rsidRPr="00E224B0">
              <w:rPr>
                <w:rFonts w:ascii="Arial" w:hAnsi="Arial" w:cs="Arial"/>
                <w:sz w:val="18"/>
                <w:szCs w:val="18"/>
              </w:rPr>
              <w:t>Návrh nařízení vlády o stanovení prostředků státního rozpočtu podle § 28 odst. 3 zákona o podporovaných zdrojích energie pro rok 2022</w:t>
            </w:r>
          </w:p>
        </w:tc>
        <w:tc>
          <w:tcPr>
            <w:tcW w:w="1250" w:type="dxa"/>
            <w:shd w:val="clear" w:color="auto" w:fill="auto"/>
            <w:vAlign w:val="center"/>
          </w:tcPr>
          <w:p w:rsidR="00291DE2" w:rsidRDefault="00291DE2" w:rsidP="00705F2E">
            <w:pPr>
              <w:jc w:val="center"/>
              <w:rPr>
                <w:rFonts w:ascii="Arial" w:hAnsi="Arial" w:cs="Arial"/>
                <w:sz w:val="18"/>
                <w:szCs w:val="18"/>
              </w:rPr>
            </w:pPr>
            <w:r w:rsidRPr="00E224B0">
              <w:rPr>
                <w:rFonts w:ascii="Arial" w:hAnsi="Arial" w:cs="Arial"/>
                <w:sz w:val="18"/>
                <w:szCs w:val="18"/>
              </w:rPr>
              <w:t>08.21</w:t>
            </w:r>
          </w:p>
        </w:tc>
        <w:tc>
          <w:tcPr>
            <w:tcW w:w="4856"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Stanovení prostředků státního rozpočtu pro poskytnutí dotace na podporu elektřiny z obnovitelných zdrojů, druhotných zdrojů a vysokoúčinné kombinované výroby elektřiny a tepla na provozní podporu tepla na rok 2022. Cílem je zajištění financování provozní podpory pro uvedené podporované zdroje energie.</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OŘLZ</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nařízení vlády, kterým se mění nařízení vlády č. 567/2006 Sb., o minimální mzdě, o nejnižších úrovních zaručené mzdy, o vymezení ztíženého pracovního prostředí a o výši příplatku ke mzdě za práci ve ztíženém pracovním prostředí, ve znění pozdějších předpisů</w:t>
            </w:r>
          </w:p>
        </w:tc>
        <w:tc>
          <w:tcPr>
            <w:tcW w:w="1250" w:type="dxa"/>
            <w:shd w:val="clear" w:color="auto" w:fill="auto"/>
            <w:vAlign w:val="center"/>
          </w:tcPr>
          <w:p w:rsidR="00291DE2" w:rsidRPr="00296FC3" w:rsidRDefault="00291DE2" w:rsidP="00705F2E">
            <w:pPr>
              <w:jc w:val="center"/>
              <w:rPr>
                <w:rFonts w:ascii="Arial" w:hAnsi="Arial" w:cs="Arial"/>
                <w:sz w:val="18"/>
                <w:szCs w:val="18"/>
              </w:rPr>
            </w:pPr>
            <w:r w:rsidRPr="00296FC3">
              <w:rPr>
                <w:rFonts w:ascii="Arial" w:hAnsi="Arial" w:cs="Arial"/>
                <w:sz w:val="18"/>
                <w:szCs w:val="18"/>
              </w:rPr>
              <w:t>10.21</w:t>
            </w:r>
          </w:p>
        </w:tc>
        <w:tc>
          <w:tcPr>
            <w:tcW w:w="4856"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Práce se musí vyplatit a pracovat musí být výhodnější než pasivní pobírání sociálních dávek. Pracovní příjem zaměstnanců odměňovaných minimální mzdou by měl dosahovat takové úrovně, aby byl dostatečně motivační a zajistil alespoň základní životní potřeby bez závislosti na sociálních příjmech (zejména v podobě dodatečných sociálních dávek chránících před hmotnou nouzí).</w:t>
            </w:r>
          </w:p>
          <w:p w:rsidR="00291DE2" w:rsidRPr="0060236C" w:rsidRDefault="00291DE2" w:rsidP="00705F2E">
            <w:pPr>
              <w:rPr>
                <w:rFonts w:ascii="Arial" w:hAnsi="Arial" w:cs="Arial"/>
                <w:sz w:val="18"/>
                <w:szCs w:val="18"/>
              </w:rPr>
            </w:pPr>
            <w:r>
              <w:rPr>
                <w:rFonts w:ascii="Arial" w:hAnsi="Arial" w:cs="Arial"/>
                <w:sz w:val="18"/>
                <w:szCs w:val="18"/>
              </w:rPr>
              <w:t xml:space="preserve">Zvýšením minimální mzdy by mělo dojít k posílení jejích základních funkcí a kupní síly zaměstnanců odměňovaných minimální mzdou. </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OŘLZ</w:t>
            </w:r>
          </w:p>
        </w:tc>
        <w:tc>
          <w:tcPr>
            <w:tcW w:w="6692" w:type="dxa"/>
            <w:shd w:val="clear" w:color="auto" w:fill="auto"/>
            <w:vAlign w:val="center"/>
          </w:tcPr>
          <w:p w:rsidR="00291DE2" w:rsidRDefault="00291DE2" w:rsidP="00705F2E">
            <w:pPr>
              <w:rPr>
                <w:rFonts w:ascii="Arial" w:hAnsi="Arial" w:cs="Arial"/>
                <w:sz w:val="18"/>
                <w:szCs w:val="18"/>
              </w:rPr>
            </w:pPr>
            <w:r>
              <w:rPr>
                <w:rFonts w:ascii="Arial" w:hAnsi="Arial" w:cs="Arial"/>
                <w:sz w:val="18"/>
                <w:szCs w:val="18"/>
              </w:rPr>
              <w:t>Návrh nařízení vlády o úpravě náhrady za ztrátu na výdělku po skončení pracovní neschopnosti vzniklé pracovním úrazem nebo nemocí z povolání a o úpravě náhrady nákladů na výživu pozůstalých podle pracovněprávních předpisů</w:t>
            </w:r>
          </w:p>
        </w:tc>
        <w:tc>
          <w:tcPr>
            <w:tcW w:w="1250" w:type="dxa"/>
            <w:shd w:val="clear" w:color="auto" w:fill="auto"/>
            <w:vAlign w:val="center"/>
          </w:tcPr>
          <w:p w:rsidR="00291DE2" w:rsidRDefault="00291DE2" w:rsidP="00705F2E">
            <w:pPr>
              <w:jc w:val="center"/>
              <w:rPr>
                <w:rFonts w:ascii="Arial" w:hAnsi="Arial" w:cs="Arial"/>
                <w:sz w:val="18"/>
                <w:szCs w:val="18"/>
              </w:rPr>
            </w:pPr>
            <w:r>
              <w:rPr>
                <w:rFonts w:ascii="Arial" w:hAnsi="Arial" w:cs="Arial"/>
                <w:sz w:val="18"/>
                <w:szCs w:val="18"/>
              </w:rPr>
              <w:t>11.21</w:t>
            </w:r>
          </w:p>
        </w:tc>
        <w:tc>
          <w:tcPr>
            <w:tcW w:w="4856" w:type="dxa"/>
            <w:shd w:val="clear" w:color="auto" w:fill="auto"/>
            <w:vAlign w:val="center"/>
          </w:tcPr>
          <w:p w:rsidR="00291DE2" w:rsidRPr="0060236C" w:rsidRDefault="00291DE2" w:rsidP="00705F2E">
            <w:pPr>
              <w:rPr>
                <w:rFonts w:ascii="Arial" w:hAnsi="Arial" w:cs="Arial"/>
                <w:sz w:val="18"/>
                <w:szCs w:val="18"/>
              </w:rPr>
            </w:pPr>
            <w:r>
              <w:rPr>
                <w:rFonts w:ascii="Arial" w:hAnsi="Arial" w:cs="Arial"/>
                <w:sz w:val="18"/>
                <w:szCs w:val="18"/>
              </w:rPr>
              <w:t>Zvýšit průměrný výdělek před vznikem škody rozhodný pro výpočet náhrady za ztrátu na výdělku a náhrady nákladů na výživu pozůstalých (zvýšený podle předchozích právních předpisů), do kterého je poskytována předmětná náhrada podle zákoníku práce tak, aby se zvýšení projevilo ve fakticky poskytované částce, jako tomu budu u důchodů při jejich zvýšení podle právního předpisu o důchodovém pojištění.</w:t>
            </w:r>
          </w:p>
        </w:tc>
      </w:tr>
      <w:tr w:rsidR="00E15C81" w:rsidRPr="009A0FC9" w:rsidTr="001A6F8F">
        <w:trPr>
          <w:trHeight w:val="1069"/>
        </w:trPr>
        <w:tc>
          <w:tcPr>
            <w:tcW w:w="1281" w:type="dxa"/>
            <w:shd w:val="clear" w:color="auto" w:fill="D6E3BC" w:themeFill="accent3" w:themeFillTint="66"/>
          </w:tcPr>
          <w:p w:rsidR="00514132" w:rsidRDefault="00514132" w:rsidP="00705F2E">
            <w:pPr>
              <w:jc w:val="center"/>
              <w:rPr>
                <w:rFonts w:ascii="Tahoma" w:hAnsi="Tahoma" w:cs="Tahoma"/>
                <w:b/>
                <w:color w:val="FF0000"/>
                <w:sz w:val="20"/>
                <w:szCs w:val="20"/>
              </w:rPr>
            </w:pPr>
          </w:p>
          <w:p w:rsidR="00E15C81" w:rsidRPr="00514132" w:rsidRDefault="00E15C81" w:rsidP="00705F2E">
            <w:pPr>
              <w:jc w:val="center"/>
              <w:rPr>
                <w:rFonts w:ascii="Tahoma" w:hAnsi="Tahoma" w:cs="Tahoma"/>
                <w:b/>
                <w:color w:val="FF0000"/>
                <w:sz w:val="20"/>
                <w:szCs w:val="20"/>
              </w:rPr>
            </w:pPr>
            <w:r w:rsidRPr="00514132">
              <w:rPr>
                <w:rFonts w:ascii="Tahoma" w:hAnsi="Tahoma" w:cs="Tahoma"/>
                <w:b/>
                <w:color w:val="FF0000"/>
                <w:sz w:val="20"/>
                <w:szCs w:val="20"/>
              </w:rPr>
              <w:t>OCN</w:t>
            </w:r>
          </w:p>
        </w:tc>
        <w:tc>
          <w:tcPr>
            <w:tcW w:w="6692" w:type="dxa"/>
            <w:shd w:val="clear" w:color="auto" w:fill="auto"/>
            <w:vAlign w:val="center"/>
          </w:tcPr>
          <w:p w:rsidR="00E15C81" w:rsidRPr="00514132" w:rsidRDefault="00E15C81" w:rsidP="00705F2E">
            <w:pPr>
              <w:rPr>
                <w:rFonts w:ascii="Arial" w:hAnsi="Arial" w:cs="Arial"/>
                <w:b/>
                <w:color w:val="FF0000"/>
                <w:sz w:val="18"/>
                <w:szCs w:val="18"/>
              </w:rPr>
            </w:pPr>
            <w:r w:rsidRPr="00514132">
              <w:rPr>
                <w:rFonts w:ascii="Arial" w:hAnsi="Arial" w:cs="Arial"/>
                <w:b/>
                <w:color w:val="FF0000"/>
                <w:sz w:val="18"/>
                <w:szCs w:val="18"/>
              </w:rPr>
              <w:t>Návrh nařízení vlády, kterým se mění nařízení vlády č. 172/2016 Sb., o stanovení finančních limitů a částek pro účely zákona o zadávání veřejných zakázek, ve znění pozdějších předpisů</w:t>
            </w:r>
          </w:p>
        </w:tc>
        <w:tc>
          <w:tcPr>
            <w:tcW w:w="1250" w:type="dxa"/>
            <w:shd w:val="clear" w:color="auto" w:fill="auto"/>
            <w:vAlign w:val="center"/>
          </w:tcPr>
          <w:p w:rsidR="00E15C81" w:rsidRPr="00514132" w:rsidRDefault="00E15C81" w:rsidP="00705F2E">
            <w:pPr>
              <w:jc w:val="center"/>
              <w:rPr>
                <w:rFonts w:ascii="Arial" w:hAnsi="Arial" w:cs="Arial"/>
                <w:b/>
                <w:color w:val="FF0000"/>
                <w:sz w:val="18"/>
                <w:szCs w:val="18"/>
              </w:rPr>
            </w:pPr>
            <w:r w:rsidRPr="00514132">
              <w:rPr>
                <w:rFonts w:ascii="Arial" w:hAnsi="Arial" w:cs="Arial"/>
                <w:b/>
                <w:color w:val="FF0000"/>
                <w:sz w:val="18"/>
                <w:szCs w:val="18"/>
              </w:rPr>
              <w:t>11.21</w:t>
            </w:r>
          </w:p>
        </w:tc>
        <w:tc>
          <w:tcPr>
            <w:tcW w:w="4856" w:type="dxa"/>
            <w:shd w:val="clear" w:color="auto" w:fill="auto"/>
            <w:vAlign w:val="center"/>
          </w:tcPr>
          <w:p w:rsidR="00E15C81" w:rsidRPr="00514132" w:rsidRDefault="00514132" w:rsidP="00514132">
            <w:pPr>
              <w:rPr>
                <w:rFonts w:ascii="Arial" w:hAnsi="Arial" w:cs="Arial"/>
                <w:b/>
                <w:color w:val="FF0000"/>
                <w:sz w:val="18"/>
                <w:szCs w:val="18"/>
              </w:rPr>
            </w:pPr>
            <w:r w:rsidRPr="00514132">
              <w:rPr>
                <w:rFonts w:ascii="Arial" w:hAnsi="Arial" w:cs="Arial"/>
                <w:b/>
                <w:color w:val="FF0000"/>
                <w:sz w:val="18"/>
                <w:szCs w:val="18"/>
              </w:rPr>
              <w:t>Aktualizace finančních limitů a částek pro účely zákona o zadávání veřejných zakázek.</w:t>
            </w:r>
          </w:p>
        </w:tc>
      </w:tr>
      <w:tr w:rsidR="00291DE2" w:rsidRPr="009A0FC9" w:rsidTr="001A6F8F">
        <w:trPr>
          <w:trHeight w:val="1069"/>
        </w:trPr>
        <w:tc>
          <w:tcPr>
            <w:tcW w:w="1281" w:type="dxa"/>
            <w:shd w:val="clear" w:color="auto" w:fill="D6E3BC" w:themeFill="accent3" w:themeFillTint="66"/>
          </w:tcPr>
          <w:p w:rsidR="00291DE2" w:rsidRDefault="00291DE2" w:rsidP="00705F2E">
            <w:pPr>
              <w:jc w:val="center"/>
              <w:rPr>
                <w:rFonts w:ascii="Tahoma" w:hAnsi="Tahoma" w:cs="Tahoma"/>
                <w:sz w:val="20"/>
                <w:szCs w:val="20"/>
              </w:rPr>
            </w:pPr>
          </w:p>
          <w:p w:rsidR="00291DE2" w:rsidRPr="009A0FC9" w:rsidRDefault="00291DE2" w:rsidP="00705F2E">
            <w:pPr>
              <w:jc w:val="center"/>
              <w:rPr>
                <w:rFonts w:ascii="Tahoma" w:hAnsi="Tahoma" w:cs="Tahoma"/>
                <w:sz w:val="20"/>
                <w:szCs w:val="20"/>
              </w:rPr>
            </w:pPr>
            <w:r>
              <w:rPr>
                <w:rFonts w:ascii="Tahoma" w:hAnsi="Tahoma" w:cs="Tahoma"/>
                <w:sz w:val="20"/>
                <w:szCs w:val="20"/>
              </w:rPr>
              <w:t>OÚ</w:t>
            </w:r>
          </w:p>
        </w:tc>
        <w:tc>
          <w:tcPr>
            <w:tcW w:w="6692" w:type="dxa"/>
            <w:shd w:val="clear" w:color="auto" w:fill="auto"/>
            <w:vAlign w:val="center"/>
          </w:tcPr>
          <w:p w:rsidR="00291DE2" w:rsidRPr="00B470A3" w:rsidRDefault="00291DE2" w:rsidP="00705F2E">
            <w:pPr>
              <w:rPr>
                <w:rFonts w:ascii="Arial" w:hAnsi="Arial" w:cs="Arial"/>
                <w:sz w:val="18"/>
                <w:szCs w:val="18"/>
              </w:rPr>
            </w:pPr>
            <w:r>
              <w:rPr>
                <w:rFonts w:ascii="Arial" w:hAnsi="Arial" w:cs="Arial"/>
                <w:sz w:val="18"/>
                <w:szCs w:val="18"/>
              </w:rPr>
              <w:t>Návrh zákona, kterým se mění zákon č. 201/2012 Sb., o ochraně ovzduší, ve znění pozdějších předpisů</w:t>
            </w:r>
          </w:p>
        </w:tc>
        <w:tc>
          <w:tcPr>
            <w:tcW w:w="1250" w:type="dxa"/>
            <w:shd w:val="clear" w:color="auto" w:fill="auto"/>
            <w:vAlign w:val="center"/>
          </w:tcPr>
          <w:p w:rsidR="00291DE2" w:rsidRPr="00B470A3" w:rsidRDefault="00291DE2" w:rsidP="00705F2E">
            <w:pPr>
              <w:jc w:val="center"/>
              <w:rPr>
                <w:rFonts w:ascii="Arial" w:hAnsi="Arial" w:cs="Arial"/>
                <w:sz w:val="18"/>
                <w:szCs w:val="18"/>
              </w:rPr>
            </w:pPr>
            <w:r>
              <w:rPr>
                <w:rFonts w:ascii="Arial" w:hAnsi="Arial" w:cs="Arial"/>
                <w:sz w:val="18"/>
                <w:szCs w:val="18"/>
              </w:rPr>
              <w:t>12.21</w:t>
            </w:r>
          </w:p>
        </w:tc>
        <w:tc>
          <w:tcPr>
            <w:tcW w:w="4856" w:type="dxa"/>
            <w:shd w:val="clear" w:color="auto" w:fill="auto"/>
            <w:vAlign w:val="center"/>
          </w:tcPr>
          <w:p w:rsidR="00291DE2" w:rsidRPr="0060236C" w:rsidRDefault="00291DE2" w:rsidP="00705F2E">
            <w:pPr>
              <w:rPr>
                <w:rFonts w:ascii="Arial" w:hAnsi="Arial" w:cs="Arial"/>
                <w:sz w:val="18"/>
                <w:szCs w:val="18"/>
              </w:rPr>
            </w:pPr>
            <w:r>
              <w:rPr>
                <w:rFonts w:ascii="Arial" w:hAnsi="Arial" w:cs="Arial"/>
                <w:sz w:val="18"/>
                <w:szCs w:val="18"/>
              </w:rPr>
              <w:t>Komplexní novela zákona o ochraně ovzduší v návaznosti na usnesení vlády ze dne 16. prosince 2019 č. 917, kterým byla schválena aktualizace Národního programu snižování emisí České republiky s cílem zefektivnění výkonu státní správy a nástrojů k ochraně ovzduší.</w:t>
            </w:r>
          </w:p>
        </w:tc>
      </w:tr>
      <w:tr w:rsidR="00E15C81" w:rsidRPr="009A0FC9" w:rsidTr="001A6F8F">
        <w:trPr>
          <w:trHeight w:val="1069"/>
        </w:trPr>
        <w:tc>
          <w:tcPr>
            <w:tcW w:w="1281" w:type="dxa"/>
            <w:shd w:val="clear" w:color="auto" w:fill="D6E3BC" w:themeFill="accent3" w:themeFillTint="66"/>
          </w:tcPr>
          <w:p w:rsidR="00E15C81" w:rsidRPr="00514132" w:rsidRDefault="00E15C81" w:rsidP="00656259">
            <w:pPr>
              <w:jc w:val="center"/>
              <w:rPr>
                <w:rFonts w:ascii="Tahoma" w:hAnsi="Tahoma" w:cs="Tahoma"/>
                <w:b/>
                <w:color w:val="FF0000"/>
                <w:sz w:val="20"/>
                <w:szCs w:val="20"/>
              </w:rPr>
            </w:pPr>
          </w:p>
          <w:p w:rsidR="00E15C81" w:rsidRPr="00514132" w:rsidRDefault="00E15C81" w:rsidP="00656259">
            <w:pPr>
              <w:jc w:val="center"/>
              <w:rPr>
                <w:rFonts w:ascii="Tahoma" w:hAnsi="Tahoma" w:cs="Tahoma"/>
                <w:b/>
                <w:color w:val="FF0000"/>
                <w:sz w:val="20"/>
                <w:szCs w:val="20"/>
              </w:rPr>
            </w:pPr>
          </w:p>
          <w:p w:rsidR="00E15C81" w:rsidRPr="00514132" w:rsidRDefault="00E15C81" w:rsidP="00656259">
            <w:pPr>
              <w:jc w:val="center"/>
              <w:rPr>
                <w:rFonts w:ascii="Tahoma" w:hAnsi="Tahoma" w:cs="Tahoma"/>
                <w:b/>
                <w:color w:val="FF0000"/>
                <w:sz w:val="20"/>
                <w:szCs w:val="20"/>
              </w:rPr>
            </w:pPr>
          </w:p>
          <w:p w:rsidR="00E15C81" w:rsidRPr="00514132" w:rsidRDefault="00E15C81" w:rsidP="00656259">
            <w:pPr>
              <w:jc w:val="center"/>
              <w:rPr>
                <w:rFonts w:ascii="Tahoma" w:hAnsi="Tahoma" w:cs="Tahoma"/>
                <w:b/>
                <w:color w:val="FF0000"/>
                <w:sz w:val="20"/>
                <w:szCs w:val="20"/>
              </w:rPr>
            </w:pPr>
            <w:r w:rsidRPr="00514132">
              <w:rPr>
                <w:rFonts w:ascii="Tahoma" w:hAnsi="Tahoma" w:cs="Tahoma"/>
                <w:b/>
                <w:color w:val="FF0000"/>
                <w:sz w:val="20"/>
                <w:szCs w:val="20"/>
              </w:rPr>
              <w:t>PÚ</w:t>
            </w:r>
          </w:p>
        </w:tc>
        <w:tc>
          <w:tcPr>
            <w:tcW w:w="6692" w:type="dxa"/>
            <w:shd w:val="clear" w:color="auto" w:fill="auto"/>
            <w:vAlign w:val="center"/>
          </w:tcPr>
          <w:p w:rsidR="00E15C81" w:rsidRPr="00514132" w:rsidRDefault="00E15C81" w:rsidP="00656259">
            <w:pPr>
              <w:rPr>
                <w:rFonts w:ascii="Arial" w:hAnsi="Arial" w:cs="Arial"/>
                <w:b/>
                <w:color w:val="FF0000"/>
                <w:sz w:val="18"/>
                <w:szCs w:val="18"/>
              </w:rPr>
            </w:pPr>
            <w:r w:rsidRPr="00514132">
              <w:rPr>
                <w:rFonts w:ascii="Arial" w:hAnsi="Arial" w:cs="Arial"/>
                <w:b/>
                <w:color w:val="FF0000"/>
                <w:sz w:val="18"/>
                <w:szCs w:val="18"/>
              </w:rPr>
              <w:t>Návrh energetického zákona</w:t>
            </w:r>
          </w:p>
        </w:tc>
        <w:tc>
          <w:tcPr>
            <w:tcW w:w="1250" w:type="dxa"/>
            <w:shd w:val="clear" w:color="auto" w:fill="auto"/>
            <w:vAlign w:val="center"/>
          </w:tcPr>
          <w:p w:rsidR="00E15C81" w:rsidRPr="00514132" w:rsidRDefault="00E15C81" w:rsidP="00656259">
            <w:pPr>
              <w:jc w:val="center"/>
              <w:rPr>
                <w:rFonts w:ascii="Arial" w:hAnsi="Arial" w:cs="Arial"/>
                <w:b/>
                <w:color w:val="FF0000"/>
                <w:sz w:val="18"/>
                <w:szCs w:val="18"/>
              </w:rPr>
            </w:pPr>
            <w:r w:rsidRPr="00514132">
              <w:rPr>
                <w:rFonts w:ascii="Arial" w:hAnsi="Arial" w:cs="Arial"/>
                <w:b/>
                <w:color w:val="FF0000"/>
                <w:sz w:val="18"/>
                <w:szCs w:val="18"/>
              </w:rPr>
              <w:t>12.21</w:t>
            </w:r>
          </w:p>
        </w:tc>
        <w:tc>
          <w:tcPr>
            <w:tcW w:w="4856" w:type="dxa"/>
            <w:shd w:val="clear" w:color="auto" w:fill="auto"/>
            <w:vAlign w:val="center"/>
          </w:tcPr>
          <w:p w:rsidR="00E15C81" w:rsidRPr="00514132" w:rsidRDefault="00E15C81" w:rsidP="00656259">
            <w:pPr>
              <w:rPr>
                <w:rFonts w:ascii="Arial" w:hAnsi="Arial" w:cs="Arial"/>
                <w:b/>
                <w:color w:val="FF0000"/>
                <w:sz w:val="18"/>
                <w:szCs w:val="18"/>
              </w:rPr>
            </w:pPr>
            <w:r w:rsidRPr="00514132">
              <w:rPr>
                <w:rFonts w:ascii="Arial" w:hAnsi="Arial" w:cs="Arial"/>
                <w:b/>
                <w:color w:val="FF0000"/>
                <w:sz w:val="18"/>
                <w:szCs w:val="18"/>
              </w:rPr>
              <w:t>Zjednodušení podmínek pro drobné výrobce obnovitelných zdrojů energie také vyplývá z příslušných článků nově přijaté směrnice č. 2018/2001 o podpoře využití energie z obnovitelných zdrojů, která byla uveřejněna v úředním věstníku EU dne 21. prosince 2018. Termín pro transpozici uvedené směrnice je 30. června 2021.</w:t>
            </w:r>
          </w:p>
          <w:p w:rsidR="00E15C81" w:rsidRPr="00514132" w:rsidRDefault="00E15C81" w:rsidP="00656259">
            <w:pPr>
              <w:rPr>
                <w:rFonts w:ascii="Arial" w:hAnsi="Arial" w:cs="Arial"/>
                <w:b/>
                <w:color w:val="FF0000"/>
                <w:sz w:val="18"/>
                <w:szCs w:val="18"/>
              </w:rPr>
            </w:pPr>
            <w:r w:rsidRPr="00514132">
              <w:rPr>
                <w:rFonts w:ascii="Arial" w:hAnsi="Arial" w:cs="Arial"/>
                <w:b/>
                <w:color w:val="FF0000"/>
                <w:sz w:val="18"/>
                <w:szCs w:val="18"/>
              </w:rPr>
              <w:t>Vzhledem ke komplexnosti změn ve fungování trhu s elektřinou, které přináší směrnice 2019/944 o společných pravidlech pro vnitřní trh s elektřinou bylo rozhodnuto předložit nový energetický zákon. Věcný záměr nového energetického zákona bude předložen vládě na podzim roku 2020. Následně bude vypracováno paragrafové znění nového energetického zákona s termínem předložení vládě do prosince 2021.</w:t>
            </w:r>
          </w:p>
        </w:tc>
      </w:tr>
    </w:tbl>
    <w:p w:rsidR="00291DE2" w:rsidRPr="00761C7D" w:rsidRDefault="00291DE2" w:rsidP="00761C7D">
      <w:pPr>
        <w:pStyle w:val="Bezmezer"/>
        <w:spacing w:line="360" w:lineRule="auto"/>
        <w:jc w:val="both"/>
        <w:rPr>
          <w:rStyle w:val="Hypertextovodkaz"/>
          <w:rFonts w:ascii="Tahoma" w:hAnsi="Tahoma" w:cs="Tahoma"/>
          <w:b/>
          <w:color w:val="000000" w:themeColor="text1"/>
          <w:kern w:val="36"/>
          <w:sz w:val="24"/>
          <w:szCs w:val="24"/>
          <w:u w:val="none"/>
          <w:lang w:eastAsia="cs-CZ"/>
        </w:rPr>
      </w:pPr>
    </w:p>
    <w:sectPr w:rsidR="00291DE2" w:rsidRPr="00761C7D" w:rsidSect="00291DE2">
      <w:pgSz w:w="16838" w:h="11906" w:orient="landscape"/>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508" w:rsidRDefault="00914508" w:rsidP="004F17ED">
      <w:pPr>
        <w:spacing w:after="0" w:line="240" w:lineRule="auto"/>
      </w:pPr>
      <w:r>
        <w:separator/>
      </w:r>
    </w:p>
  </w:endnote>
  <w:endnote w:type="continuationSeparator" w:id="0">
    <w:p w:rsidR="00914508" w:rsidRDefault="00914508"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63038F" w:rsidRDefault="0063038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160EC0">
              <w:rPr>
                <w:rFonts w:ascii="Tahoma" w:hAnsi="Tahoma" w:cs="Tahoma"/>
                <w:b/>
                <w:bCs/>
                <w:noProof/>
                <w:sz w:val="16"/>
                <w:szCs w:val="16"/>
              </w:rPr>
              <w:t>5</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160EC0">
              <w:rPr>
                <w:rFonts w:ascii="Tahoma" w:hAnsi="Tahoma" w:cs="Tahoma"/>
                <w:b/>
                <w:bCs/>
                <w:noProof/>
                <w:sz w:val="16"/>
                <w:szCs w:val="16"/>
              </w:rPr>
              <w:t>11</w:t>
            </w:r>
            <w:r w:rsidRPr="00FB7F36">
              <w:rPr>
                <w:rFonts w:ascii="Tahoma" w:hAnsi="Tahoma" w:cs="Tahoma"/>
                <w:b/>
                <w:bCs/>
                <w:sz w:val="16"/>
                <w:szCs w:val="16"/>
              </w:rPr>
              <w:fldChar w:fldCharType="end"/>
            </w:r>
          </w:p>
        </w:sdtContent>
      </w:sdt>
    </w:sdtContent>
  </w:sdt>
  <w:p w:rsidR="0063038F" w:rsidRDefault="006303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508" w:rsidRDefault="00914508" w:rsidP="004F17ED">
      <w:pPr>
        <w:spacing w:after="0" w:line="240" w:lineRule="auto"/>
      </w:pPr>
      <w:r>
        <w:separator/>
      </w:r>
    </w:p>
  </w:footnote>
  <w:footnote w:type="continuationSeparator" w:id="0">
    <w:p w:rsidR="00914508" w:rsidRDefault="00914508"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891C21"/>
    <w:multiLevelType w:val="hybridMultilevel"/>
    <w:tmpl w:val="BE14B06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2">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nsid w:val="08933047"/>
    <w:multiLevelType w:val="hybridMultilevel"/>
    <w:tmpl w:val="5DAAD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B487BDB"/>
    <w:multiLevelType w:val="hybridMultilevel"/>
    <w:tmpl w:val="2F8A3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8">
    <w:nsid w:val="1A3D5227"/>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1">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303C2180"/>
    <w:multiLevelType w:val="hybridMultilevel"/>
    <w:tmpl w:val="E7507280"/>
    <w:lvl w:ilvl="0" w:tplc="1C4E1C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4">
    <w:nsid w:val="3A6F6F2A"/>
    <w:multiLevelType w:val="hybridMultilevel"/>
    <w:tmpl w:val="E25EC07E"/>
    <w:lvl w:ilvl="0" w:tplc="28580D62">
      <w:start w:val="2"/>
      <w:numFmt w:val="bullet"/>
      <w:lvlText w:val="-"/>
      <w:lvlJc w:val="left"/>
      <w:pPr>
        <w:ind w:left="644" w:hanging="360"/>
      </w:pPr>
      <w:rPr>
        <w:rFonts w:ascii="Calibri" w:eastAsiaTheme="minorHAnsi" w:hAnsi="Calibri" w:cs="Calibr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3E3D593B"/>
    <w:multiLevelType w:val="hybridMultilevel"/>
    <w:tmpl w:val="796207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484290"/>
    <w:multiLevelType w:val="hybridMultilevel"/>
    <w:tmpl w:val="DD4E75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0E25ADF"/>
    <w:multiLevelType w:val="hybridMultilevel"/>
    <w:tmpl w:val="D5C2F4DA"/>
    <w:lvl w:ilvl="0" w:tplc="2DCAE3EE">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3901BC5"/>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9">
    <w:nsid w:val="474D0B6D"/>
    <w:multiLevelType w:val="hybridMultilevel"/>
    <w:tmpl w:val="1F5E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2">
    <w:nsid w:val="502A0E88"/>
    <w:multiLevelType w:val="hybridMultilevel"/>
    <w:tmpl w:val="2466CFA0"/>
    <w:lvl w:ilvl="0" w:tplc="2EA49FFC">
      <w:start w:val="3"/>
      <w:numFmt w:val="bullet"/>
      <w:lvlText w:val="-"/>
      <w:lvlJc w:val="left"/>
      <w:pPr>
        <w:ind w:left="1068" w:hanging="360"/>
      </w:pPr>
      <w:rPr>
        <w:rFonts w:ascii="Tahoma" w:eastAsiaTheme="minorHAnsi"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4">
    <w:nsid w:val="56640868"/>
    <w:multiLevelType w:val="hybridMultilevel"/>
    <w:tmpl w:val="7E68D6AE"/>
    <w:lvl w:ilvl="0" w:tplc="E196C5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078386B"/>
    <w:multiLevelType w:val="hybridMultilevel"/>
    <w:tmpl w:val="25CA01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E4D58CB"/>
    <w:multiLevelType w:val="hybridMultilevel"/>
    <w:tmpl w:val="FE886686"/>
    <w:lvl w:ilvl="0" w:tplc="9AD08C54">
      <w:start w:val="11"/>
      <w:numFmt w:val="bullet"/>
      <w:lvlText w:val="-"/>
      <w:lvlJc w:val="left"/>
      <w:pPr>
        <w:ind w:left="720" w:hanging="360"/>
      </w:pPr>
      <w:rPr>
        <w:rFonts w:ascii="Times New Roman" w:eastAsiaTheme="minorEastAsia"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0"/>
  </w:num>
  <w:num w:numId="3">
    <w:abstractNumId w:val="23"/>
  </w:num>
  <w:num w:numId="4">
    <w:abstractNumId w:val="12"/>
  </w:num>
  <w:num w:numId="5">
    <w:abstractNumId w:val="11"/>
  </w:num>
  <w:num w:numId="6">
    <w:abstractNumId w:val="17"/>
  </w:num>
  <w:num w:numId="7">
    <w:abstractNumId w:val="40"/>
  </w:num>
  <w:num w:numId="8">
    <w:abstractNumId w:val="16"/>
  </w:num>
  <w:num w:numId="9">
    <w:abstractNumId w:val="42"/>
  </w:num>
  <w:num w:numId="10">
    <w:abstractNumId w:val="35"/>
  </w:num>
  <w:num w:numId="11">
    <w:abstractNumId w:val="38"/>
  </w:num>
  <w:num w:numId="12">
    <w:abstractNumId w:val="37"/>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9"/>
  </w:num>
  <w:num w:numId="24">
    <w:abstractNumId w:val="21"/>
  </w:num>
  <w:num w:numId="25">
    <w:abstractNumId w:val="20"/>
  </w:num>
  <w:num w:numId="26">
    <w:abstractNumId w:val="41"/>
  </w:num>
  <w:num w:numId="27">
    <w:abstractNumId w:val="26"/>
  </w:num>
  <w:num w:numId="28">
    <w:abstractNumId w:val="13"/>
  </w:num>
  <w:num w:numId="29">
    <w:abstractNumId w:val="15"/>
  </w:num>
  <w:num w:numId="30">
    <w:abstractNumId w:val="24"/>
  </w:num>
  <w:num w:numId="31">
    <w:abstractNumId w:val="14"/>
  </w:num>
  <w:num w:numId="32">
    <w:abstractNumId w:val="29"/>
  </w:num>
  <w:num w:numId="33">
    <w:abstractNumId w:val="10"/>
  </w:num>
  <w:num w:numId="34">
    <w:abstractNumId w:val="33"/>
  </w:num>
  <w:num w:numId="35">
    <w:abstractNumId w:val="39"/>
  </w:num>
  <w:num w:numId="36">
    <w:abstractNumId w:val="32"/>
  </w:num>
  <w:num w:numId="37">
    <w:abstractNumId w:val="25"/>
  </w:num>
  <w:num w:numId="38">
    <w:abstractNumId w:val="36"/>
  </w:num>
  <w:num w:numId="39">
    <w:abstractNumId w:val="28"/>
  </w:num>
  <w:num w:numId="40">
    <w:abstractNumId w:val="34"/>
  </w:num>
  <w:num w:numId="41">
    <w:abstractNumId w:val="27"/>
  </w:num>
  <w:num w:numId="42">
    <w:abstractNumId w:val="18"/>
  </w:num>
  <w:num w:numId="4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2A50"/>
    <w:rsid w:val="00073AE1"/>
    <w:rsid w:val="00073DF1"/>
    <w:rsid w:val="00075A74"/>
    <w:rsid w:val="000767BA"/>
    <w:rsid w:val="00076B99"/>
    <w:rsid w:val="00080478"/>
    <w:rsid w:val="00081677"/>
    <w:rsid w:val="00083EC8"/>
    <w:rsid w:val="00084E43"/>
    <w:rsid w:val="000867AE"/>
    <w:rsid w:val="00093AAA"/>
    <w:rsid w:val="000944DB"/>
    <w:rsid w:val="00095900"/>
    <w:rsid w:val="00095F6D"/>
    <w:rsid w:val="000A1864"/>
    <w:rsid w:val="000A2367"/>
    <w:rsid w:val="000A6ED0"/>
    <w:rsid w:val="000A72EB"/>
    <w:rsid w:val="000B2C9A"/>
    <w:rsid w:val="000B2D74"/>
    <w:rsid w:val="000B6E81"/>
    <w:rsid w:val="000C2015"/>
    <w:rsid w:val="000C21BA"/>
    <w:rsid w:val="000C3CEF"/>
    <w:rsid w:val="000D10C4"/>
    <w:rsid w:val="000D120A"/>
    <w:rsid w:val="000D1219"/>
    <w:rsid w:val="000D3219"/>
    <w:rsid w:val="000D322B"/>
    <w:rsid w:val="000D43A2"/>
    <w:rsid w:val="000D5A9A"/>
    <w:rsid w:val="000D5D2E"/>
    <w:rsid w:val="000D7741"/>
    <w:rsid w:val="000D79B5"/>
    <w:rsid w:val="000E3D1B"/>
    <w:rsid w:val="000E54E9"/>
    <w:rsid w:val="000F2090"/>
    <w:rsid w:val="000F3867"/>
    <w:rsid w:val="000F401A"/>
    <w:rsid w:val="000F43FA"/>
    <w:rsid w:val="000F4720"/>
    <w:rsid w:val="000F4B51"/>
    <w:rsid w:val="000F5A9C"/>
    <w:rsid w:val="000F69B8"/>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440A6"/>
    <w:rsid w:val="00144CDD"/>
    <w:rsid w:val="00145C1F"/>
    <w:rsid w:val="0015004C"/>
    <w:rsid w:val="00150FB7"/>
    <w:rsid w:val="00151B6E"/>
    <w:rsid w:val="00156C6C"/>
    <w:rsid w:val="00160EC0"/>
    <w:rsid w:val="00161952"/>
    <w:rsid w:val="00161BEA"/>
    <w:rsid w:val="00162805"/>
    <w:rsid w:val="001629CF"/>
    <w:rsid w:val="00162B8A"/>
    <w:rsid w:val="00163DDA"/>
    <w:rsid w:val="0016564F"/>
    <w:rsid w:val="00165B6A"/>
    <w:rsid w:val="00174A2D"/>
    <w:rsid w:val="00175208"/>
    <w:rsid w:val="001765B5"/>
    <w:rsid w:val="001807E4"/>
    <w:rsid w:val="001810A3"/>
    <w:rsid w:val="00184111"/>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3BAC"/>
    <w:rsid w:val="001D488C"/>
    <w:rsid w:val="001D7CC3"/>
    <w:rsid w:val="001D7E31"/>
    <w:rsid w:val="001E247A"/>
    <w:rsid w:val="001E257B"/>
    <w:rsid w:val="001E53D1"/>
    <w:rsid w:val="001E6F7D"/>
    <w:rsid w:val="001F16D1"/>
    <w:rsid w:val="001F1F7F"/>
    <w:rsid w:val="001F3948"/>
    <w:rsid w:val="001F5995"/>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97B"/>
    <w:rsid w:val="00221F51"/>
    <w:rsid w:val="00222868"/>
    <w:rsid w:val="00224FD6"/>
    <w:rsid w:val="00225A40"/>
    <w:rsid w:val="0022746F"/>
    <w:rsid w:val="00233EF7"/>
    <w:rsid w:val="0023405F"/>
    <w:rsid w:val="00235322"/>
    <w:rsid w:val="00236086"/>
    <w:rsid w:val="00240477"/>
    <w:rsid w:val="00242580"/>
    <w:rsid w:val="002441B4"/>
    <w:rsid w:val="00247A69"/>
    <w:rsid w:val="0025086C"/>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738A3"/>
    <w:rsid w:val="002757EC"/>
    <w:rsid w:val="00276A8C"/>
    <w:rsid w:val="00276F8F"/>
    <w:rsid w:val="00283557"/>
    <w:rsid w:val="00283D2E"/>
    <w:rsid w:val="0028484D"/>
    <w:rsid w:val="0028797B"/>
    <w:rsid w:val="002910D6"/>
    <w:rsid w:val="00291DE2"/>
    <w:rsid w:val="00292D21"/>
    <w:rsid w:val="00295C86"/>
    <w:rsid w:val="00296169"/>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D14F8"/>
    <w:rsid w:val="002D1507"/>
    <w:rsid w:val="002D6498"/>
    <w:rsid w:val="002D7924"/>
    <w:rsid w:val="002E0119"/>
    <w:rsid w:val="002E0228"/>
    <w:rsid w:val="002E065A"/>
    <w:rsid w:val="002E0C9E"/>
    <w:rsid w:val="002E1514"/>
    <w:rsid w:val="002E151F"/>
    <w:rsid w:val="002E25AB"/>
    <w:rsid w:val="002E3FD5"/>
    <w:rsid w:val="002E7FFC"/>
    <w:rsid w:val="002F207D"/>
    <w:rsid w:val="002F4748"/>
    <w:rsid w:val="002F57E7"/>
    <w:rsid w:val="002F798B"/>
    <w:rsid w:val="0030352A"/>
    <w:rsid w:val="003037DA"/>
    <w:rsid w:val="00304048"/>
    <w:rsid w:val="00304CFA"/>
    <w:rsid w:val="00305BBB"/>
    <w:rsid w:val="00306184"/>
    <w:rsid w:val="003077D1"/>
    <w:rsid w:val="00310DD6"/>
    <w:rsid w:val="00311B5F"/>
    <w:rsid w:val="00311C47"/>
    <w:rsid w:val="00312C05"/>
    <w:rsid w:val="003131F8"/>
    <w:rsid w:val="00313573"/>
    <w:rsid w:val="00322DF8"/>
    <w:rsid w:val="003238FB"/>
    <w:rsid w:val="003249E2"/>
    <w:rsid w:val="00327C6A"/>
    <w:rsid w:val="00330B21"/>
    <w:rsid w:val="00333363"/>
    <w:rsid w:val="00335B85"/>
    <w:rsid w:val="00335BB7"/>
    <w:rsid w:val="00343B36"/>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28E1"/>
    <w:rsid w:val="00363670"/>
    <w:rsid w:val="0036402D"/>
    <w:rsid w:val="00370ABB"/>
    <w:rsid w:val="00371022"/>
    <w:rsid w:val="0037265F"/>
    <w:rsid w:val="00372802"/>
    <w:rsid w:val="00372FB7"/>
    <w:rsid w:val="00374BCE"/>
    <w:rsid w:val="00376752"/>
    <w:rsid w:val="00380F22"/>
    <w:rsid w:val="00381538"/>
    <w:rsid w:val="00384022"/>
    <w:rsid w:val="0038411B"/>
    <w:rsid w:val="00386132"/>
    <w:rsid w:val="00387D2A"/>
    <w:rsid w:val="003902D6"/>
    <w:rsid w:val="00390BE2"/>
    <w:rsid w:val="003912B4"/>
    <w:rsid w:val="00392A6A"/>
    <w:rsid w:val="00393EB9"/>
    <w:rsid w:val="00395866"/>
    <w:rsid w:val="003968B1"/>
    <w:rsid w:val="003A43FE"/>
    <w:rsid w:val="003A5632"/>
    <w:rsid w:val="003A666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4214"/>
    <w:rsid w:val="003F5319"/>
    <w:rsid w:val="003F7FFC"/>
    <w:rsid w:val="00400CA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2CD7"/>
    <w:rsid w:val="00423FDD"/>
    <w:rsid w:val="00424128"/>
    <w:rsid w:val="004242DB"/>
    <w:rsid w:val="00426698"/>
    <w:rsid w:val="00427709"/>
    <w:rsid w:val="00427F2F"/>
    <w:rsid w:val="00434454"/>
    <w:rsid w:val="004353BF"/>
    <w:rsid w:val="00440048"/>
    <w:rsid w:val="0044093C"/>
    <w:rsid w:val="004450E2"/>
    <w:rsid w:val="0044547E"/>
    <w:rsid w:val="00447E10"/>
    <w:rsid w:val="004515D2"/>
    <w:rsid w:val="004536BC"/>
    <w:rsid w:val="00454762"/>
    <w:rsid w:val="004549DE"/>
    <w:rsid w:val="004559EA"/>
    <w:rsid w:val="0046059F"/>
    <w:rsid w:val="0046265B"/>
    <w:rsid w:val="00465991"/>
    <w:rsid w:val="0046696E"/>
    <w:rsid w:val="00466E48"/>
    <w:rsid w:val="0047044D"/>
    <w:rsid w:val="00471191"/>
    <w:rsid w:val="00471384"/>
    <w:rsid w:val="004766A0"/>
    <w:rsid w:val="004826DF"/>
    <w:rsid w:val="004901A5"/>
    <w:rsid w:val="0049025F"/>
    <w:rsid w:val="00490473"/>
    <w:rsid w:val="00491428"/>
    <w:rsid w:val="00491EB7"/>
    <w:rsid w:val="004935E1"/>
    <w:rsid w:val="00494BA1"/>
    <w:rsid w:val="00496091"/>
    <w:rsid w:val="0049649F"/>
    <w:rsid w:val="004A1140"/>
    <w:rsid w:val="004A22A3"/>
    <w:rsid w:val="004A3DCA"/>
    <w:rsid w:val="004B1669"/>
    <w:rsid w:val="004B16CD"/>
    <w:rsid w:val="004B22E8"/>
    <w:rsid w:val="004B555E"/>
    <w:rsid w:val="004C0443"/>
    <w:rsid w:val="004C27B8"/>
    <w:rsid w:val="004D0E8C"/>
    <w:rsid w:val="004D207B"/>
    <w:rsid w:val="004D224F"/>
    <w:rsid w:val="004D304C"/>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4132"/>
    <w:rsid w:val="005170B6"/>
    <w:rsid w:val="005203F3"/>
    <w:rsid w:val="00521193"/>
    <w:rsid w:val="005226BE"/>
    <w:rsid w:val="00524448"/>
    <w:rsid w:val="00525327"/>
    <w:rsid w:val="00525598"/>
    <w:rsid w:val="00525E70"/>
    <w:rsid w:val="0052707D"/>
    <w:rsid w:val="00527B4E"/>
    <w:rsid w:val="005302F5"/>
    <w:rsid w:val="00530CBE"/>
    <w:rsid w:val="00533958"/>
    <w:rsid w:val="00534670"/>
    <w:rsid w:val="005364B8"/>
    <w:rsid w:val="00537BA2"/>
    <w:rsid w:val="00540EA0"/>
    <w:rsid w:val="00542B36"/>
    <w:rsid w:val="00543D4A"/>
    <w:rsid w:val="00544C49"/>
    <w:rsid w:val="005452CF"/>
    <w:rsid w:val="005569B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162"/>
    <w:rsid w:val="005906EB"/>
    <w:rsid w:val="00590D0D"/>
    <w:rsid w:val="00595560"/>
    <w:rsid w:val="005A1D02"/>
    <w:rsid w:val="005A276A"/>
    <w:rsid w:val="005A32E8"/>
    <w:rsid w:val="005A5321"/>
    <w:rsid w:val="005B1C5E"/>
    <w:rsid w:val="005B3219"/>
    <w:rsid w:val="005B7211"/>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E6591"/>
    <w:rsid w:val="005F197A"/>
    <w:rsid w:val="005F6373"/>
    <w:rsid w:val="0060528B"/>
    <w:rsid w:val="00611C81"/>
    <w:rsid w:val="00612770"/>
    <w:rsid w:val="006129C4"/>
    <w:rsid w:val="00616728"/>
    <w:rsid w:val="00620586"/>
    <w:rsid w:val="00620DEB"/>
    <w:rsid w:val="00621743"/>
    <w:rsid w:val="006247DC"/>
    <w:rsid w:val="00624927"/>
    <w:rsid w:val="00625E80"/>
    <w:rsid w:val="00626608"/>
    <w:rsid w:val="00626DAB"/>
    <w:rsid w:val="0063038F"/>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1B06"/>
    <w:rsid w:val="00651B71"/>
    <w:rsid w:val="00655121"/>
    <w:rsid w:val="00656175"/>
    <w:rsid w:val="00660572"/>
    <w:rsid w:val="00661CF8"/>
    <w:rsid w:val="006621B9"/>
    <w:rsid w:val="00664BFA"/>
    <w:rsid w:val="00666289"/>
    <w:rsid w:val="00681668"/>
    <w:rsid w:val="006819A4"/>
    <w:rsid w:val="00685036"/>
    <w:rsid w:val="0068715C"/>
    <w:rsid w:val="00687E5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EB6"/>
    <w:rsid w:val="006B4688"/>
    <w:rsid w:val="006B6895"/>
    <w:rsid w:val="006B7EE9"/>
    <w:rsid w:val="006C005F"/>
    <w:rsid w:val="006C459B"/>
    <w:rsid w:val="006C4699"/>
    <w:rsid w:val="006C5AD8"/>
    <w:rsid w:val="006C6DAC"/>
    <w:rsid w:val="006C6F55"/>
    <w:rsid w:val="006C7AF7"/>
    <w:rsid w:val="006D07AF"/>
    <w:rsid w:val="006D139A"/>
    <w:rsid w:val="006D2E1E"/>
    <w:rsid w:val="006D437B"/>
    <w:rsid w:val="006D468C"/>
    <w:rsid w:val="006D487E"/>
    <w:rsid w:val="006D5353"/>
    <w:rsid w:val="006E09B3"/>
    <w:rsid w:val="006E28CD"/>
    <w:rsid w:val="006E4B7E"/>
    <w:rsid w:val="006E57D1"/>
    <w:rsid w:val="006F2E08"/>
    <w:rsid w:val="006F443D"/>
    <w:rsid w:val="0070119D"/>
    <w:rsid w:val="00701B95"/>
    <w:rsid w:val="00703EE5"/>
    <w:rsid w:val="007060DB"/>
    <w:rsid w:val="00706A9F"/>
    <w:rsid w:val="00707206"/>
    <w:rsid w:val="007105D2"/>
    <w:rsid w:val="0071067F"/>
    <w:rsid w:val="00711675"/>
    <w:rsid w:val="00711F19"/>
    <w:rsid w:val="007148E4"/>
    <w:rsid w:val="00715A6F"/>
    <w:rsid w:val="00715AD5"/>
    <w:rsid w:val="00721803"/>
    <w:rsid w:val="00721B7D"/>
    <w:rsid w:val="00724B67"/>
    <w:rsid w:val="007250DE"/>
    <w:rsid w:val="00727EBE"/>
    <w:rsid w:val="00730FC1"/>
    <w:rsid w:val="0073165C"/>
    <w:rsid w:val="007342F4"/>
    <w:rsid w:val="007400F7"/>
    <w:rsid w:val="007413F0"/>
    <w:rsid w:val="00741601"/>
    <w:rsid w:val="00745373"/>
    <w:rsid w:val="007503D0"/>
    <w:rsid w:val="00751E42"/>
    <w:rsid w:val="00760367"/>
    <w:rsid w:val="00760E95"/>
    <w:rsid w:val="00761984"/>
    <w:rsid w:val="00761C7D"/>
    <w:rsid w:val="0076277F"/>
    <w:rsid w:val="00765FD7"/>
    <w:rsid w:val="00767E86"/>
    <w:rsid w:val="0077167C"/>
    <w:rsid w:val="00772162"/>
    <w:rsid w:val="00773243"/>
    <w:rsid w:val="007767A0"/>
    <w:rsid w:val="00781FFA"/>
    <w:rsid w:val="007825CD"/>
    <w:rsid w:val="00783961"/>
    <w:rsid w:val="0078570F"/>
    <w:rsid w:val="00785AB4"/>
    <w:rsid w:val="00790364"/>
    <w:rsid w:val="00791AB2"/>
    <w:rsid w:val="007955A3"/>
    <w:rsid w:val="007957FF"/>
    <w:rsid w:val="0079795D"/>
    <w:rsid w:val="007A56F5"/>
    <w:rsid w:val="007A7BE0"/>
    <w:rsid w:val="007B7559"/>
    <w:rsid w:val="007C0CD0"/>
    <w:rsid w:val="007C0E18"/>
    <w:rsid w:val="007C2983"/>
    <w:rsid w:val="007C30AF"/>
    <w:rsid w:val="007C3635"/>
    <w:rsid w:val="007C36DB"/>
    <w:rsid w:val="007C3A4B"/>
    <w:rsid w:val="007C4043"/>
    <w:rsid w:val="007C51BB"/>
    <w:rsid w:val="007C520E"/>
    <w:rsid w:val="007D72DA"/>
    <w:rsid w:val="007E053D"/>
    <w:rsid w:val="007E317C"/>
    <w:rsid w:val="007E5097"/>
    <w:rsid w:val="007E6A31"/>
    <w:rsid w:val="007E7045"/>
    <w:rsid w:val="007F0254"/>
    <w:rsid w:val="007F09E2"/>
    <w:rsid w:val="007F154B"/>
    <w:rsid w:val="007F1D75"/>
    <w:rsid w:val="007F3540"/>
    <w:rsid w:val="0080163B"/>
    <w:rsid w:val="00801E54"/>
    <w:rsid w:val="008020EA"/>
    <w:rsid w:val="008048CD"/>
    <w:rsid w:val="0080530B"/>
    <w:rsid w:val="008105BA"/>
    <w:rsid w:val="00811B3E"/>
    <w:rsid w:val="00812AEE"/>
    <w:rsid w:val="008148A4"/>
    <w:rsid w:val="008165E7"/>
    <w:rsid w:val="0081766C"/>
    <w:rsid w:val="00817BD5"/>
    <w:rsid w:val="0082216D"/>
    <w:rsid w:val="00822C34"/>
    <w:rsid w:val="008230B0"/>
    <w:rsid w:val="0082325F"/>
    <w:rsid w:val="0082596B"/>
    <w:rsid w:val="00825F05"/>
    <w:rsid w:val="00825F8D"/>
    <w:rsid w:val="0082635A"/>
    <w:rsid w:val="008273E8"/>
    <w:rsid w:val="00831890"/>
    <w:rsid w:val="00832D57"/>
    <w:rsid w:val="00833FA6"/>
    <w:rsid w:val="008346D5"/>
    <w:rsid w:val="00836110"/>
    <w:rsid w:val="0083799C"/>
    <w:rsid w:val="00844B2A"/>
    <w:rsid w:val="008472B6"/>
    <w:rsid w:val="00847B08"/>
    <w:rsid w:val="00852426"/>
    <w:rsid w:val="00852FD0"/>
    <w:rsid w:val="0085507A"/>
    <w:rsid w:val="008559F5"/>
    <w:rsid w:val="00855B7C"/>
    <w:rsid w:val="00856973"/>
    <w:rsid w:val="0086206B"/>
    <w:rsid w:val="00862B3D"/>
    <w:rsid w:val="00863036"/>
    <w:rsid w:val="00863A2B"/>
    <w:rsid w:val="00863E13"/>
    <w:rsid w:val="0086604E"/>
    <w:rsid w:val="008662C9"/>
    <w:rsid w:val="008679EA"/>
    <w:rsid w:val="00867E85"/>
    <w:rsid w:val="0087193D"/>
    <w:rsid w:val="008728CF"/>
    <w:rsid w:val="008733A1"/>
    <w:rsid w:val="008741F9"/>
    <w:rsid w:val="00877BA9"/>
    <w:rsid w:val="008803F5"/>
    <w:rsid w:val="0088131E"/>
    <w:rsid w:val="00883431"/>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D0BF0"/>
    <w:rsid w:val="008D1F1C"/>
    <w:rsid w:val="008D5292"/>
    <w:rsid w:val="008D540D"/>
    <w:rsid w:val="008D626F"/>
    <w:rsid w:val="008D6A68"/>
    <w:rsid w:val="008D6BFF"/>
    <w:rsid w:val="008E39CB"/>
    <w:rsid w:val="008E4CC7"/>
    <w:rsid w:val="008E77C3"/>
    <w:rsid w:val="008E7880"/>
    <w:rsid w:val="008F311F"/>
    <w:rsid w:val="008F3BD2"/>
    <w:rsid w:val="008F3C49"/>
    <w:rsid w:val="008F5B58"/>
    <w:rsid w:val="00900A97"/>
    <w:rsid w:val="00901B4F"/>
    <w:rsid w:val="00901E8D"/>
    <w:rsid w:val="00902E94"/>
    <w:rsid w:val="00903E6E"/>
    <w:rsid w:val="0090407F"/>
    <w:rsid w:val="00904456"/>
    <w:rsid w:val="00905085"/>
    <w:rsid w:val="0091029A"/>
    <w:rsid w:val="00910943"/>
    <w:rsid w:val="00912943"/>
    <w:rsid w:val="009143FC"/>
    <w:rsid w:val="00914508"/>
    <w:rsid w:val="00914DDA"/>
    <w:rsid w:val="00915451"/>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3423"/>
    <w:rsid w:val="00944403"/>
    <w:rsid w:val="00950F60"/>
    <w:rsid w:val="0095537D"/>
    <w:rsid w:val="00957DE3"/>
    <w:rsid w:val="00957E6D"/>
    <w:rsid w:val="00963277"/>
    <w:rsid w:val="009645A1"/>
    <w:rsid w:val="0097133F"/>
    <w:rsid w:val="0097263C"/>
    <w:rsid w:val="009735AF"/>
    <w:rsid w:val="00973927"/>
    <w:rsid w:val="009770A0"/>
    <w:rsid w:val="00981081"/>
    <w:rsid w:val="009820A3"/>
    <w:rsid w:val="0098305A"/>
    <w:rsid w:val="009830E2"/>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D0163"/>
    <w:rsid w:val="009D0EF5"/>
    <w:rsid w:val="009D37B7"/>
    <w:rsid w:val="009D6849"/>
    <w:rsid w:val="009F1E7E"/>
    <w:rsid w:val="009F5B9C"/>
    <w:rsid w:val="009F61D5"/>
    <w:rsid w:val="00A00B1A"/>
    <w:rsid w:val="00A00D5C"/>
    <w:rsid w:val="00A00EFE"/>
    <w:rsid w:val="00A05448"/>
    <w:rsid w:val="00A061C6"/>
    <w:rsid w:val="00A06F92"/>
    <w:rsid w:val="00A102ED"/>
    <w:rsid w:val="00A1069C"/>
    <w:rsid w:val="00A1138A"/>
    <w:rsid w:val="00A14697"/>
    <w:rsid w:val="00A16980"/>
    <w:rsid w:val="00A17C8E"/>
    <w:rsid w:val="00A20227"/>
    <w:rsid w:val="00A235E1"/>
    <w:rsid w:val="00A2427F"/>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3152"/>
    <w:rsid w:val="00AA3B8A"/>
    <w:rsid w:val="00AB052A"/>
    <w:rsid w:val="00AB2AC7"/>
    <w:rsid w:val="00AB460C"/>
    <w:rsid w:val="00AB7A72"/>
    <w:rsid w:val="00AC0AFF"/>
    <w:rsid w:val="00AC1DD3"/>
    <w:rsid w:val="00AD0C9A"/>
    <w:rsid w:val="00AE0E69"/>
    <w:rsid w:val="00AE1C12"/>
    <w:rsid w:val="00AE44E1"/>
    <w:rsid w:val="00AE6FE8"/>
    <w:rsid w:val="00AE7D3E"/>
    <w:rsid w:val="00AF5E0A"/>
    <w:rsid w:val="00AF70D0"/>
    <w:rsid w:val="00B00530"/>
    <w:rsid w:val="00B01EFD"/>
    <w:rsid w:val="00B02CA3"/>
    <w:rsid w:val="00B04DCC"/>
    <w:rsid w:val="00B11D59"/>
    <w:rsid w:val="00B11E72"/>
    <w:rsid w:val="00B16007"/>
    <w:rsid w:val="00B16A80"/>
    <w:rsid w:val="00B17807"/>
    <w:rsid w:val="00B22012"/>
    <w:rsid w:val="00B23DBB"/>
    <w:rsid w:val="00B2481A"/>
    <w:rsid w:val="00B256C5"/>
    <w:rsid w:val="00B260C9"/>
    <w:rsid w:val="00B2624B"/>
    <w:rsid w:val="00B279C5"/>
    <w:rsid w:val="00B27A24"/>
    <w:rsid w:val="00B36378"/>
    <w:rsid w:val="00B37871"/>
    <w:rsid w:val="00B40347"/>
    <w:rsid w:val="00B4088F"/>
    <w:rsid w:val="00B445FA"/>
    <w:rsid w:val="00B45331"/>
    <w:rsid w:val="00B469B4"/>
    <w:rsid w:val="00B503F5"/>
    <w:rsid w:val="00B53ECD"/>
    <w:rsid w:val="00B54AC3"/>
    <w:rsid w:val="00B556C5"/>
    <w:rsid w:val="00B61873"/>
    <w:rsid w:val="00B61D44"/>
    <w:rsid w:val="00B62A83"/>
    <w:rsid w:val="00B636CE"/>
    <w:rsid w:val="00B64DE1"/>
    <w:rsid w:val="00B6540A"/>
    <w:rsid w:val="00B671E0"/>
    <w:rsid w:val="00B72496"/>
    <w:rsid w:val="00B74BB6"/>
    <w:rsid w:val="00B77CFA"/>
    <w:rsid w:val="00B841BD"/>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62FF"/>
    <w:rsid w:val="00BB7792"/>
    <w:rsid w:val="00BC07F1"/>
    <w:rsid w:val="00BC26B3"/>
    <w:rsid w:val="00BC27A0"/>
    <w:rsid w:val="00BC2E2C"/>
    <w:rsid w:val="00BC309F"/>
    <w:rsid w:val="00BC329B"/>
    <w:rsid w:val="00BC582F"/>
    <w:rsid w:val="00BC6286"/>
    <w:rsid w:val="00BC63BD"/>
    <w:rsid w:val="00BD3E76"/>
    <w:rsid w:val="00BE18F8"/>
    <w:rsid w:val="00BE541E"/>
    <w:rsid w:val="00BE5B7A"/>
    <w:rsid w:val="00BF15EC"/>
    <w:rsid w:val="00BF6038"/>
    <w:rsid w:val="00BF62E2"/>
    <w:rsid w:val="00BF661B"/>
    <w:rsid w:val="00BF70FD"/>
    <w:rsid w:val="00C023AC"/>
    <w:rsid w:val="00C02A29"/>
    <w:rsid w:val="00C05079"/>
    <w:rsid w:val="00C1167A"/>
    <w:rsid w:val="00C11BF0"/>
    <w:rsid w:val="00C14B60"/>
    <w:rsid w:val="00C17383"/>
    <w:rsid w:val="00C17D68"/>
    <w:rsid w:val="00C20B2E"/>
    <w:rsid w:val="00C273B0"/>
    <w:rsid w:val="00C31C60"/>
    <w:rsid w:val="00C34799"/>
    <w:rsid w:val="00C34DBF"/>
    <w:rsid w:val="00C37128"/>
    <w:rsid w:val="00C3782E"/>
    <w:rsid w:val="00C40179"/>
    <w:rsid w:val="00C4324C"/>
    <w:rsid w:val="00C44F97"/>
    <w:rsid w:val="00C470A1"/>
    <w:rsid w:val="00C47373"/>
    <w:rsid w:val="00C47E3E"/>
    <w:rsid w:val="00C50A52"/>
    <w:rsid w:val="00C55A70"/>
    <w:rsid w:val="00C55B8C"/>
    <w:rsid w:val="00C57BCD"/>
    <w:rsid w:val="00C619D5"/>
    <w:rsid w:val="00C63AD4"/>
    <w:rsid w:val="00C6602B"/>
    <w:rsid w:val="00C66CD6"/>
    <w:rsid w:val="00C67418"/>
    <w:rsid w:val="00C70383"/>
    <w:rsid w:val="00C70CB1"/>
    <w:rsid w:val="00C72818"/>
    <w:rsid w:val="00C75530"/>
    <w:rsid w:val="00C77004"/>
    <w:rsid w:val="00C87754"/>
    <w:rsid w:val="00C90508"/>
    <w:rsid w:val="00C915B1"/>
    <w:rsid w:val="00C9199A"/>
    <w:rsid w:val="00C928B3"/>
    <w:rsid w:val="00C92B7D"/>
    <w:rsid w:val="00C964BD"/>
    <w:rsid w:val="00C976C3"/>
    <w:rsid w:val="00CA1663"/>
    <w:rsid w:val="00CA685A"/>
    <w:rsid w:val="00CA7478"/>
    <w:rsid w:val="00CB0FB3"/>
    <w:rsid w:val="00CB11A0"/>
    <w:rsid w:val="00CB2B4C"/>
    <w:rsid w:val="00CB376B"/>
    <w:rsid w:val="00CB5430"/>
    <w:rsid w:val="00CB6EA4"/>
    <w:rsid w:val="00CB711D"/>
    <w:rsid w:val="00CC0018"/>
    <w:rsid w:val="00CC444E"/>
    <w:rsid w:val="00CC6958"/>
    <w:rsid w:val="00CD247B"/>
    <w:rsid w:val="00CD493F"/>
    <w:rsid w:val="00CD6D43"/>
    <w:rsid w:val="00CD711D"/>
    <w:rsid w:val="00CE0565"/>
    <w:rsid w:val="00CE29A0"/>
    <w:rsid w:val="00CE36F5"/>
    <w:rsid w:val="00CE413C"/>
    <w:rsid w:val="00CE4377"/>
    <w:rsid w:val="00CE483A"/>
    <w:rsid w:val="00CE724B"/>
    <w:rsid w:val="00CE7FBD"/>
    <w:rsid w:val="00CF014B"/>
    <w:rsid w:val="00CF2948"/>
    <w:rsid w:val="00CF3793"/>
    <w:rsid w:val="00CF3ED9"/>
    <w:rsid w:val="00CF5796"/>
    <w:rsid w:val="00D014C8"/>
    <w:rsid w:val="00D045A8"/>
    <w:rsid w:val="00D04F32"/>
    <w:rsid w:val="00D05022"/>
    <w:rsid w:val="00D0703B"/>
    <w:rsid w:val="00D07E73"/>
    <w:rsid w:val="00D10D0F"/>
    <w:rsid w:val="00D1107C"/>
    <w:rsid w:val="00D1753B"/>
    <w:rsid w:val="00D20249"/>
    <w:rsid w:val="00D21C7F"/>
    <w:rsid w:val="00D2228E"/>
    <w:rsid w:val="00D232D6"/>
    <w:rsid w:val="00D234E4"/>
    <w:rsid w:val="00D25F31"/>
    <w:rsid w:val="00D268C4"/>
    <w:rsid w:val="00D3025E"/>
    <w:rsid w:val="00D33CE6"/>
    <w:rsid w:val="00D340E4"/>
    <w:rsid w:val="00D34946"/>
    <w:rsid w:val="00D352CF"/>
    <w:rsid w:val="00D37117"/>
    <w:rsid w:val="00D37885"/>
    <w:rsid w:val="00D40031"/>
    <w:rsid w:val="00D410F7"/>
    <w:rsid w:val="00D41645"/>
    <w:rsid w:val="00D424F2"/>
    <w:rsid w:val="00D42DDD"/>
    <w:rsid w:val="00D4355F"/>
    <w:rsid w:val="00D43FA7"/>
    <w:rsid w:val="00D45DC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D1AA1"/>
    <w:rsid w:val="00DD4232"/>
    <w:rsid w:val="00DD47F1"/>
    <w:rsid w:val="00DE312D"/>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5C81"/>
    <w:rsid w:val="00E2287C"/>
    <w:rsid w:val="00E23EF9"/>
    <w:rsid w:val="00E24E8A"/>
    <w:rsid w:val="00E3074E"/>
    <w:rsid w:val="00E3131E"/>
    <w:rsid w:val="00E31529"/>
    <w:rsid w:val="00E33D85"/>
    <w:rsid w:val="00E36480"/>
    <w:rsid w:val="00E4476D"/>
    <w:rsid w:val="00E45A2F"/>
    <w:rsid w:val="00E47EAC"/>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905FA"/>
    <w:rsid w:val="00E939BE"/>
    <w:rsid w:val="00E94F5C"/>
    <w:rsid w:val="00E9675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45F8"/>
    <w:rsid w:val="00EE72BF"/>
    <w:rsid w:val="00EF2693"/>
    <w:rsid w:val="00EF4375"/>
    <w:rsid w:val="00EF673E"/>
    <w:rsid w:val="00F00EFC"/>
    <w:rsid w:val="00F01D94"/>
    <w:rsid w:val="00F02B7C"/>
    <w:rsid w:val="00F03500"/>
    <w:rsid w:val="00F03A9F"/>
    <w:rsid w:val="00F059ED"/>
    <w:rsid w:val="00F06517"/>
    <w:rsid w:val="00F104A5"/>
    <w:rsid w:val="00F11B43"/>
    <w:rsid w:val="00F12A4C"/>
    <w:rsid w:val="00F12C83"/>
    <w:rsid w:val="00F166AB"/>
    <w:rsid w:val="00F17069"/>
    <w:rsid w:val="00F2046E"/>
    <w:rsid w:val="00F209B6"/>
    <w:rsid w:val="00F230F8"/>
    <w:rsid w:val="00F23F63"/>
    <w:rsid w:val="00F249AE"/>
    <w:rsid w:val="00F272E4"/>
    <w:rsid w:val="00F32275"/>
    <w:rsid w:val="00F33E4D"/>
    <w:rsid w:val="00F35345"/>
    <w:rsid w:val="00F367A2"/>
    <w:rsid w:val="00F40DE5"/>
    <w:rsid w:val="00F40F68"/>
    <w:rsid w:val="00F4152A"/>
    <w:rsid w:val="00F501D4"/>
    <w:rsid w:val="00F5181D"/>
    <w:rsid w:val="00F5205D"/>
    <w:rsid w:val="00F52216"/>
    <w:rsid w:val="00F54B41"/>
    <w:rsid w:val="00F5618E"/>
    <w:rsid w:val="00F6231A"/>
    <w:rsid w:val="00F65644"/>
    <w:rsid w:val="00F72C93"/>
    <w:rsid w:val="00F72F5E"/>
    <w:rsid w:val="00F773D5"/>
    <w:rsid w:val="00F77F42"/>
    <w:rsid w:val="00F807B3"/>
    <w:rsid w:val="00F80E3A"/>
    <w:rsid w:val="00F81F9E"/>
    <w:rsid w:val="00F82CE9"/>
    <w:rsid w:val="00F83248"/>
    <w:rsid w:val="00F83D9C"/>
    <w:rsid w:val="00F8634C"/>
    <w:rsid w:val="00F91C9E"/>
    <w:rsid w:val="00F91CAA"/>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948314148">
          <w:marLeft w:val="0"/>
          <w:marRight w:val="0"/>
          <w:marTop w:val="171"/>
          <w:marBottom w:val="0"/>
          <w:divBdr>
            <w:top w:val="none" w:sz="0" w:space="0" w:color="auto"/>
            <w:left w:val="none" w:sz="0" w:space="0" w:color="auto"/>
            <w:bottom w:val="none" w:sz="0" w:space="0" w:color="auto"/>
            <w:right w:val="none" w:sz="0" w:space="0" w:color="auto"/>
          </w:divBdr>
        </w:div>
        <w:div w:id="428047964">
          <w:marLeft w:val="0"/>
          <w:marRight w:val="0"/>
          <w:marTop w:val="0"/>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65C3F-A30F-41AD-AF12-ACE10EF5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2608</Words>
  <Characters>15394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41</cp:revision>
  <cp:lastPrinted>2020-12-16T15:05:00Z</cp:lastPrinted>
  <dcterms:created xsi:type="dcterms:W3CDTF">2020-10-30T13:20:00Z</dcterms:created>
  <dcterms:modified xsi:type="dcterms:W3CDTF">2021-01-21T09:13:00Z</dcterms:modified>
</cp:coreProperties>
</file>