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1B169671" wp14:editId="4C962459">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6B4688"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DUBEN</w:t>
      </w:r>
      <w:r w:rsidR="00144CDD">
        <w:rPr>
          <w:rFonts w:ascii="Tahoma" w:hAnsi="Tahoma" w:cs="Tahoma"/>
          <w:b/>
          <w:color w:val="000000" w:themeColor="text1"/>
          <w:sz w:val="32"/>
          <w:szCs w:val="20"/>
        </w:rPr>
        <w:t xml:space="preserve"> 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8D5292" w:rsidRDefault="008D5292" w:rsidP="008D5292">
      <w:pPr>
        <w:pStyle w:val="Bezmezer"/>
        <w:spacing w:line="360" w:lineRule="auto"/>
        <w:ind w:left="786"/>
        <w:jc w:val="both"/>
        <w:rPr>
          <w:rFonts w:ascii="Tahoma" w:hAnsi="Tahoma" w:cs="Tahoma"/>
          <w:b/>
          <w:i/>
          <w:color w:val="000000" w:themeColor="text1"/>
          <w:sz w:val="18"/>
          <w:szCs w:val="18"/>
        </w:rPr>
      </w:pPr>
    </w:p>
    <w:p w:rsidR="008D5292" w:rsidRDefault="008D5292" w:rsidP="008D5292">
      <w:pPr>
        <w:pStyle w:val="Bezmezer"/>
        <w:spacing w:line="360" w:lineRule="auto"/>
        <w:ind w:left="786"/>
        <w:jc w:val="both"/>
        <w:rPr>
          <w:rFonts w:ascii="Tahoma" w:hAnsi="Tahoma" w:cs="Tahoma"/>
          <w:b/>
          <w:i/>
          <w:color w:val="000000" w:themeColor="text1"/>
          <w:sz w:val="18"/>
          <w:szCs w:val="18"/>
        </w:rPr>
      </w:pPr>
      <w:r>
        <w:rPr>
          <w:rFonts w:ascii="Tahoma" w:hAnsi="Tahoma" w:cs="Tahoma"/>
          <w:b/>
          <w:i/>
          <w:color w:val="000000" w:themeColor="text1"/>
          <w:sz w:val="18"/>
          <w:szCs w:val="18"/>
        </w:rPr>
        <w:t>Ve sledovaném období nebyly vydány žádné právní předpisy relevantní pro činnost ČEPRO, vyjma níže uvedených zákonů vydaných v souvislosti s epidemií koronaviru:</w:t>
      </w:r>
    </w:p>
    <w:p w:rsidR="008D5292" w:rsidRPr="008D5292" w:rsidRDefault="008D5292" w:rsidP="008D5292">
      <w:pPr>
        <w:pStyle w:val="Bezmezer"/>
        <w:spacing w:line="360" w:lineRule="auto"/>
        <w:jc w:val="both"/>
        <w:rPr>
          <w:rFonts w:ascii="Tahoma" w:hAnsi="Tahoma" w:cs="Tahoma"/>
          <w:b/>
          <w:i/>
          <w:color w:val="000000" w:themeColor="text1"/>
          <w:sz w:val="18"/>
          <w:szCs w:val="18"/>
        </w:rPr>
      </w:pPr>
    </w:p>
    <w:p w:rsidR="008D5292" w:rsidRPr="008D5292" w:rsidRDefault="008D5292" w:rsidP="008D5292">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Zákon č. 191/2020 Sb.,</w:t>
      </w:r>
      <w:r w:rsidRPr="008D5292">
        <w:rPr>
          <w:rFonts w:ascii="Tahoma" w:hAnsi="Tahoma" w:cs="Tahoma"/>
          <w:color w:val="000000" w:themeColor="text1"/>
          <w:sz w:val="18"/>
          <w:szCs w:val="18"/>
        </w:rPr>
        <w:t xml:space="preserve"> o některých opatřeních ke zmírnění dopadů epidemie koronaviru SARS CoV-2 na osoby účastnící se soudního řízení, poškozené, oběti trestných činů a právnické osoby a o změně insolvenčního zákona a exekučního řádu</w:t>
      </w:r>
    </w:p>
    <w:p w:rsidR="008D5292" w:rsidRPr="008D5292" w:rsidRDefault="008D5292" w:rsidP="008D5292">
      <w:pPr>
        <w:pStyle w:val="Bezmezer"/>
        <w:numPr>
          <w:ilvl w:val="0"/>
          <w:numId w:val="2"/>
        </w:numPr>
        <w:spacing w:line="360" w:lineRule="auto"/>
        <w:jc w:val="both"/>
        <w:rPr>
          <w:rFonts w:ascii="Tahoma" w:hAnsi="Tahoma" w:cs="Tahoma"/>
          <w:color w:val="000000" w:themeColor="text1"/>
          <w:sz w:val="18"/>
          <w:szCs w:val="18"/>
        </w:rPr>
      </w:pPr>
      <w:r w:rsidRPr="008D5292">
        <w:rPr>
          <w:rFonts w:ascii="Tahoma" w:hAnsi="Tahoma" w:cs="Tahoma"/>
          <w:color w:val="000000" w:themeColor="text1"/>
          <w:sz w:val="18"/>
          <w:szCs w:val="18"/>
        </w:rPr>
        <w:t>Zákon č. 210/2020 Sb., o některých opatřeních ke zmírnění dopadů epidemie koronaviru SARS CoV-2 na nájemce prostor sloužících podnikání</w:t>
      </w:r>
    </w:p>
    <w:p w:rsidR="008D5292" w:rsidRPr="008D5292" w:rsidRDefault="008D5292" w:rsidP="008D5292">
      <w:pPr>
        <w:pStyle w:val="Bezmezer"/>
        <w:numPr>
          <w:ilvl w:val="0"/>
          <w:numId w:val="2"/>
        </w:numPr>
        <w:spacing w:line="360" w:lineRule="auto"/>
        <w:jc w:val="both"/>
        <w:rPr>
          <w:rFonts w:ascii="Tahoma" w:hAnsi="Tahoma" w:cs="Tahoma"/>
          <w:color w:val="000000" w:themeColor="text1"/>
          <w:sz w:val="18"/>
          <w:szCs w:val="18"/>
        </w:rPr>
      </w:pPr>
      <w:r w:rsidRPr="008D5292">
        <w:rPr>
          <w:rFonts w:ascii="Tahoma" w:hAnsi="Tahoma" w:cs="Tahoma"/>
          <w:color w:val="000000" w:themeColor="text1"/>
          <w:sz w:val="18"/>
          <w:szCs w:val="18"/>
        </w:rPr>
        <w:t>Zákon č. 177/2020 Sb., o některých opatřeních v oblasti splácení úvěrů v souvislosti s pandemií COVID-19</w:t>
      </w:r>
    </w:p>
    <w:p w:rsidR="008D5292" w:rsidRDefault="008D5292" w:rsidP="008D5292">
      <w:pPr>
        <w:pStyle w:val="Bezmezer"/>
        <w:spacing w:line="360" w:lineRule="auto"/>
        <w:ind w:left="786"/>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6D5353"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Výstupy</w:t>
      </w:r>
    </w:p>
    <w:p w:rsidR="002C4C4F" w:rsidRDefault="008D5292" w:rsidP="008D5292">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Ve sledovaném období nebyly předloženy výstupy.</w:t>
      </w:r>
    </w:p>
    <w:p w:rsidR="008D5292" w:rsidRPr="006D5353" w:rsidRDefault="008D5292" w:rsidP="008D5292">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8D5292" w:rsidRDefault="008D5292" w:rsidP="008D5292">
      <w:pPr>
        <w:pStyle w:val="Bezmezer"/>
        <w:numPr>
          <w:ilvl w:val="0"/>
          <w:numId w:val="2"/>
        </w:numPr>
        <w:spacing w:line="360" w:lineRule="auto"/>
        <w:jc w:val="both"/>
        <w:rPr>
          <w:rFonts w:ascii="Tahoma" w:hAnsi="Tahoma" w:cs="Tahoma"/>
          <w:color w:val="000000" w:themeColor="text1"/>
          <w:sz w:val="18"/>
          <w:szCs w:val="18"/>
        </w:rPr>
      </w:pPr>
      <w:r w:rsidRPr="008D5292">
        <w:rPr>
          <w:rFonts w:ascii="Tahoma" w:hAnsi="Tahoma" w:cs="Tahoma"/>
          <w:color w:val="000000" w:themeColor="text1"/>
          <w:sz w:val="18"/>
          <w:szCs w:val="18"/>
        </w:rPr>
        <w:t>Návrh zákona o soukromé bezpečnostní činnosti a o změně souvisejících zákonů</w:t>
      </w:r>
    </w:p>
    <w:p w:rsidR="00DE312D" w:rsidRPr="008D5292" w:rsidRDefault="00DE312D" w:rsidP="00DE312D">
      <w:pPr>
        <w:pStyle w:val="Bezmezer"/>
        <w:numPr>
          <w:ilvl w:val="0"/>
          <w:numId w:val="2"/>
        </w:numPr>
        <w:spacing w:line="360" w:lineRule="auto"/>
        <w:jc w:val="both"/>
        <w:rPr>
          <w:rFonts w:ascii="Tahoma" w:hAnsi="Tahoma" w:cs="Tahoma"/>
          <w:color w:val="000000" w:themeColor="text1"/>
          <w:sz w:val="18"/>
          <w:szCs w:val="18"/>
        </w:rPr>
      </w:pPr>
      <w:r w:rsidRPr="00DE312D">
        <w:rPr>
          <w:rFonts w:ascii="Tahoma" w:hAnsi="Tahoma" w:cs="Tahoma"/>
          <w:color w:val="000000" w:themeColor="text1"/>
          <w:sz w:val="18"/>
          <w:szCs w:val="18"/>
        </w:rPr>
        <w:t>Novela zákona č. 165/2012 Sb., o podporovaných zdrojích energie a zákona č. 458/2000 Sb., energetický zákon</w:t>
      </w:r>
    </w:p>
    <w:p w:rsidR="00902E94" w:rsidRDefault="008D5292" w:rsidP="008D5292">
      <w:pPr>
        <w:pStyle w:val="Bezmezer"/>
        <w:numPr>
          <w:ilvl w:val="0"/>
          <w:numId w:val="2"/>
        </w:numPr>
        <w:spacing w:line="360" w:lineRule="auto"/>
        <w:jc w:val="both"/>
        <w:rPr>
          <w:rFonts w:ascii="Tahoma" w:hAnsi="Tahoma" w:cs="Tahoma"/>
          <w:color w:val="000000" w:themeColor="text1"/>
          <w:sz w:val="18"/>
          <w:szCs w:val="18"/>
        </w:rPr>
      </w:pPr>
      <w:r w:rsidRPr="008D5292">
        <w:rPr>
          <w:rFonts w:ascii="Tahoma" w:hAnsi="Tahoma" w:cs="Tahoma"/>
          <w:color w:val="000000" w:themeColor="text1"/>
          <w:sz w:val="18"/>
          <w:szCs w:val="18"/>
        </w:rPr>
        <w:t>Novela zákona č. 143/2001 Sb., o ochraně hospodářské soutěže a o změně některých zákonů (zákon o ochraně hospodářské soutěže)</w:t>
      </w:r>
    </w:p>
    <w:p w:rsidR="008D5292" w:rsidRPr="00A31A51" w:rsidRDefault="008D5292" w:rsidP="008D5292">
      <w:pPr>
        <w:pStyle w:val="Bezmezer"/>
        <w:spacing w:line="360" w:lineRule="auto"/>
        <w:ind w:left="786"/>
        <w:jc w:val="both"/>
        <w:rPr>
          <w:rFonts w:ascii="Tahoma" w:hAnsi="Tahoma" w:cs="Tahoma"/>
          <w:color w:val="000000" w:themeColor="text1"/>
          <w:sz w:val="18"/>
          <w:szCs w:val="18"/>
        </w:rPr>
      </w:pPr>
    </w:p>
    <w:p w:rsidR="00BF15EC" w:rsidRPr="009943AD" w:rsidRDefault="00E23EF9" w:rsidP="00BF15E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III</w:t>
      </w:r>
      <w:r w:rsidR="00661CF8" w:rsidRPr="00A31A51">
        <w:rPr>
          <w:rFonts w:ascii="Tahoma" w:hAnsi="Tahoma" w:cs="Tahoma"/>
          <w:b/>
          <w:color w:val="000000" w:themeColor="text1"/>
          <w:sz w:val="18"/>
          <w:szCs w:val="18"/>
        </w:rPr>
        <w:t xml:space="preserve">. </w:t>
      </w:r>
      <w:r w:rsidR="00661CF8" w:rsidRPr="009943AD">
        <w:rPr>
          <w:rFonts w:ascii="Tahoma" w:hAnsi="Tahoma" w:cs="Tahoma"/>
          <w:b/>
          <w:color w:val="000000" w:themeColor="text1"/>
          <w:sz w:val="18"/>
          <w:szCs w:val="18"/>
        </w:rPr>
        <w:t>Aktuální judikatura</w:t>
      </w:r>
      <w:r w:rsidR="00161BEA" w:rsidRPr="009943AD">
        <w:rPr>
          <w:rFonts w:ascii="Tahoma" w:hAnsi="Tahoma" w:cs="Tahoma"/>
          <w:b/>
          <w:color w:val="000000" w:themeColor="text1"/>
          <w:sz w:val="18"/>
          <w:szCs w:val="18"/>
        </w:rPr>
        <w:t xml:space="preserve"> a stanoviska</w:t>
      </w:r>
    </w:p>
    <w:p w:rsidR="007C0E18" w:rsidRPr="008D5292" w:rsidRDefault="008D5292" w:rsidP="002C4C4F">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Bezdůvodné omezení hospodářské soutěže v rámci zadávacích podmínek</w:t>
      </w:r>
    </w:p>
    <w:p w:rsidR="00EE45F8" w:rsidRDefault="00EE45F8" w:rsidP="002910D6">
      <w:pPr>
        <w:pStyle w:val="Bezmezer"/>
        <w:spacing w:line="360" w:lineRule="auto"/>
        <w:ind w:left="426"/>
        <w:jc w:val="both"/>
        <w:rPr>
          <w:rFonts w:ascii="Tahoma" w:hAnsi="Tahoma" w:cs="Tahoma"/>
          <w:color w:val="000000" w:themeColor="text1"/>
          <w:sz w:val="20"/>
          <w:szCs w:val="20"/>
        </w:rPr>
      </w:pPr>
    </w:p>
    <w:p w:rsidR="002910D6" w:rsidRDefault="002910D6" w:rsidP="002910D6">
      <w:pPr>
        <w:pStyle w:val="Bezmezer"/>
        <w:spacing w:line="360" w:lineRule="auto"/>
        <w:ind w:left="426"/>
        <w:jc w:val="both"/>
        <w:rPr>
          <w:rFonts w:ascii="Tahoma" w:hAnsi="Tahoma" w:cs="Tahoma"/>
          <w:color w:val="000000" w:themeColor="text1"/>
          <w:sz w:val="20"/>
          <w:szCs w:val="20"/>
        </w:rPr>
      </w:pPr>
    </w:p>
    <w:p w:rsidR="006B4688" w:rsidRDefault="006B4688" w:rsidP="00BD3E76">
      <w:pPr>
        <w:pStyle w:val="Bezmezer"/>
        <w:spacing w:line="360" w:lineRule="auto"/>
        <w:ind w:left="78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2C4C4F" w:rsidRPr="002C4C4F" w:rsidRDefault="002C4C4F" w:rsidP="002C4C4F">
      <w:pPr>
        <w:pStyle w:val="Bezmezer"/>
        <w:spacing w:line="360" w:lineRule="auto"/>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DD4232" w:rsidRDefault="00DD4232"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2C4C4F" w:rsidRDefault="002C4C4F"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Pr="00DE312D" w:rsidRDefault="00C55A70" w:rsidP="00DE312D">
      <w:pPr>
        <w:pStyle w:val="Bezmezer"/>
        <w:spacing w:line="360" w:lineRule="auto"/>
        <w:jc w:val="both"/>
        <w:rPr>
          <w:rFonts w:ascii="Tahoma" w:hAnsi="Tahoma" w:cs="Tahoma"/>
          <w:b/>
          <w:i/>
          <w:color w:val="000000" w:themeColor="text1"/>
          <w:sz w:val="18"/>
          <w:szCs w:val="18"/>
        </w:rPr>
      </w:pPr>
    </w:p>
    <w:p w:rsidR="00A34EA2" w:rsidRPr="00DE312D" w:rsidRDefault="00DE312D" w:rsidP="00DE312D">
      <w:pPr>
        <w:pStyle w:val="Bezmezer"/>
        <w:spacing w:line="360" w:lineRule="auto"/>
        <w:jc w:val="both"/>
        <w:rPr>
          <w:rFonts w:ascii="Tahoma" w:hAnsi="Tahoma" w:cs="Tahoma"/>
          <w:b/>
          <w:i/>
          <w:color w:val="000000" w:themeColor="text1"/>
          <w:sz w:val="18"/>
          <w:szCs w:val="18"/>
        </w:rPr>
      </w:pPr>
      <w:r w:rsidRPr="00DE312D">
        <w:rPr>
          <w:rFonts w:ascii="Tahoma" w:hAnsi="Tahoma" w:cs="Tahoma"/>
          <w:b/>
          <w:i/>
          <w:color w:val="000000" w:themeColor="text1"/>
          <w:sz w:val="18"/>
          <w:szCs w:val="18"/>
        </w:rPr>
        <w:t>Ve sledovaném období nebyly předloženy výstupy.</w:t>
      </w:r>
    </w:p>
    <w:p w:rsidR="00A34EA2" w:rsidRPr="00C55A70" w:rsidRDefault="00A34EA2" w:rsidP="00DE312D">
      <w:pPr>
        <w:pStyle w:val="Bezmezer"/>
        <w:spacing w:line="360" w:lineRule="auto"/>
        <w:jc w:val="both"/>
        <w:rPr>
          <w:rStyle w:val="Hypertextovodkaz"/>
          <w:rFonts w:ascii="Tahoma" w:eastAsia="Times New Roman" w:hAnsi="Tahoma" w:cs="Tahoma"/>
          <w:bCs/>
          <w:color w:val="000000" w:themeColor="text1"/>
          <w:kern w:val="36"/>
          <w:sz w:val="24"/>
          <w:szCs w:val="20"/>
          <w:u w:val="none"/>
          <w:lang w:eastAsia="cs-CZ"/>
        </w:rPr>
      </w:pPr>
    </w:p>
    <w:p w:rsidR="00D8020C" w:rsidRDefault="00D8020C"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DE312D" w:rsidP="00EE45F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E312D">
        <w:rPr>
          <w:rStyle w:val="Hypertextovodkaz"/>
          <w:rFonts w:ascii="Tahoma" w:eastAsia="Times New Roman" w:hAnsi="Tahoma" w:cs="Tahoma"/>
          <w:b/>
          <w:bCs/>
          <w:color w:val="000000" w:themeColor="text1"/>
          <w:kern w:val="36"/>
          <w:sz w:val="24"/>
          <w:szCs w:val="24"/>
          <w:u w:val="none"/>
          <w:lang w:eastAsia="cs-CZ"/>
        </w:rPr>
        <w:t>Návrh zákona o soukromé bezpečnostní činnosti a o změně souvisejících zákonů</w:t>
      </w:r>
      <w:r w:rsidR="00E92303">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232D6" w:rsidRDefault="00CD711D"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hyperlink r:id="rId10" w:history="1">
        <w:r w:rsidR="00DE312D" w:rsidRPr="00DE312D">
          <w:rPr>
            <w:rStyle w:val="Hypertextovodkaz"/>
            <w:rFonts w:ascii="Tahoma" w:eastAsia="Times New Roman" w:hAnsi="Tahoma" w:cs="Tahoma"/>
            <w:bCs/>
            <w:kern w:val="36"/>
            <w:sz w:val="20"/>
            <w:szCs w:val="20"/>
            <w:lang w:eastAsia="cs-CZ"/>
          </w:rPr>
          <w:t>ALBSAY7CN3YT</w:t>
        </w:r>
      </w:hyperlink>
    </w:p>
    <w:p w:rsidR="00E7078F" w:rsidRDefault="00DE312D"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Schváleno vládou, bude postoupeno do PS</w:t>
      </w:r>
    </w:p>
    <w:p w:rsidR="007060DB" w:rsidRDefault="007060DB" w:rsidP="007060DB">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B16A80" w:rsidRDefault="00DE312D"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Vláda dne 4. 5. 2020 schválila návrh </w:t>
      </w:r>
      <w:r w:rsidRPr="00DE312D">
        <w:rPr>
          <w:rStyle w:val="Hypertextovodkaz"/>
          <w:rFonts w:ascii="Tahoma" w:eastAsia="Times New Roman" w:hAnsi="Tahoma" w:cs="Tahoma"/>
          <w:bCs/>
          <w:color w:val="000000" w:themeColor="text1"/>
          <w:kern w:val="36"/>
          <w:sz w:val="20"/>
          <w:szCs w:val="20"/>
          <w:u w:val="none"/>
          <w:lang w:eastAsia="cs-CZ"/>
        </w:rPr>
        <w:t>zákona o soukromé bezpečnostní činnosti a o změně souvisejících zákonů</w:t>
      </w:r>
      <w:r>
        <w:rPr>
          <w:rStyle w:val="Hypertextovodkaz"/>
          <w:rFonts w:ascii="Tahoma" w:eastAsia="Times New Roman" w:hAnsi="Tahoma" w:cs="Tahoma"/>
          <w:bCs/>
          <w:color w:val="000000" w:themeColor="text1"/>
          <w:kern w:val="36"/>
          <w:sz w:val="20"/>
          <w:szCs w:val="20"/>
          <w:u w:val="none"/>
          <w:lang w:eastAsia="cs-CZ"/>
        </w:rPr>
        <w:t xml:space="preserve">. </w:t>
      </w:r>
      <w:r w:rsidRPr="00DE312D">
        <w:rPr>
          <w:rStyle w:val="Hypertextovodkaz"/>
          <w:rFonts w:ascii="Tahoma" w:eastAsia="Times New Roman" w:hAnsi="Tahoma" w:cs="Tahoma"/>
          <w:bCs/>
          <w:color w:val="000000" w:themeColor="text1"/>
          <w:kern w:val="36"/>
          <w:sz w:val="20"/>
          <w:szCs w:val="20"/>
          <w:u w:val="none"/>
          <w:lang w:eastAsia="cs-CZ"/>
        </w:rPr>
        <w:t>Návrh zákona, kterým se upravuje vstup do podnikání v oblasti soukromých bezpečnostních služeb, vydávání a odnímání licencí Ministerstvem vnitra. Návrh zákona dále upravuje povinnosti provozovatelů soukromé bezpečnostní činnosti, upravuje povinnosti a oprávnění zaměstnanců. Zřizuje institut bezpečnostní činnosti pro vlastní ochranu, což není podnikatelské prostředí.</w:t>
      </w:r>
    </w:p>
    <w:p w:rsidR="00DE312D" w:rsidRDefault="00DE312D"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E312D" w:rsidRDefault="00DE312D"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byl posouzen ze strany OBIA v dubnu 2019. Vzhledem k přepracování textového znění návrhu zákona je návrh postoupen opětovně OBIA k posouzení.</w:t>
      </w:r>
    </w:p>
    <w:p w:rsidR="00233EF7" w:rsidRDefault="00233EF7"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F5756" w:rsidRDefault="002F575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F5756" w:rsidRDefault="002F575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F5756" w:rsidRDefault="002F575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F5756" w:rsidRDefault="002F575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2F5756" w:rsidRDefault="002F5756"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B2419" w:rsidRDefault="00DE312D" w:rsidP="0076277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E312D">
        <w:rPr>
          <w:rStyle w:val="Hypertextovodkaz"/>
          <w:rFonts w:ascii="Tahoma" w:eastAsia="Times New Roman" w:hAnsi="Tahoma" w:cs="Tahoma"/>
          <w:b/>
          <w:bCs/>
          <w:color w:val="000000" w:themeColor="text1"/>
          <w:kern w:val="36"/>
          <w:sz w:val="24"/>
          <w:szCs w:val="24"/>
          <w:u w:val="none"/>
          <w:lang w:eastAsia="cs-CZ"/>
        </w:rPr>
        <w:lastRenderedPageBreak/>
        <w:t>Novela zákona č. 165/2012 Sb., o podporovaných zdrojích energie a zákona č. 458/2000 Sb., energetický zákon</w:t>
      </w:r>
      <w:r w:rsidR="00E92303">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76277F" w:rsidRDefault="0076277F"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hyperlink r:id="rId11" w:history="1">
        <w:r w:rsidR="00DE312D" w:rsidRPr="00DE312D">
          <w:rPr>
            <w:rStyle w:val="Hypertextovodkaz"/>
            <w:rFonts w:ascii="Tahoma" w:eastAsia="Times New Roman" w:hAnsi="Tahoma" w:cs="Tahoma"/>
            <w:bCs/>
            <w:kern w:val="36"/>
            <w:sz w:val="20"/>
            <w:szCs w:val="24"/>
            <w:lang w:eastAsia="cs-CZ"/>
          </w:rPr>
          <w:t>KORNBFQBXP4C</w:t>
        </w:r>
      </w:hyperlink>
    </w:p>
    <w:p w:rsidR="0076277F" w:rsidRPr="0076277F" w:rsidRDefault="0076277F"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76277F">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8B2419" w:rsidRDefault="00DE312D" w:rsidP="00DE312D">
      <w:pPr>
        <w:pStyle w:val="Bezmezer"/>
        <w:tabs>
          <w:tab w:val="left" w:pos="714"/>
        </w:tabs>
        <w:spacing w:line="360" w:lineRule="auto"/>
        <w:rPr>
          <w:rStyle w:val="Hypertextovodkaz"/>
          <w:rFonts w:ascii="Tahoma" w:eastAsia="Times New Roman" w:hAnsi="Tahoma" w:cs="Tahoma"/>
          <w:bCs/>
          <w:i/>
          <w:color w:val="000000" w:themeColor="text1"/>
          <w:kern w:val="36"/>
          <w:sz w:val="16"/>
          <w:szCs w:val="20"/>
          <w:u w:val="none"/>
          <w:lang w:eastAsia="cs-CZ"/>
        </w:rPr>
      </w:pPr>
      <w:r>
        <w:rPr>
          <w:rStyle w:val="Hypertextovodkaz"/>
          <w:rFonts w:ascii="Tahoma" w:eastAsia="Times New Roman" w:hAnsi="Tahoma" w:cs="Tahoma"/>
          <w:bCs/>
          <w:i/>
          <w:color w:val="000000" w:themeColor="text1"/>
          <w:kern w:val="36"/>
          <w:sz w:val="16"/>
          <w:szCs w:val="20"/>
          <w:u w:val="none"/>
          <w:lang w:eastAsia="cs-CZ"/>
        </w:rPr>
        <w:tab/>
      </w: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76277F">
        <w:rPr>
          <w:rStyle w:val="Hypertextovodkaz"/>
          <w:rFonts w:ascii="Tahoma" w:eastAsia="Times New Roman" w:hAnsi="Tahoma" w:cs="Tahoma"/>
          <w:bCs/>
          <w:color w:val="000000" w:themeColor="text1"/>
          <w:kern w:val="36"/>
          <w:sz w:val="20"/>
          <w:szCs w:val="20"/>
          <w:u w:val="none"/>
          <w:lang w:eastAsia="cs-CZ"/>
        </w:rPr>
        <w:t xml:space="preserve">Vláda </w:t>
      </w:r>
      <w:r w:rsidR="00DE312D">
        <w:rPr>
          <w:rStyle w:val="Hypertextovodkaz"/>
          <w:rFonts w:ascii="Tahoma" w:eastAsia="Times New Roman" w:hAnsi="Tahoma" w:cs="Tahoma"/>
          <w:bCs/>
          <w:color w:val="000000" w:themeColor="text1"/>
          <w:kern w:val="36"/>
          <w:sz w:val="20"/>
          <w:szCs w:val="20"/>
          <w:u w:val="none"/>
          <w:lang w:eastAsia="cs-CZ"/>
        </w:rPr>
        <w:t>dne 27.4.2020 schválila návrh novely zákona č. 165/2012 Sb., o podporovaných zdrojích energie a zákon č. 458/2020 Sb., energetický zákon.</w:t>
      </w:r>
    </w:p>
    <w:p w:rsidR="00DE312D" w:rsidRDefault="00DE312D"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E312D" w:rsidRPr="0076277F" w:rsidRDefault="00DE312D"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E312D">
        <w:rPr>
          <w:rStyle w:val="Hypertextovodkaz"/>
          <w:rFonts w:ascii="Tahoma" w:eastAsia="Times New Roman" w:hAnsi="Tahoma" w:cs="Tahoma"/>
          <w:bCs/>
          <w:color w:val="000000" w:themeColor="text1"/>
          <w:kern w:val="36"/>
          <w:sz w:val="20"/>
          <w:szCs w:val="20"/>
          <w:u w:val="none"/>
          <w:lang w:eastAsia="cs-CZ"/>
        </w:rPr>
        <w:t>Materiál prošel mezirezortním připomínkovým řízením v listopadu 2018 pod č. j. MPO 81656/18/41100/01000. V průběhu legislativního procesu došlo k rozdělení materiálu na 2 části - novela zákona č. 458/2000 Sb. byla předložena vládě a LRV v dubnu 2019 a nyní se vládě a LRV předkládá druhá část materiálu - novela zákona č. 165/2012 Sb. spolu s novelou zákona č. 458/2000 Sb. reagující na změny provedené v zákoně č. 165/2012 Sb.</w:t>
      </w: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A34EA2" w:rsidRDefault="00666289" w:rsidP="008C04C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66289">
        <w:rPr>
          <w:rStyle w:val="Hypertextovodkaz"/>
          <w:rFonts w:ascii="Tahoma" w:eastAsia="Times New Roman" w:hAnsi="Tahoma" w:cs="Tahoma"/>
          <w:b/>
          <w:bCs/>
          <w:color w:val="000000" w:themeColor="text1"/>
          <w:kern w:val="36"/>
          <w:sz w:val="24"/>
          <w:szCs w:val="24"/>
          <w:u w:val="none"/>
          <w:lang w:eastAsia="cs-CZ"/>
        </w:rPr>
        <w:t>Novela zákona č. 143/2001 Sb., o ochraně hospodářské soutěže a o změně některých zákonů (zákon o ochraně hospodářské soutěže)</w:t>
      </w:r>
      <w:r w:rsidR="00E92303">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A34EA2" w:rsidRDefault="00666289" w:rsidP="008C04C1">
      <w:pPr>
        <w:pStyle w:val="Bezmezer"/>
        <w:spacing w:line="360" w:lineRule="auto"/>
        <w:jc w:val="right"/>
        <w:rPr>
          <w:rFonts w:ascii="Tahoma" w:eastAsiaTheme="minorEastAsia" w:hAnsi="Tahoma" w:cs="Tahoma"/>
          <w:sz w:val="20"/>
          <w:szCs w:val="20"/>
          <w:lang w:eastAsia="ja-JP"/>
        </w:rPr>
      </w:pPr>
      <w:r>
        <w:rPr>
          <w:rFonts w:ascii="Tahoma" w:eastAsiaTheme="minorEastAsia" w:hAnsi="Tahoma" w:cs="Tahoma"/>
          <w:sz w:val="20"/>
          <w:szCs w:val="20"/>
          <w:lang w:eastAsia="ja-JP"/>
        </w:rPr>
        <w:t xml:space="preserve">EKLEP </w:t>
      </w:r>
      <w:hyperlink r:id="rId12" w:history="1">
        <w:r w:rsidRPr="008C04C1">
          <w:rPr>
            <w:rStyle w:val="Hypertextovodkaz"/>
            <w:rFonts w:ascii="Tahoma" w:eastAsiaTheme="minorEastAsia" w:hAnsi="Tahoma" w:cs="Tahoma"/>
            <w:sz w:val="20"/>
            <w:szCs w:val="20"/>
            <w:lang w:eastAsia="ja-JP"/>
          </w:rPr>
          <w:t>ALBSBNUG5YVS</w:t>
        </w:r>
      </w:hyperlink>
    </w:p>
    <w:p w:rsidR="00666289" w:rsidRPr="00A34EA2" w:rsidRDefault="00666289" w:rsidP="008C04C1">
      <w:pPr>
        <w:pStyle w:val="Bezmezer"/>
        <w:spacing w:line="360" w:lineRule="auto"/>
        <w:jc w:val="right"/>
        <w:rPr>
          <w:rFonts w:ascii="Tahoma" w:eastAsiaTheme="minorEastAsia" w:hAnsi="Tahoma" w:cs="Tahoma"/>
          <w:sz w:val="20"/>
          <w:szCs w:val="20"/>
          <w:lang w:eastAsia="ja-JP"/>
        </w:rPr>
      </w:pPr>
      <w:r>
        <w:rPr>
          <w:rFonts w:ascii="Tahoma" w:eastAsiaTheme="minorEastAsia" w:hAnsi="Tahoma" w:cs="Tahoma"/>
          <w:sz w:val="20"/>
          <w:szCs w:val="20"/>
          <w:lang w:eastAsia="ja-JP"/>
        </w:rPr>
        <w:t>V mezirezortním připomínkovém řízení</w:t>
      </w:r>
    </w:p>
    <w:p w:rsidR="00A34EA2" w:rsidRDefault="00666289" w:rsidP="008C04C1">
      <w:pPr>
        <w:pStyle w:val="Bezmezer"/>
        <w:spacing w:line="360" w:lineRule="auto"/>
        <w:jc w:val="both"/>
        <w:rPr>
          <w:rFonts w:ascii="Tahoma" w:eastAsiaTheme="minorEastAsia" w:hAnsi="Tahoma" w:cs="Tahoma"/>
          <w:sz w:val="20"/>
          <w:szCs w:val="20"/>
          <w:lang w:eastAsia="ja-JP"/>
        </w:rPr>
      </w:pPr>
      <w:r>
        <w:rPr>
          <w:rFonts w:ascii="Tahoma" w:eastAsiaTheme="minorEastAsia" w:hAnsi="Tahoma" w:cs="Tahoma"/>
          <w:sz w:val="20"/>
          <w:szCs w:val="20"/>
          <w:lang w:eastAsia="ja-JP"/>
        </w:rPr>
        <w:t>Úřad pro ochranu hospodářské soutěže předložil do mezirezortního připomínkového řízení novelu zákona č. 134/2001 Sb., o ochraně hospodářské soutěže</w:t>
      </w:r>
      <w:r w:rsidR="008C04C1">
        <w:rPr>
          <w:rFonts w:ascii="Tahoma" w:eastAsiaTheme="minorEastAsia" w:hAnsi="Tahoma" w:cs="Tahoma"/>
          <w:sz w:val="20"/>
          <w:szCs w:val="20"/>
          <w:lang w:eastAsia="ja-JP"/>
        </w:rPr>
        <w:t xml:space="preserve">. </w:t>
      </w:r>
    </w:p>
    <w:p w:rsidR="008C04C1" w:rsidRDefault="008C04C1" w:rsidP="008C04C1">
      <w:pPr>
        <w:pStyle w:val="Bezmezer"/>
        <w:spacing w:line="360" w:lineRule="auto"/>
        <w:jc w:val="both"/>
        <w:rPr>
          <w:rFonts w:ascii="Tahoma" w:eastAsiaTheme="minorEastAsia" w:hAnsi="Tahoma" w:cs="Tahoma"/>
          <w:sz w:val="20"/>
          <w:szCs w:val="20"/>
          <w:lang w:eastAsia="ja-JP"/>
        </w:rPr>
      </w:pPr>
    </w:p>
    <w:p w:rsidR="008C04C1" w:rsidRDefault="008C04C1" w:rsidP="008C04C1">
      <w:pPr>
        <w:pStyle w:val="Bezmezer"/>
        <w:spacing w:line="360" w:lineRule="auto"/>
        <w:jc w:val="both"/>
        <w:rPr>
          <w:rFonts w:ascii="Tahoma" w:eastAsiaTheme="minorEastAsia" w:hAnsi="Tahoma" w:cs="Tahoma"/>
          <w:sz w:val="20"/>
          <w:szCs w:val="20"/>
          <w:lang w:eastAsia="ja-JP"/>
        </w:rPr>
      </w:pPr>
      <w:r>
        <w:rPr>
          <w:rFonts w:ascii="Tahoma" w:eastAsiaTheme="minorEastAsia" w:hAnsi="Tahoma" w:cs="Tahoma"/>
          <w:sz w:val="20"/>
          <w:szCs w:val="20"/>
          <w:lang w:eastAsia="ja-JP"/>
        </w:rPr>
        <w:t>Cílem novely zákona je i</w:t>
      </w:r>
      <w:r w:rsidRPr="008C04C1">
        <w:rPr>
          <w:rFonts w:ascii="Tahoma" w:eastAsiaTheme="minorEastAsia" w:hAnsi="Tahoma" w:cs="Tahoma"/>
          <w:sz w:val="20"/>
          <w:szCs w:val="20"/>
          <w:lang w:eastAsia="ja-JP"/>
        </w:rPr>
        <w:t>mplementace směrnice Evropského parlamentu a Rady (EU) 2019/1 ze dne 11. prosince 2018 o posílení postavení orgánů pro hospodářskou soutěž v členských státech tak, aby mohly účinněji prosazovat pravidla, a o zajištění řádného fungování vnitřního trhu a další změny zákona odůvodněny dosavadní aplikační praxí</w:t>
      </w:r>
    </w:p>
    <w:p w:rsidR="00A34EA2" w:rsidRPr="00A34EA2" w:rsidRDefault="00A34EA2" w:rsidP="008C04C1">
      <w:pPr>
        <w:pStyle w:val="Bezmezer"/>
        <w:spacing w:line="360" w:lineRule="auto"/>
        <w:jc w:val="both"/>
        <w:rPr>
          <w:rFonts w:ascii="Tahoma" w:eastAsiaTheme="minorEastAsia" w:hAnsi="Tahoma" w:cs="Tahoma"/>
          <w:sz w:val="20"/>
          <w:szCs w:val="20"/>
          <w:lang w:eastAsia="ja-JP"/>
        </w:rPr>
      </w:pPr>
    </w:p>
    <w:p w:rsidR="00A34EA2" w:rsidRDefault="00A34EA2"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2F5756" w:rsidRPr="0076277F" w:rsidRDefault="002F5756"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5906EB">
      <w:pPr>
        <w:pStyle w:val="Bezmezer"/>
        <w:numPr>
          <w:ilvl w:val="0"/>
          <w:numId w:val="28"/>
        </w:numPr>
        <w:shd w:val="clear" w:color="auto" w:fill="CCFFCC"/>
        <w:spacing w:line="360" w:lineRule="auto"/>
        <w:jc w:val="center"/>
        <w:rPr>
          <w:b/>
          <w:sz w:val="28"/>
        </w:rPr>
      </w:pPr>
      <w:r w:rsidRPr="00392A6A">
        <w:rPr>
          <w:rFonts w:ascii="Tahoma" w:hAnsi="Tahoma" w:cs="Tahoma"/>
          <w:b/>
          <w:sz w:val="28"/>
          <w:szCs w:val="20"/>
        </w:rPr>
        <w:lastRenderedPageBreak/>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C5AD8" w:rsidRPr="00E23EF9" w:rsidRDefault="00AB460C" w:rsidP="006C5AD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B460C">
        <w:rPr>
          <w:rStyle w:val="Hypertextovodkaz"/>
          <w:rFonts w:ascii="Tahoma" w:eastAsia="Times New Roman" w:hAnsi="Tahoma" w:cs="Tahoma"/>
          <w:b/>
          <w:bCs/>
          <w:color w:val="000000" w:themeColor="text1"/>
          <w:kern w:val="36"/>
          <w:sz w:val="24"/>
          <w:szCs w:val="24"/>
          <w:u w:val="none"/>
          <w:lang w:eastAsia="cs-CZ"/>
        </w:rPr>
        <w:t>Bezdůvodné omezení hospodářské soutěže v rámci zadávacích podmínek</w:t>
      </w:r>
      <w:r w:rsidR="00E92303">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CD711D" w:rsidRDefault="00CD711D" w:rsidP="00CD711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B460C" w:rsidRPr="00AB460C" w:rsidRDefault="00AB460C" w:rsidP="00AB460C">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B460C">
        <w:rPr>
          <w:rStyle w:val="Hypertextovodkaz"/>
          <w:rFonts w:ascii="Tahoma" w:eastAsia="Times New Roman" w:hAnsi="Tahoma" w:cs="Tahoma"/>
          <w:bCs/>
          <w:color w:val="000000" w:themeColor="text1"/>
          <w:kern w:val="36"/>
          <w:sz w:val="20"/>
          <w:szCs w:val="20"/>
          <w:u w:val="none"/>
          <w:lang w:eastAsia="cs-CZ"/>
        </w:rPr>
        <w:t>Předseda Úřadu pro ochranu</w:t>
      </w:r>
      <w:r>
        <w:rPr>
          <w:rStyle w:val="Hypertextovodkaz"/>
          <w:rFonts w:ascii="Tahoma" w:eastAsia="Times New Roman" w:hAnsi="Tahoma" w:cs="Tahoma"/>
          <w:bCs/>
          <w:color w:val="000000" w:themeColor="text1"/>
          <w:kern w:val="36"/>
          <w:sz w:val="20"/>
          <w:szCs w:val="20"/>
          <w:u w:val="none"/>
          <w:lang w:eastAsia="cs-CZ"/>
        </w:rPr>
        <w:t xml:space="preserve"> hospodářské soutěže Petr Rafaj </w:t>
      </w:r>
      <w:r w:rsidRPr="00AB460C">
        <w:rPr>
          <w:rStyle w:val="Hypertextovodkaz"/>
          <w:rFonts w:ascii="Tahoma" w:eastAsia="Times New Roman" w:hAnsi="Tahoma" w:cs="Tahoma"/>
          <w:bCs/>
          <w:color w:val="000000" w:themeColor="text1"/>
          <w:kern w:val="36"/>
          <w:sz w:val="20"/>
          <w:szCs w:val="20"/>
          <w:u w:val="none"/>
          <w:lang w:eastAsia="cs-CZ"/>
        </w:rPr>
        <w:t>potvrdil prvostupňové rozhodnutí o zrušení zadávacího řízení Pardubického kraje „Zajištění dopravní obslužnosti Pardubického kraje“.</w:t>
      </w:r>
    </w:p>
    <w:p w:rsidR="00AB460C" w:rsidRDefault="00AB460C" w:rsidP="00AB460C">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sidRPr="00AB460C">
        <w:rPr>
          <w:rStyle w:val="Hypertextovodkaz"/>
          <w:rFonts w:ascii="Tahoma" w:eastAsia="Times New Roman" w:hAnsi="Tahoma" w:cs="Tahoma"/>
          <w:bCs/>
          <w:color w:val="000000" w:themeColor="text1"/>
          <w:kern w:val="36"/>
          <w:sz w:val="20"/>
          <w:szCs w:val="20"/>
          <w:u w:val="none"/>
          <w:lang w:eastAsia="cs-CZ"/>
        </w:rPr>
        <w:t xml:space="preserve">Úřad přezkoumával postup zadavatele na základě návrhů dodavatelů ARRIVA MORAVA a.s. a Toms Transport Services s. r. o. V prvostupňovém rozhodnutí dospěl Úřad k závěru, že zadávací podmínky byly stanoveny v rozporu se zásadou zákazu diskriminace. </w:t>
      </w:r>
      <w:r w:rsidRPr="00AB460C">
        <w:rPr>
          <w:rStyle w:val="Hypertextovodkaz"/>
          <w:rFonts w:ascii="Tahoma" w:eastAsia="Times New Roman" w:hAnsi="Tahoma" w:cs="Tahoma"/>
          <w:b/>
          <w:bCs/>
          <w:color w:val="000000" w:themeColor="text1"/>
          <w:kern w:val="36"/>
          <w:sz w:val="20"/>
          <w:szCs w:val="20"/>
          <w:u w:val="none"/>
          <w:lang w:eastAsia="cs-CZ"/>
        </w:rPr>
        <w:t>Zadavatel totiž požadoval předložení bankovní záruky za plnění veřejné zakázky vydané výhradně bankou, která má své sídlo v ČR a má bankovní licenci od ČNB. Tímto postupem dle Úřadu zadavatel vytvořil bezdůvodnou překážku hospodářské soutěže a mohl tak omezit okruh potenciálních dodavatelů.</w:t>
      </w:r>
    </w:p>
    <w:p w:rsidR="00AB460C" w:rsidRDefault="00AB460C" w:rsidP="00AB460C">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p>
    <w:p w:rsidR="00AB460C" w:rsidRDefault="00AB460C" w:rsidP="00AB460C">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sidRPr="00AB460C">
        <w:rPr>
          <w:rStyle w:val="Hypertextovodkaz"/>
          <w:rFonts w:ascii="Tahoma" w:eastAsia="Times New Roman" w:hAnsi="Tahoma" w:cs="Tahoma"/>
          <w:bCs/>
          <w:color w:val="000000" w:themeColor="text1"/>
          <w:kern w:val="36"/>
          <w:sz w:val="20"/>
          <w:szCs w:val="20"/>
          <w:u w:val="none"/>
          <w:lang w:eastAsia="cs-CZ"/>
        </w:rPr>
        <w:t xml:space="preserve">K otázce bankovní záruky ÚOHS uvedl, že </w:t>
      </w:r>
      <w:r w:rsidRPr="00AB460C">
        <w:rPr>
          <w:rStyle w:val="Hypertextovodkaz"/>
          <w:rFonts w:ascii="Tahoma" w:eastAsia="Times New Roman" w:hAnsi="Tahoma" w:cs="Tahoma"/>
          <w:b/>
          <w:bCs/>
          <w:color w:val="000000" w:themeColor="text1"/>
          <w:kern w:val="36"/>
          <w:sz w:val="20"/>
          <w:szCs w:val="20"/>
          <w:u w:val="none"/>
          <w:lang w:eastAsia="cs-CZ"/>
        </w:rPr>
        <w:t>zájem zadavatele, aby se záruka řídila českým právem, je legitimní, neodůvodňuje však omezení ve vztahu k bankám. Zadavatel měl umožnit využití bankovní záruky řídící se českým právem, avšak vystavenou zahraniční bankou „toliko“ podnikající na území ČR.</w:t>
      </w:r>
    </w:p>
    <w:p w:rsidR="00AB460C" w:rsidRDefault="00AB460C" w:rsidP="00AB460C">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p>
    <w:sectPr w:rsidR="00AB460C" w:rsidSect="00024EFD">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03" w:rsidRDefault="00E92303" w:rsidP="004F17ED">
      <w:pPr>
        <w:spacing w:after="0" w:line="240" w:lineRule="auto"/>
      </w:pPr>
      <w:r>
        <w:separator/>
      </w:r>
    </w:p>
  </w:endnote>
  <w:endnote w:type="continuationSeparator" w:id="0">
    <w:p w:rsidR="00E92303" w:rsidRDefault="00E92303"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D11443">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D11443">
              <w:rPr>
                <w:rFonts w:ascii="Tahoma" w:hAnsi="Tahoma" w:cs="Tahoma"/>
                <w:b/>
                <w:bCs/>
                <w:noProof/>
                <w:sz w:val="16"/>
                <w:szCs w:val="16"/>
              </w:rPr>
              <w:t>4</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03" w:rsidRDefault="00E92303" w:rsidP="004F17ED">
      <w:pPr>
        <w:spacing w:after="0" w:line="240" w:lineRule="auto"/>
      </w:pPr>
      <w:r>
        <w:separator/>
      </w:r>
    </w:p>
  </w:footnote>
  <w:footnote w:type="continuationSeparator" w:id="0">
    <w:p w:rsidR="00E92303" w:rsidRDefault="00E92303"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40484290"/>
    <w:multiLevelType w:val="hybridMultilevel"/>
    <w:tmpl w:val="B728F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7">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9">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5"/>
  </w:num>
  <w:num w:numId="3">
    <w:abstractNumId w:val="21"/>
  </w:num>
  <w:num w:numId="4">
    <w:abstractNumId w:val="12"/>
  </w:num>
  <w:num w:numId="5">
    <w:abstractNumId w:val="11"/>
  </w:num>
  <w:num w:numId="6">
    <w:abstractNumId w:val="17"/>
  </w:num>
  <w:num w:numId="7">
    <w:abstractNumId w:val="33"/>
  </w:num>
  <w:num w:numId="8">
    <w:abstractNumId w:val="16"/>
  </w:num>
  <w:num w:numId="9">
    <w:abstractNumId w:val="35"/>
  </w:num>
  <w:num w:numId="10">
    <w:abstractNumId w:val="29"/>
  </w:num>
  <w:num w:numId="11">
    <w:abstractNumId w:val="31"/>
  </w:num>
  <w:num w:numId="12">
    <w:abstractNumId w:val="30"/>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4"/>
  </w:num>
  <w:num w:numId="27">
    <w:abstractNumId w:val="23"/>
  </w:num>
  <w:num w:numId="28">
    <w:abstractNumId w:val="13"/>
  </w:num>
  <w:num w:numId="29">
    <w:abstractNumId w:val="15"/>
  </w:num>
  <w:num w:numId="30">
    <w:abstractNumId w:val="22"/>
  </w:num>
  <w:num w:numId="31">
    <w:abstractNumId w:val="14"/>
  </w:num>
  <w:num w:numId="32">
    <w:abstractNumId w:val="24"/>
  </w:num>
  <w:num w:numId="33">
    <w:abstractNumId w:val="10"/>
  </w:num>
  <w:num w:numId="34">
    <w:abstractNumId w:val="28"/>
  </w:num>
  <w:num w:numId="35">
    <w:abstractNumId w:val="32"/>
  </w:num>
  <w:num w:numId="3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3D99"/>
    <w:rsid w:val="001A62A6"/>
    <w:rsid w:val="001A6AF4"/>
    <w:rsid w:val="001A7E2C"/>
    <w:rsid w:val="001B040A"/>
    <w:rsid w:val="001B0CB3"/>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33EF7"/>
    <w:rsid w:val="0023405F"/>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6A8C"/>
    <w:rsid w:val="00276F8F"/>
    <w:rsid w:val="00283D2E"/>
    <w:rsid w:val="0028484D"/>
    <w:rsid w:val="0028797B"/>
    <w:rsid w:val="002910D6"/>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56"/>
    <w:rsid w:val="002F57E7"/>
    <w:rsid w:val="002F798B"/>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364B8"/>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6EB"/>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1743"/>
    <w:rsid w:val="00625E80"/>
    <w:rsid w:val="00626608"/>
    <w:rsid w:val="00626DAB"/>
    <w:rsid w:val="0063038F"/>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E51"/>
    <w:rsid w:val="0069081D"/>
    <w:rsid w:val="006909A9"/>
    <w:rsid w:val="00692BAF"/>
    <w:rsid w:val="00692C0F"/>
    <w:rsid w:val="00695978"/>
    <w:rsid w:val="00696326"/>
    <w:rsid w:val="006A0A7F"/>
    <w:rsid w:val="006A1F9A"/>
    <w:rsid w:val="006A2727"/>
    <w:rsid w:val="006A3533"/>
    <w:rsid w:val="006A4A20"/>
    <w:rsid w:val="006B0435"/>
    <w:rsid w:val="006B099C"/>
    <w:rsid w:val="006B1D5C"/>
    <w:rsid w:val="006B2EB6"/>
    <w:rsid w:val="006B4688"/>
    <w:rsid w:val="006B6895"/>
    <w:rsid w:val="006B7EE9"/>
    <w:rsid w:val="006C005F"/>
    <w:rsid w:val="006C459B"/>
    <w:rsid w:val="006C4699"/>
    <w:rsid w:val="006C5AD8"/>
    <w:rsid w:val="006C6DAC"/>
    <w:rsid w:val="006C6F55"/>
    <w:rsid w:val="006C7AF7"/>
    <w:rsid w:val="006D07AF"/>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21803"/>
    <w:rsid w:val="00721B7D"/>
    <w:rsid w:val="00724B67"/>
    <w:rsid w:val="007250DE"/>
    <w:rsid w:val="0073165C"/>
    <w:rsid w:val="007342F4"/>
    <w:rsid w:val="007400F7"/>
    <w:rsid w:val="007413F0"/>
    <w:rsid w:val="00741601"/>
    <w:rsid w:val="00745373"/>
    <w:rsid w:val="007503D0"/>
    <w:rsid w:val="00751E42"/>
    <w:rsid w:val="00760367"/>
    <w:rsid w:val="00760E95"/>
    <w:rsid w:val="00761984"/>
    <w:rsid w:val="0076277F"/>
    <w:rsid w:val="00765FD7"/>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E18"/>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163B"/>
    <w:rsid w:val="00801E54"/>
    <w:rsid w:val="008020EA"/>
    <w:rsid w:val="0080530B"/>
    <w:rsid w:val="008105BA"/>
    <w:rsid w:val="00812AEE"/>
    <w:rsid w:val="008165E7"/>
    <w:rsid w:val="0081766C"/>
    <w:rsid w:val="00817BD5"/>
    <w:rsid w:val="00822C34"/>
    <w:rsid w:val="008230B0"/>
    <w:rsid w:val="0082325F"/>
    <w:rsid w:val="0082596B"/>
    <w:rsid w:val="00825F05"/>
    <w:rsid w:val="00825F8D"/>
    <w:rsid w:val="0082635A"/>
    <w:rsid w:val="008273E8"/>
    <w:rsid w:val="00831890"/>
    <w:rsid w:val="00832D57"/>
    <w:rsid w:val="00833FA6"/>
    <w:rsid w:val="00836110"/>
    <w:rsid w:val="0083799C"/>
    <w:rsid w:val="00844B2A"/>
    <w:rsid w:val="008472B6"/>
    <w:rsid w:val="00847B08"/>
    <w:rsid w:val="00852426"/>
    <w:rsid w:val="00852FD0"/>
    <w:rsid w:val="008559F5"/>
    <w:rsid w:val="00856973"/>
    <w:rsid w:val="0086206B"/>
    <w:rsid w:val="00862B3D"/>
    <w:rsid w:val="00863036"/>
    <w:rsid w:val="00863A2B"/>
    <w:rsid w:val="00863E13"/>
    <w:rsid w:val="008662C9"/>
    <w:rsid w:val="008679EA"/>
    <w:rsid w:val="00867E85"/>
    <w:rsid w:val="0087193D"/>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2419"/>
    <w:rsid w:val="008B4469"/>
    <w:rsid w:val="008B5061"/>
    <w:rsid w:val="008B5D32"/>
    <w:rsid w:val="008B62F0"/>
    <w:rsid w:val="008C04C1"/>
    <w:rsid w:val="008C1454"/>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943AD"/>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1A51"/>
    <w:rsid w:val="00A32137"/>
    <w:rsid w:val="00A33502"/>
    <w:rsid w:val="00A34EA2"/>
    <w:rsid w:val="00A35E6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A3B8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E72"/>
    <w:rsid w:val="00B16007"/>
    <w:rsid w:val="00B16A80"/>
    <w:rsid w:val="00B17807"/>
    <w:rsid w:val="00B23DBB"/>
    <w:rsid w:val="00B2481A"/>
    <w:rsid w:val="00B256C5"/>
    <w:rsid w:val="00B260C9"/>
    <w:rsid w:val="00B2624B"/>
    <w:rsid w:val="00B279C5"/>
    <w:rsid w:val="00B27A24"/>
    <w:rsid w:val="00B36378"/>
    <w:rsid w:val="00B37871"/>
    <w:rsid w:val="00B40347"/>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0179"/>
    <w:rsid w:val="00C470A1"/>
    <w:rsid w:val="00C47E3E"/>
    <w:rsid w:val="00C50A52"/>
    <w:rsid w:val="00C55A70"/>
    <w:rsid w:val="00C55B8C"/>
    <w:rsid w:val="00C57BCD"/>
    <w:rsid w:val="00C619D5"/>
    <w:rsid w:val="00C63AD4"/>
    <w:rsid w:val="00C6602B"/>
    <w:rsid w:val="00C66CD6"/>
    <w:rsid w:val="00C70383"/>
    <w:rsid w:val="00C70CB1"/>
    <w:rsid w:val="00C72818"/>
    <w:rsid w:val="00C75530"/>
    <w:rsid w:val="00C77004"/>
    <w:rsid w:val="00C87754"/>
    <w:rsid w:val="00C915B1"/>
    <w:rsid w:val="00C9199A"/>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5022"/>
    <w:rsid w:val="00D0703B"/>
    <w:rsid w:val="00D07E73"/>
    <w:rsid w:val="00D10D0F"/>
    <w:rsid w:val="00D11443"/>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378"/>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DAE"/>
    <w:rsid w:val="00E177F8"/>
    <w:rsid w:val="00E2287C"/>
    <w:rsid w:val="00E23EF9"/>
    <w:rsid w:val="00E24E8A"/>
    <w:rsid w:val="00E3074E"/>
    <w:rsid w:val="00E31529"/>
    <w:rsid w:val="00E33D85"/>
    <w:rsid w:val="00E36480"/>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803C2"/>
    <w:rsid w:val="00E80F23"/>
    <w:rsid w:val="00E810D3"/>
    <w:rsid w:val="00E818D8"/>
    <w:rsid w:val="00E81F94"/>
    <w:rsid w:val="00E81FE7"/>
    <w:rsid w:val="00E85F14"/>
    <w:rsid w:val="00E905FA"/>
    <w:rsid w:val="00E92303"/>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67A2"/>
    <w:rsid w:val="00F40DE5"/>
    <w:rsid w:val="00F4152A"/>
    <w:rsid w:val="00F501D4"/>
    <w:rsid w:val="00F5181D"/>
    <w:rsid w:val="00F5205D"/>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ps.odok.cz/veklep-detail?pid=ALBSBNUG5YV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odok.cz/veklep-detail?pid=KORNBFQBXP4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pps.odok.cz/veklep-detail?pid=ALBSAY7CN3Y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96983-5F83-4E65-B00B-CA23B795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4408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2020-03-06T10:47:00Z</cp:lastPrinted>
  <dcterms:created xsi:type="dcterms:W3CDTF">2020-05-14T11:57:00Z</dcterms:created>
  <dcterms:modified xsi:type="dcterms:W3CDTF">2020-05-14T11:57:00Z</dcterms:modified>
</cp:coreProperties>
</file>