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1B169671" wp14:editId="4C962459">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2C4C4F"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BŘEZEN</w:t>
      </w:r>
      <w:r w:rsidR="00144CDD">
        <w:rPr>
          <w:rFonts w:ascii="Tahoma" w:hAnsi="Tahoma" w:cs="Tahoma"/>
          <w:b/>
          <w:color w:val="000000" w:themeColor="text1"/>
          <w:sz w:val="32"/>
          <w:szCs w:val="20"/>
        </w:rPr>
        <w:t xml:space="preserve"> 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2C4C4F" w:rsidRDefault="002C4C4F" w:rsidP="002C4C4F">
      <w:pPr>
        <w:pStyle w:val="Bezmezer"/>
        <w:numPr>
          <w:ilvl w:val="0"/>
          <w:numId w:val="2"/>
        </w:numPr>
        <w:spacing w:line="360" w:lineRule="auto"/>
        <w:jc w:val="both"/>
        <w:rPr>
          <w:rFonts w:ascii="Tahoma" w:hAnsi="Tahoma" w:cs="Tahoma"/>
          <w:color w:val="000000" w:themeColor="text1"/>
          <w:sz w:val="18"/>
          <w:szCs w:val="18"/>
        </w:rPr>
      </w:pPr>
      <w:r w:rsidRPr="002C4C4F">
        <w:rPr>
          <w:rFonts w:ascii="Tahoma" w:hAnsi="Tahoma" w:cs="Tahoma"/>
          <w:color w:val="000000" w:themeColor="text1"/>
          <w:sz w:val="18"/>
          <w:szCs w:val="18"/>
        </w:rPr>
        <w:t>Ve sledovaném období nebyly vydány relevantní právní předpisy.</w:t>
      </w:r>
    </w:p>
    <w:p w:rsidR="002C4C4F" w:rsidRPr="002C4C4F" w:rsidRDefault="002C4C4F" w:rsidP="002C4C4F">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6D5353"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Výstupy</w:t>
      </w:r>
    </w:p>
    <w:p w:rsidR="002C4C4F" w:rsidRPr="006D5353" w:rsidRDefault="002C4C4F" w:rsidP="002C4C4F">
      <w:pPr>
        <w:pStyle w:val="Bezmezer"/>
        <w:numPr>
          <w:ilvl w:val="0"/>
          <w:numId w:val="2"/>
        </w:numPr>
        <w:spacing w:line="360" w:lineRule="auto"/>
        <w:jc w:val="both"/>
        <w:rPr>
          <w:rFonts w:ascii="Tahoma" w:hAnsi="Tahoma" w:cs="Tahoma"/>
          <w:color w:val="000000" w:themeColor="text1"/>
          <w:sz w:val="18"/>
          <w:szCs w:val="18"/>
        </w:rPr>
      </w:pPr>
      <w:r w:rsidRPr="006D5353">
        <w:rPr>
          <w:rFonts w:ascii="Tahoma" w:hAnsi="Tahoma" w:cs="Tahoma"/>
          <w:color w:val="000000" w:themeColor="text1"/>
          <w:sz w:val="18"/>
          <w:szCs w:val="18"/>
        </w:rPr>
        <w:t>Novela zákona č. 262/2006 Sb., zákoník práce a dalších zákonů</w:t>
      </w:r>
    </w:p>
    <w:p w:rsidR="00760367" w:rsidRPr="006D5353" w:rsidRDefault="00760367" w:rsidP="00760367">
      <w:pPr>
        <w:pStyle w:val="Bezmezer"/>
        <w:numPr>
          <w:ilvl w:val="0"/>
          <w:numId w:val="2"/>
        </w:numPr>
        <w:spacing w:line="360" w:lineRule="auto"/>
        <w:jc w:val="both"/>
        <w:rPr>
          <w:rFonts w:ascii="Tahoma" w:hAnsi="Tahoma" w:cs="Tahoma"/>
          <w:color w:val="000000" w:themeColor="text1"/>
          <w:sz w:val="18"/>
          <w:szCs w:val="18"/>
        </w:rPr>
      </w:pPr>
      <w:r w:rsidRPr="006D5353">
        <w:rPr>
          <w:rFonts w:ascii="Tahoma" w:hAnsi="Tahoma" w:cs="Tahoma"/>
          <w:color w:val="000000" w:themeColor="text1"/>
          <w:sz w:val="18"/>
          <w:szCs w:val="18"/>
        </w:rPr>
        <w:t>Vyhláška o digitální technické mapě kraje</w:t>
      </w:r>
    </w:p>
    <w:p w:rsidR="002C4C4F" w:rsidRPr="006D5353" w:rsidRDefault="002C4C4F" w:rsidP="002C4C4F">
      <w:pPr>
        <w:pStyle w:val="Bezmezer"/>
        <w:spacing w:line="360" w:lineRule="auto"/>
        <w:ind w:left="786"/>
        <w:jc w:val="both"/>
        <w:rPr>
          <w:rFonts w:ascii="Tahoma" w:hAnsi="Tahoma" w:cs="Tahoma"/>
          <w:color w:val="000000" w:themeColor="text1"/>
          <w:sz w:val="18"/>
          <w:szCs w:val="18"/>
        </w:rPr>
      </w:pPr>
    </w:p>
    <w:p w:rsidR="004A3DCA" w:rsidRPr="006D535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6D5353">
        <w:rPr>
          <w:rFonts w:ascii="Tahoma" w:hAnsi="Tahoma" w:cs="Tahoma"/>
          <w:b/>
          <w:color w:val="000000" w:themeColor="text1"/>
          <w:sz w:val="18"/>
          <w:szCs w:val="18"/>
        </w:rPr>
        <w:t>Zadání</w:t>
      </w:r>
    </w:p>
    <w:p w:rsidR="002C4C4F" w:rsidRDefault="00902E94" w:rsidP="00902E94">
      <w:pPr>
        <w:pStyle w:val="Bezmezer"/>
        <w:numPr>
          <w:ilvl w:val="0"/>
          <w:numId w:val="2"/>
        </w:numPr>
        <w:spacing w:line="360" w:lineRule="auto"/>
        <w:jc w:val="both"/>
        <w:rPr>
          <w:rFonts w:ascii="Tahoma" w:hAnsi="Tahoma" w:cs="Tahoma"/>
          <w:color w:val="000000" w:themeColor="text1"/>
          <w:sz w:val="18"/>
          <w:szCs w:val="18"/>
        </w:rPr>
      </w:pPr>
      <w:r w:rsidRPr="00902E94">
        <w:rPr>
          <w:rFonts w:ascii="Tahoma" w:hAnsi="Tahoma" w:cs="Tahoma"/>
          <w:color w:val="000000" w:themeColor="text1"/>
          <w:sz w:val="18"/>
          <w:szCs w:val="18"/>
        </w:rPr>
        <w:t>Návrh zákona, kterým se mění některé zákony v oblasti daní a některé další zákony</w:t>
      </w:r>
    </w:p>
    <w:p w:rsidR="0076277F" w:rsidRDefault="0076277F" w:rsidP="0076277F">
      <w:pPr>
        <w:pStyle w:val="Bezmezer"/>
        <w:numPr>
          <w:ilvl w:val="0"/>
          <w:numId w:val="2"/>
        </w:numPr>
        <w:spacing w:line="360" w:lineRule="auto"/>
        <w:jc w:val="both"/>
        <w:rPr>
          <w:rFonts w:ascii="Tahoma" w:hAnsi="Tahoma" w:cs="Tahoma"/>
          <w:color w:val="000000" w:themeColor="text1"/>
          <w:sz w:val="18"/>
          <w:szCs w:val="18"/>
        </w:rPr>
      </w:pPr>
      <w:r w:rsidRPr="0076277F">
        <w:rPr>
          <w:rFonts w:ascii="Tahoma" w:hAnsi="Tahoma" w:cs="Tahoma"/>
          <w:color w:val="000000" w:themeColor="text1"/>
          <w:sz w:val="18"/>
          <w:szCs w:val="18"/>
        </w:rPr>
        <w:t>Návrh nařízení vlády, kterým se mění nařízení vlády č. 145/2008 Sb., kterým se stanoví seznam znečišťujících látek a prahových hodnot a údaje požadované pro ohlašování do integrovaného registru znečišťování životního prostředí</w:t>
      </w:r>
    </w:p>
    <w:p w:rsidR="00F54B41" w:rsidRPr="00A34EA2" w:rsidRDefault="00F54B41" w:rsidP="00F54B41">
      <w:pPr>
        <w:pStyle w:val="Bezmezer"/>
        <w:numPr>
          <w:ilvl w:val="0"/>
          <w:numId w:val="2"/>
        </w:numPr>
        <w:spacing w:line="360" w:lineRule="auto"/>
        <w:jc w:val="both"/>
        <w:rPr>
          <w:rFonts w:ascii="Tahoma" w:hAnsi="Tahoma" w:cs="Tahoma"/>
          <w:color w:val="000000" w:themeColor="text1"/>
          <w:sz w:val="18"/>
          <w:szCs w:val="18"/>
        </w:rPr>
      </w:pPr>
      <w:r w:rsidRPr="00A34EA2">
        <w:rPr>
          <w:rFonts w:ascii="Tahoma" w:hAnsi="Tahoma" w:cs="Tahoma"/>
          <w:color w:val="000000" w:themeColor="text1"/>
          <w:sz w:val="18"/>
          <w:szCs w:val="18"/>
        </w:rPr>
        <w:t>Věcný záměr zákona o vyvlastnění</w:t>
      </w:r>
    </w:p>
    <w:p w:rsidR="00F54B41" w:rsidRDefault="00F54B41" w:rsidP="00F54B41">
      <w:pPr>
        <w:pStyle w:val="Bezmezer"/>
        <w:spacing w:line="360" w:lineRule="auto"/>
        <w:ind w:left="786"/>
        <w:jc w:val="both"/>
        <w:rPr>
          <w:rFonts w:ascii="Tahoma" w:hAnsi="Tahoma" w:cs="Tahoma"/>
          <w:color w:val="000000" w:themeColor="text1"/>
          <w:sz w:val="18"/>
          <w:szCs w:val="18"/>
        </w:rPr>
      </w:pPr>
    </w:p>
    <w:p w:rsidR="00902E94" w:rsidRPr="00A31A51" w:rsidRDefault="00902E94" w:rsidP="00902E94">
      <w:pPr>
        <w:pStyle w:val="Bezmezer"/>
        <w:spacing w:line="360" w:lineRule="auto"/>
        <w:ind w:left="786"/>
        <w:jc w:val="both"/>
        <w:rPr>
          <w:rFonts w:ascii="Tahoma" w:hAnsi="Tahoma" w:cs="Tahoma"/>
          <w:color w:val="000000" w:themeColor="text1"/>
          <w:sz w:val="18"/>
          <w:szCs w:val="18"/>
        </w:rPr>
      </w:pPr>
    </w:p>
    <w:p w:rsidR="00BF15EC" w:rsidRPr="009943AD" w:rsidRDefault="00E23EF9" w:rsidP="00BF15E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III</w:t>
      </w:r>
      <w:r w:rsidR="00661CF8" w:rsidRPr="00A31A51">
        <w:rPr>
          <w:rFonts w:ascii="Tahoma" w:hAnsi="Tahoma" w:cs="Tahoma"/>
          <w:b/>
          <w:color w:val="000000" w:themeColor="text1"/>
          <w:sz w:val="18"/>
          <w:szCs w:val="18"/>
        </w:rPr>
        <w:t xml:space="preserve">. </w:t>
      </w:r>
      <w:r w:rsidR="00661CF8" w:rsidRPr="009943AD">
        <w:rPr>
          <w:rFonts w:ascii="Tahoma" w:hAnsi="Tahoma" w:cs="Tahoma"/>
          <w:b/>
          <w:color w:val="000000" w:themeColor="text1"/>
          <w:sz w:val="18"/>
          <w:szCs w:val="18"/>
        </w:rPr>
        <w:t>Aktuální judikatura</w:t>
      </w:r>
      <w:r w:rsidR="00161BEA" w:rsidRPr="009943AD">
        <w:rPr>
          <w:rFonts w:ascii="Tahoma" w:hAnsi="Tahoma" w:cs="Tahoma"/>
          <w:b/>
          <w:color w:val="000000" w:themeColor="text1"/>
          <w:sz w:val="18"/>
          <w:szCs w:val="18"/>
        </w:rPr>
        <w:t xml:space="preserve"> a stanoviska</w:t>
      </w:r>
    </w:p>
    <w:p w:rsidR="007C0E18" w:rsidRPr="009943AD" w:rsidRDefault="0063038F" w:rsidP="002C4C4F">
      <w:pPr>
        <w:pStyle w:val="Bezmezer"/>
        <w:numPr>
          <w:ilvl w:val="0"/>
          <w:numId w:val="2"/>
        </w:numPr>
        <w:spacing w:line="360" w:lineRule="auto"/>
        <w:jc w:val="both"/>
        <w:rPr>
          <w:rFonts w:ascii="Tahoma" w:hAnsi="Tahoma" w:cs="Tahoma"/>
          <w:color w:val="000000" w:themeColor="text1"/>
          <w:sz w:val="20"/>
          <w:szCs w:val="20"/>
        </w:rPr>
      </w:pPr>
      <w:r w:rsidRPr="009943AD">
        <w:rPr>
          <w:rFonts w:ascii="Tahoma" w:hAnsi="Tahoma" w:cs="Tahoma"/>
          <w:color w:val="000000" w:themeColor="text1"/>
          <w:sz w:val="18"/>
          <w:szCs w:val="18"/>
        </w:rPr>
        <w:t>Ručení členem statutárního orgánu</w:t>
      </w:r>
    </w:p>
    <w:p w:rsidR="00DD4232" w:rsidRDefault="00DD4232"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EE45F8" w:rsidRDefault="00EE45F8" w:rsidP="00BD3E76">
      <w:pPr>
        <w:pStyle w:val="Bezmezer"/>
        <w:spacing w:line="360" w:lineRule="auto"/>
        <w:ind w:left="78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2C4C4F" w:rsidRPr="002C4C4F" w:rsidRDefault="002C4C4F" w:rsidP="002C4C4F">
      <w:pPr>
        <w:pStyle w:val="Bezmezer"/>
        <w:spacing w:line="360" w:lineRule="auto"/>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DD4232" w:rsidRDefault="00DD4232"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2C4C4F" w:rsidRDefault="002C4C4F"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2C4C4F" w:rsidRPr="002C4C4F" w:rsidRDefault="002C4C4F" w:rsidP="002C4C4F">
      <w:pPr>
        <w:pStyle w:val="Bezmezer"/>
        <w:spacing w:line="360" w:lineRule="auto"/>
        <w:rPr>
          <w:rFonts w:ascii="Tahoma" w:hAnsi="Tahoma" w:cs="Tahoma"/>
          <w:b/>
          <w:color w:val="000000" w:themeColor="text1"/>
          <w:sz w:val="20"/>
          <w:szCs w:val="20"/>
        </w:rPr>
      </w:pPr>
    </w:p>
    <w:p w:rsidR="004E1905" w:rsidRPr="00A51114" w:rsidRDefault="002C4C4F" w:rsidP="002C4C4F">
      <w:pPr>
        <w:pStyle w:val="Bezmezer"/>
        <w:spacing w:line="360" w:lineRule="auto"/>
        <w:jc w:val="center"/>
        <w:rPr>
          <w:rFonts w:ascii="Tahoma" w:hAnsi="Tahoma" w:cs="Tahoma"/>
          <w:b/>
          <w:color w:val="000000" w:themeColor="text1"/>
          <w:sz w:val="20"/>
          <w:szCs w:val="20"/>
        </w:rPr>
      </w:pPr>
      <w:r w:rsidRPr="00393EB9">
        <w:rPr>
          <w:rFonts w:ascii="Tahoma" w:hAnsi="Tahoma" w:cs="Tahoma"/>
          <w:b/>
          <w:sz w:val="24"/>
          <w:szCs w:val="20"/>
        </w:rPr>
        <w:t>Novela zákona č. 262/2006 Sb., zákoník práce a dalších zákonů</w:t>
      </w:r>
      <w:r w:rsidR="00E854D5">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D4232" w:rsidRPr="00A51114" w:rsidRDefault="004E1905" w:rsidP="004E1905">
      <w:pPr>
        <w:pStyle w:val="Bezmezer"/>
        <w:spacing w:line="360" w:lineRule="auto"/>
        <w:jc w:val="right"/>
        <w:rPr>
          <w:rFonts w:ascii="Tahoma" w:hAnsi="Tahoma" w:cs="Tahoma"/>
          <w:color w:val="000000" w:themeColor="text1"/>
          <w:sz w:val="20"/>
          <w:szCs w:val="20"/>
        </w:rPr>
      </w:pPr>
      <w:r w:rsidRPr="00A51114">
        <w:rPr>
          <w:rFonts w:ascii="Tahoma" w:hAnsi="Tahoma" w:cs="Tahoma"/>
          <w:color w:val="000000" w:themeColor="text1"/>
          <w:sz w:val="20"/>
          <w:szCs w:val="20"/>
        </w:rPr>
        <w:t xml:space="preserve">Sněmovní tisk </w:t>
      </w:r>
      <w:r w:rsidR="002C4C4F">
        <w:rPr>
          <w:rFonts w:ascii="Tahoma" w:hAnsi="Tahoma" w:cs="Tahoma"/>
          <w:color w:val="000000" w:themeColor="text1"/>
          <w:sz w:val="20"/>
          <w:szCs w:val="20"/>
        </w:rPr>
        <w:t>689</w:t>
      </w:r>
    </w:p>
    <w:p w:rsidR="004E1905" w:rsidRPr="00A51114" w:rsidRDefault="002C4C4F" w:rsidP="002C4C4F">
      <w:pPr>
        <w:pStyle w:val="Bezmezer"/>
        <w:numPr>
          <w:ilvl w:val="0"/>
          <w:numId w:val="31"/>
        </w:numPr>
        <w:spacing w:line="360" w:lineRule="auto"/>
        <w:jc w:val="right"/>
        <w:rPr>
          <w:rFonts w:ascii="Tahoma" w:hAnsi="Tahoma" w:cs="Tahoma"/>
          <w:color w:val="000000" w:themeColor="text1"/>
          <w:sz w:val="20"/>
          <w:szCs w:val="20"/>
        </w:rPr>
      </w:pPr>
      <w:r>
        <w:rPr>
          <w:rFonts w:ascii="Tahoma" w:hAnsi="Tahoma" w:cs="Tahoma"/>
          <w:color w:val="000000" w:themeColor="text1"/>
          <w:sz w:val="20"/>
          <w:szCs w:val="20"/>
        </w:rPr>
        <w:t>čtení v Poslanecké sněmovně</w:t>
      </w:r>
    </w:p>
    <w:p w:rsidR="002C4C4F" w:rsidRPr="00393EB9" w:rsidRDefault="002C4C4F" w:rsidP="002C4C4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C4C4F" w:rsidRDefault="00393EB9" w:rsidP="00393EB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Hlavním principem předkládané novely zákoníku práce je změna koncepce dovolené, zakotvení institutu sdíleného pracovního místa, změna v oblasti doručování písemností a úprava náhrady škody a nemajetkové újmy. </w:t>
      </w:r>
    </w:p>
    <w:p w:rsidR="002C4C4F" w:rsidRDefault="002C4C4F" w:rsidP="00393EB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93EB9" w:rsidRPr="00696326" w:rsidRDefault="00393EB9" w:rsidP="00393EB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Podrobněji byly jednotlivé změny popsány v monitoringu za prosinec 2019.</w:t>
      </w:r>
    </w:p>
    <w:p w:rsidR="004E1905" w:rsidRPr="00A51114" w:rsidRDefault="004E1905" w:rsidP="004E1905">
      <w:pPr>
        <w:pStyle w:val="Bezmezer"/>
        <w:spacing w:line="360" w:lineRule="auto"/>
        <w:jc w:val="right"/>
        <w:rPr>
          <w:rFonts w:ascii="Tahoma" w:hAnsi="Tahoma" w:cs="Tahoma"/>
          <w:color w:val="000000" w:themeColor="text1"/>
          <w:sz w:val="20"/>
          <w:szCs w:val="20"/>
        </w:rPr>
      </w:pPr>
    </w:p>
    <w:p w:rsidR="00A51114" w:rsidRDefault="00A51114" w:rsidP="00A51114">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A51114">
        <w:rPr>
          <w:rStyle w:val="Hypertextovodkaz"/>
          <w:rFonts w:ascii="Tahoma" w:eastAsia="Times New Roman" w:hAnsi="Tahoma" w:cs="Tahoma"/>
          <w:b/>
          <w:bCs/>
          <w:i/>
          <w:color w:val="000000" w:themeColor="text1"/>
          <w:kern w:val="36"/>
          <w:sz w:val="20"/>
          <w:szCs w:val="20"/>
          <w:u w:val="none"/>
          <w:lang w:eastAsia="cs-CZ"/>
        </w:rPr>
        <w:t>Záv</w:t>
      </w:r>
      <w:r w:rsidR="002C4C4F">
        <w:rPr>
          <w:rStyle w:val="Hypertextovodkaz"/>
          <w:rFonts w:ascii="Tahoma" w:eastAsia="Times New Roman" w:hAnsi="Tahoma" w:cs="Tahoma"/>
          <w:b/>
          <w:bCs/>
          <w:i/>
          <w:color w:val="000000" w:themeColor="text1"/>
          <w:kern w:val="36"/>
          <w:sz w:val="20"/>
          <w:szCs w:val="20"/>
          <w:u w:val="none"/>
          <w:lang w:eastAsia="cs-CZ"/>
        </w:rPr>
        <w:t>ěr věcné analýzy ze strany OŘLZ:</w:t>
      </w:r>
    </w:p>
    <w:p w:rsidR="002C4C4F" w:rsidRDefault="002C4C4F" w:rsidP="00A51114">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393EB9" w:rsidRPr="00393EB9" w:rsidRDefault="00393EB9" w:rsidP="00393EB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393EB9">
        <w:rPr>
          <w:rStyle w:val="Hypertextovodkaz"/>
          <w:rFonts w:ascii="Tahoma" w:eastAsia="Times New Roman" w:hAnsi="Tahoma" w:cs="Tahoma"/>
          <w:bCs/>
          <w:i/>
          <w:color w:val="000000" w:themeColor="text1"/>
          <w:kern w:val="36"/>
          <w:sz w:val="20"/>
          <w:szCs w:val="20"/>
          <w:u w:val="none"/>
          <w:lang w:eastAsia="cs-CZ"/>
        </w:rPr>
        <w:t>Nová koncepce dovolené, která bude mít dopad do evidence dovolené a jejího účtování</w:t>
      </w:r>
      <w:r w:rsidR="00A34EA2">
        <w:rPr>
          <w:rStyle w:val="Hypertextovodkaz"/>
          <w:rFonts w:ascii="Tahoma" w:eastAsia="Times New Roman" w:hAnsi="Tahoma" w:cs="Tahoma"/>
          <w:bCs/>
          <w:i/>
          <w:color w:val="000000" w:themeColor="text1"/>
          <w:kern w:val="36"/>
          <w:sz w:val="20"/>
          <w:szCs w:val="20"/>
          <w:u w:val="none"/>
          <w:lang w:eastAsia="cs-CZ"/>
        </w:rPr>
        <w:t>,</w:t>
      </w:r>
      <w:r w:rsidRPr="00393EB9">
        <w:rPr>
          <w:rStyle w:val="Hypertextovodkaz"/>
          <w:rFonts w:ascii="Tahoma" w:eastAsia="Times New Roman" w:hAnsi="Tahoma" w:cs="Tahoma"/>
          <w:bCs/>
          <w:i/>
          <w:color w:val="000000" w:themeColor="text1"/>
          <w:kern w:val="36"/>
          <w:sz w:val="20"/>
          <w:szCs w:val="20"/>
          <w:u w:val="none"/>
          <w:lang w:eastAsia="cs-CZ"/>
        </w:rPr>
        <w:t xml:space="preserve"> bude implementována do HRIS nahráním odpovídající aktualizace SW od dodavatele ELANOR. OŘLZ bude muset </w:t>
      </w:r>
      <w:r w:rsidR="00A34EA2">
        <w:rPr>
          <w:rStyle w:val="Hypertextovodkaz"/>
          <w:rFonts w:ascii="Tahoma" w:eastAsia="Times New Roman" w:hAnsi="Tahoma" w:cs="Tahoma"/>
          <w:bCs/>
          <w:i/>
          <w:color w:val="000000" w:themeColor="text1"/>
          <w:kern w:val="36"/>
          <w:sz w:val="20"/>
          <w:szCs w:val="20"/>
          <w:u w:val="none"/>
          <w:lang w:eastAsia="cs-CZ"/>
        </w:rPr>
        <w:t>pouze novou verzi SW</w:t>
      </w:r>
      <w:r w:rsidRPr="00393EB9">
        <w:rPr>
          <w:rStyle w:val="Hypertextovodkaz"/>
          <w:rFonts w:ascii="Tahoma" w:eastAsia="Times New Roman" w:hAnsi="Tahoma" w:cs="Tahoma"/>
          <w:bCs/>
          <w:i/>
          <w:color w:val="000000" w:themeColor="text1"/>
          <w:kern w:val="36"/>
          <w:sz w:val="20"/>
          <w:szCs w:val="20"/>
          <w:u w:val="none"/>
          <w:lang w:eastAsia="cs-CZ"/>
        </w:rPr>
        <w:t xml:space="preserve"> otestovat a rovněž zajistit seznámení se změnami vedoucí i zaměstnance. Jedná se o změnu s plošným dopadem.</w:t>
      </w:r>
    </w:p>
    <w:p w:rsidR="00393EB9" w:rsidRPr="00393EB9" w:rsidRDefault="00393EB9" w:rsidP="00393EB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393EB9" w:rsidRPr="00393EB9" w:rsidRDefault="00393EB9" w:rsidP="00393EB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393EB9">
        <w:rPr>
          <w:rStyle w:val="Hypertextovodkaz"/>
          <w:rFonts w:ascii="Tahoma" w:eastAsia="Times New Roman" w:hAnsi="Tahoma" w:cs="Tahoma"/>
          <w:bCs/>
          <w:i/>
          <w:color w:val="000000" w:themeColor="text1"/>
          <w:kern w:val="36"/>
          <w:sz w:val="20"/>
          <w:szCs w:val="20"/>
          <w:u w:val="none"/>
          <w:lang w:eastAsia="cs-CZ"/>
        </w:rPr>
        <w:t>Změna pravidel doručování  - Do souladu s podmínkami České pošty se uvádí i lhůta pro vyzvednutí uložené zásilky, která bude tedy nově činit 15 kalendářních dnů, místo aktuálních 10 pracovních dnů. OŘLZ v roce nakoupilo zásobu obálek s doručenkou (viz příloha), neboť v té době změna nebyla ještě známa. Lze tedy čekat drobné výdaje na nákup obálek, které budou v souladu s novou legislativou.</w:t>
      </w:r>
    </w:p>
    <w:p w:rsidR="00393EB9" w:rsidRPr="00393EB9" w:rsidRDefault="00393EB9" w:rsidP="00393EB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393EB9" w:rsidRPr="00393EB9" w:rsidRDefault="00393EB9" w:rsidP="00393EB9">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393EB9">
        <w:rPr>
          <w:rStyle w:val="Hypertextovodkaz"/>
          <w:rFonts w:ascii="Tahoma" w:eastAsia="Times New Roman" w:hAnsi="Tahoma" w:cs="Tahoma"/>
          <w:bCs/>
          <w:i/>
          <w:color w:val="000000" w:themeColor="text1"/>
          <w:kern w:val="36"/>
          <w:sz w:val="20"/>
          <w:szCs w:val="20"/>
          <w:u w:val="none"/>
          <w:lang w:eastAsia="cs-CZ"/>
        </w:rPr>
        <w:t>Jiné dopady nebyly při věcné analýze shledány.</w:t>
      </w:r>
    </w:p>
    <w:p w:rsidR="002C4C4F" w:rsidRPr="00A51114" w:rsidRDefault="002C4C4F" w:rsidP="00A51114">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A51114" w:rsidRPr="00A51114" w:rsidRDefault="00A51114" w:rsidP="00A51114">
      <w:pPr>
        <w:autoSpaceDE w:val="0"/>
        <w:autoSpaceDN w:val="0"/>
        <w:adjustRightInd w:val="0"/>
        <w:spacing w:after="0" w:line="240" w:lineRule="auto"/>
        <w:jc w:val="both"/>
        <w:rPr>
          <w:rFonts w:ascii="Tahoma" w:hAnsi="Tahoma" w:cs="Tahoma"/>
          <w:color w:val="000000" w:themeColor="text1"/>
          <w:sz w:val="20"/>
          <w:szCs w:val="20"/>
        </w:rPr>
      </w:pPr>
    </w:p>
    <w:p w:rsidR="0076277F" w:rsidRDefault="0076277F" w:rsidP="00C55A70">
      <w:pPr>
        <w:pStyle w:val="Bezmezer"/>
        <w:spacing w:line="360" w:lineRule="auto"/>
        <w:jc w:val="center"/>
        <w:rPr>
          <w:rFonts w:ascii="Tahoma" w:hAnsi="Tahoma" w:cs="Tahoma"/>
          <w:b/>
          <w:color w:val="000000" w:themeColor="text1"/>
          <w:sz w:val="24"/>
          <w:szCs w:val="20"/>
        </w:rPr>
      </w:pPr>
    </w:p>
    <w:p w:rsidR="0076277F" w:rsidRDefault="0076277F" w:rsidP="00C55A70">
      <w:pPr>
        <w:pStyle w:val="Bezmezer"/>
        <w:spacing w:line="360" w:lineRule="auto"/>
        <w:jc w:val="center"/>
        <w:rPr>
          <w:rFonts w:ascii="Tahoma" w:hAnsi="Tahoma" w:cs="Tahoma"/>
          <w:b/>
          <w:color w:val="000000" w:themeColor="text1"/>
          <w:sz w:val="24"/>
          <w:szCs w:val="20"/>
        </w:rPr>
      </w:pPr>
    </w:p>
    <w:p w:rsidR="0076277F" w:rsidRDefault="0076277F" w:rsidP="00C55A70">
      <w:pPr>
        <w:pStyle w:val="Bezmezer"/>
        <w:spacing w:line="360" w:lineRule="auto"/>
        <w:jc w:val="center"/>
        <w:rPr>
          <w:rFonts w:ascii="Tahoma" w:hAnsi="Tahoma" w:cs="Tahoma"/>
          <w:b/>
          <w:color w:val="000000" w:themeColor="text1"/>
          <w:sz w:val="24"/>
          <w:szCs w:val="20"/>
        </w:rPr>
      </w:pPr>
    </w:p>
    <w:p w:rsidR="0076277F" w:rsidRDefault="0076277F" w:rsidP="00C55A70">
      <w:pPr>
        <w:pStyle w:val="Bezmezer"/>
        <w:spacing w:line="360" w:lineRule="auto"/>
        <w:jc w:val="center"/>
        <w:rPr>
          <w:rFonts w:ascii="Tahoma" w:hAnsi="Tahoma" w:cs="Tahoma"/>
          <w:b/>
          <w:color w:val="000000" w:themeColor="text1"/>
          <w:sz w:val="24"/>
          <w:szCs w:val="20"/>
        </w:rPr>
      </w:pPr>
    </w:p>
    <w:p w:rsidR="0076277F" w:rsidRDefault="0076277F" w:rsidP="00C55A70">
      <w:pPr>
        <w:pStyle w:val="Bezmezer"/>
        <w:spacing w:line="360" w:lineRule="auto"/>
        <w:jc w:val="center"/>
        <w:rPr>
          <w:rFonts w:ascii="Tahoma" w:hAnsi="Tahoma" w:cs="Tahoma"/>
          <w:b/>
          <w:color w:val="000000" w:themeColor="text1"/>
          <w:sz w:val="24"/>
          <w:szCs w:val="20"/>
        </w:rPr>
      </w:pPr>
    </w:p>
    <w:p w:rsidR="00C55A70" w:rsidRDefault="00C55A70" w:rsidP="00C55A70">
      <w:pPr>
        <w:pStyle w:val="Bezmezer"/>
        <w:spacing w:line="360" w:lineRule="auto"/>
        <w:jc w:val="center"/>
        <w:rPr>
          <w:rFonts w:ascii="Tahoma" w:hAnsi="Tahoma" w:cs="Tahoma"/>
          <w:b/>
          <w:color w:val="000000" w:themeColor="text1"/>
          <w:sz w:val="24"/>
          <w:szCs w:val="20"/>
        </w:rPr>
      </w:pPr>
      <w:r w:rsidRPr="00C55A70">
        <w:rPr>
          <w:rFonts w:ascii="Tahoma" w:hAnsi="Tahoma" w:cs="Tahoma"/>
          <w:b/>
          <w:color w:val="000000" w:themeColor="text1"/>
          <w:sz w:val="24"/>
          <w:szCs w:val="20"/>
        </w:rPr>
        <w:lastRenderedPageBreak/>
        <w:t>Vyhláška o digitální technické mapě kraje</w:t>
      </w:r>
    </w:p>
    <w:p w:rsidR="004E1905" w:rsidRDefault="00E854D5" w:rsidP="00C55A7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C55A70" w:rsidRDefault="00C55A70" w:rsidP="00C55A70">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C55A70">
        <w:rPr>
          <w:rStyle w:val="Hypertextovodkaz"/>
          <w:rFonts w:ascii="Tahoma" w:eastAsia="Times New Roman" w:hAnsi="Tahoma" w:cs="Tahoma"/>
          <w:bCs/>
          <w:color w:val="000000" w:themeColor="text1"/>
          <w:kern w:val="36"/>
          <w:sz w:val="20"/>
          <w:szCs w:val="24"/>
          <w:u w:val="none"/>
          <w:lang w:eastAsia="cs-CZ"/>
        </w:rPr>
        <w:t>KORNBN7GQNIE</w:t>
      </w:r>
    </w:p>
    <w:p w:rsidR="00C55A70" w:rsidRPr="00C55A70" w:rsidRDefault="00C55A70" w:rsidP="00C55A70">
      <w:pPr>
        <w:pStyle w:val="Bezmezer"/>
        <w:spacing w:line="360" w:lineRule="auto"/>
        <w:jc w:val="right"/>
        <w:rPr>
          <w:rFonts w:ascii="Tahoma" w:hAnsi="Tahoma" w:cs="Tahoma"/>
          <w:color w:val="000000" w:themeColor="text1"/>
          <w:sz w:val="20"/>
          <w:szCs w:val="20"/>
        </w:rPr>
      </w:pPr>
      <w:r>
        <w:rPr>
          <w:rStyle w:val="Hypertextovodkaz"/>
          <w:rFonts w:ascii="Tahoma" w:eastAsia="Times New Roman" w:hAnsi="Tahoma" w:cs="Tahoma"/>
          <w:bCs/>
          <w:color w:val="000000" w:themeColor="text1"/>
          <w:kern w:val="36"/>
          <w:sz w:val="20"/>
          <w:szCs w:val="24"/>
          <w:u w:val="none"/>
          <w:lang w:eastAsia="cs-CZ"/>
        </w:rPr>
        <w:t>Mezirezortní připomínkové řízení</w:t>
      </w:r>
    </w:p>
    <w:p w:rsidR="00A53516" w:rsidRDefault="00A53516" w:rsidP="00C55A70">
      <w:pPr>
        <w:pStyle w:val="Bezmezer"/>
        <w:jc w:val="center"/>
        <w:rPr>
          <w:rStyle w:val="Hypertextovodkaz"/>
          <w:rFonts w:ascii="Tahoma" w:eastAsia="Times New Roman" w:hAnsi="Tahoma" w:cs="Tahoma"/>
          <w:bCs/>
          <w:color w:val="000000" w:themeColor="text1"/>
          <w:kern w:val="36"/>
          <w:sz w:val="24"/>
          <w:szCs w:val="20"/>
          <w:u w:val="none"/>
          <w:lang w:eastAsia="cs-CZ"/>
        </w:rPr>
      </w:pPr>
    </w:p>
    <w:p w:rsidR="00C55A70" w:rsidRPr="00065672" w:rsidRDefault="00C55A70" w:rsidP="00C55A70">
      <w:pPr>
        <w:autoSpaceDE w:val="0"/>
        <w:autoSpaceDN w:val="0"/>
        <w:adjustRightInd w:val="0"/>
        <w:spacing w:after="120"/>
        <w:jc w:val="both"/>
        <w:rPr>
          <w:rFonts w:ascii="Tahoma" w:eastAsiaTheme="minorEastAsia" w:hAnsi="Tahoma" w:cs="Tahoma"/>
          <w:sz w:val="20"/>
          <w:szCs w:val="20"/>
          <w:lang w:eastAsia="ja-JP"/>
        </w:rPr>
      </w:pPr>
      <w:r w:rsidRPr="00065672">
        <w:rPr>
          <w:rFonts w:ascii="Tahoma" w:eastAsiaTheme="minorEastAsia" w:hAnsi="Tahoma" w:cs="Tahoma"/>
          <w:sz w:val="20"/>
          <w:szCs w:val="20"/>
          <w:lang w:eastAsia="ja-JP"/>
        </w:rPr>
        <w:t xml:space="preserve">Dne 26. února 2020 vstoupil v platnost zákon č. 47/2020 Sb., 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 Tímto zákonem byla do právního řádu zavedena komplexní právní úprava tvorby a správy digitálních technických map a Českému úřadu zeměměřickému a katastrálnímu bylo zmocňovacími ustanoveními uloženo stanovit vyhláškou obsah digitální technické mapy kraje (dále jen „digitální technická mapa“) a další skutečnosti nezbytné pro praktické vedení digitálních technických map. </w:t>
      </w:r>
      <w:r>
        <w:rPr>
          <w:rFonts w:ascii="Tahoma" w:eastAsiaTheme="minorEastAsia" w:hAnsi="Tahoma" w:cs="Tahoma"/>
          <w:sz w:val="20"/>
          <w:szCs w:val="20"/>
          <w:lang w:eastAsia="ja-JP"/>
        </w:rPr>
        <w:t>N</w:t>
      </w:r>
      <w:r w:rsidRPr="00065672">
        <w:rPr>
          <w:rFonts w:ascii="Tahoma" w:eastAsiaTheme="minorEastAsia" w:hAnsi="Tahoma" w:cs="Tahoma"/>
          <w:sz w:val="20"/>
          <w:szCs w:val="20"/>
          <w:lang w:eastAsia="ja-JP"/>
        </w:rPr>
        <w:t xml:space="preserve">ávrhem vyhlášky je reagováno na tuto novou právní úpravu v zeměměřickém zákoně. </w:t>
      </w:r>
    </w:p>
    <w:p w:rsidR="00C55A70" w:rsidRPr="00065672" w:rsidRDefault="00C55A70" w:rsidP="00C55A70">
      <w:pPr>
        <w:autoSpaceDE w:val="0"/>
        <w:autoSpaceDN w:val="0"/>
        <w:adjustRightInd w:val="0"/>
        <w:spacing w:after="120"/>
        <w:rPr>
          <w:rFonts w:ascii="Tahoma" w:eastAsiaTheme="minorEastAsia" w:hAnsi="Tahoma" w:cs="Tahoma"/>
          <w:sz w:val="20"/>
          <w:szCs w:val="20"/>
          <w:lang w:eastAsia="ja-JP"/>
        </w:rPr>
      </w:pPr>
      <w:r>
        <w:rPr>
          <w:rFonts w:ascii="Tahoma" w:eastAsiaTheme="minorEastAsia" w:hAnsi="Tahoma" w:cs="Tahoma"/>
          <w:sz w:val="20"/>
          <w:szCs w:val="20"/>
          <w:lang w:eastAsia="ja-JP"/>
        </w:rPr>
        <w:t>V</w:t>
      </w:r>
      <w:r w:rsidRPr="00065672">
        <w:rPr>
          <w:rFonts w:ascii="Tahoma" w:eastAsiaTheme="minorEastAsia" w:hAnsi="Tahoma" w:cs="Tahoma"/>
          <w:sz w:val="20"/>
          <w:szCs w:val="20"/>
          <w:lang w:eastAsia="ja-JP"/>
        </w:rPr>
        <w:t>yhláškou o di</w:t>
      </w:r>
      <w:r>
        <w:rPr>
          <w:rFonts w:ascii="Tahoma" w:eastAsiaTheme="minorEastAsia" w:hAnsi="Tahoma" w:cs="Tahoma"/>
          <w:sz w:val="20"/>
          <w:szCs w:val="20"/>
          <w:lang w:eastAsia="ja-JP"/>
        </w:rPr>
        <w:t>gitální technické mapě kraje budou stanoveny:</w:t>
      </w:r>
    </w:p>
    <w:p w:rsidR="00C55A70" w:rsidRPr="00065672" w:rsidRDefault="00C55A70" w:rsidP="00C55A70">
      <w:pPr>
        <w:pStyle w:val="Odstavecseseznamem"/>
        <w:numPr>
          <w:ilvl w:val="0"/>
          <w:numId w:val="35"/>
        </w:numPr>
        <w:autoSpaceDE w:val="0"/>
        <w:autoSpaceDN w:val="0"/>
        <w:adjustRightInd w:val="0"/>
        <w:spacing w:after="120" w:line="240" w:lineRule="auto"/>
        <w:jc w:val="both"/>
        <w:rPr>
          <w:rFonts w:ascii="Tahoma" w:eastAsiaTheme="minorEastAsia" w:hAnsi="Tahoma" w:cs="Tahoma"/>
          <w:sz w:val="20"/>
          <w:lang w:eastAsia="ja-JP"/>
        </w:rPr>
      </w:pPr>
      <w:r w:rsidRPr="00065672">
        <w:rPr>
          <w:rFonts w:ascii="Tahoma" w:eastAsiaTheme="minorEastAsia" w:hAnsi="Tahoma" w:cs="Tahoma"/>
          <w:sz w:val="20"/>
          <w:lang w:eastAsia="ja-JP"/>
        </w:rPr>
        <w:t xml:space="preserve">struktura a obsah digitální technické mapy včetně zjednodušeného způsobu vedení údajů, které nedosahují požadované úplnosti, </w:t>
      </w:r>
      <w:r w:rsidRPr="00A34EA2">
        <w:rPr>
          <w:rFonts w:ascii="Tahoma" w:eastAsiaTheme="minorEastAsia" w:hAnsi="Tahoma" w:cs="Tahoma"/>
          <w:b/>
          <w:sz w:val="20"/>
          <w:u w:val="single"/>
          <w:lang w:eastAsia="ja-JP"/>
        </w:rPr>
        <w:t>a včetně rozdělení údajů na veřejné a neveřejné,</w:t>
      </w:r>
      <w:r w:rsidRPr="00065672">
        <w:rPr>
          <w:rFonts w:ascii="Tahoma" w:eastAsiaTheme="minorEastAsia" w:hAnsi="Tahoma" w:cs="Tahoma"/>
          <w:sz w:val="20"/>
          <w:lang w:eastAsia="ja-JP"/>
        </w:rPr>
        <w:t xml:space="preserve"> </w:t>
      </w:r>
    </w:p>
    <w:p w:rsidR="00C55A70" w:rsidRPr="00065672" w:rsidRDefault="00C55A70" w:rsidP="00C55A70">
      <w:pPr>
        <w:pStyle w:val="Odstavecseseznamem"/>
        <w:numPr>
          <w:ilvl w:val="0"/>
          <w:numId w:val="35"/>
        </w:numPr>
        <w:autoSpaceDE w:val="0"/>
        <w:autoSpaceDN w:val="0"/>
        <w:adjustRightInd w:val="0"/>
        <w:spacing w:after="120" w:line="240" w:lineRule="auto"/>
        <w:jc w:val="both"/>
        <w:rPr>
          <w:rFonts w:ascii="Tahoma" w:eastAsiaTheme="minorEastAsia" w:hAnsi="Tahoma" w:cs="Tahoma"/>
          <w:sz w:val="20"/>
          <w:lang w:eastAsia="ja-JP"/>
        </w:rPr>
      </w:pPr>
      <w:r w:rsidRPr="00065672">
        <w:rPr>
          <w:rFonts w:ascii="Tahoma" w:eastAsiaTheme="minorEastAsia" w:hAnsi="Tahoma" w:cs="Tahoma"/>
          <w:sz w:val="20"/>
          <w:lang w:eastAsia="ja-JP"/>
        </w:rPr>
        <w:t>charakteristiky přesnosti digitální technické mapy,</w:t>
      </w:r>
    </w:p>
    <w:p w:rsidR="00C55A70" w:rsidRPr="00065672" w:rsidRDefault="00C55A70" w:rsidP="00C55A70">
      <w:pPr>
        <w:pStyle w:val="Odstavecseseznamem"/>
        <w:numPr>
          <w:ilvl w:val="0"/>
          <w:numId w:val="35"/>
        </w:numPr>
        <w:autoSpaceDE w:val="0"/>
        <w:autoSpaceDN w:val="0"/>
        <w:adjustRightInd w:val="0"/>
        <w:spacing w:after="120" w:line="240" w:lineRule="auto"/>
        <w:jc w:val="both"/>
        <w:rPr>
          <w:rFonts w:ascii="Tahoma" w:eastAsiaTheme="minorEastAsia" w:hAnsi="Tahoma" w:cs="Tahoma"/>
          <w:sz w:val="20"/>
          <w:lang w:eastAsia="ja-JP"/>
        </w:rPr>
      </w:pPr>
      <w:r w:rsidRPr="00065672">
        <w:rPr>
          <w:rFonts w:ascii="Tahoma" w:eastAsiaTheme="minorEastAsia" w:hAnsi="Tahoma" w:cs="Tahoma"/>
          <w:sz w:val="20"/>
          <w:lang w:eastAsia="ja-JP"/>
        </w:rPr>
        <w:t>výměnný formát digitální technické mapy,</w:t>
      </w:r>
    </w:p>
    <w:p w:rsidR="00C55A70" w:rsidRPr="00065672" w:rsidRDefault="00C55A70" w:rsidP="00C55A70">
      <w:pPr>
        <w:pStyle w:val="Odstavecseseznamem"/>
        <w:numPr>
          <w:ilvl w:val="0"/>
          <w:numId w:val="35"/>
        </w:numPr>
        <w:autoSpaceDE w:val="0"/>
        <w:autoSpaceDN w:val="0"/>
        <w:adjustRightInd w:val="0"/>
        <w:spacing w:after="120" w:line="240" w:lineRule="auto"/>
        <w:jc w:val="both"/>
        <w:rPr>
          <w:rFonts w:ascii="Tahoma" w:eastAsiaTheme="minorEastAsia" w:hAnsi="Tahoma" w:cs="Tahoma"/>
          <w:sz w:val="20"/>
          <w:lang w:eastAsia="ja-JP"/>
        </w:rPr>
      </w:pPr>
      <w:r w:rsidRPr="00065672">
        <w:rPr>
          <w:rFonts w:ascii="Tahoma" w:eastAsiaTheme="minorEastAsia" w:hAnsi="Tahoma" w:cs="Tahoma"/>
          <w:sz w:val="20"/>
          <w:lang w:eastAsia="ja-JP"/>
        </w:rPr>
        <w:t>formy a podmínky poskytování údajů z digitální technické mapy,</w:t>
      </w:r>
    </w:p>
    <w:p w:rsidR="00C55A70" w:rsidRPr="00065672" w:rsidRDefault="00C55A70" w:rsidP="00C55A70">
      <w:pPr>
        <w:pStyle w:val="Odstavecseseznamem"/>
        <w:numPr>
          <w:ilvl w:val="0"/>
          <w:numId w:val="35"/>
        </w:numPr>
        <w:autoSpaceDE w:val="0"/>
        <w:autoSpaceDN w:val="0"/>
        <w:adjustRightInd w:val="0"/>
        <w:spacing w:after="120" w:line="240" w:lineRule="auto"/>
        <w:jc w:val="both"/>
        <w:rPr>
          <w:rFonts w:ascii="Tahoma" w:eastAsiaTheme="minorEastAsia" w:hAnsi="Tahoma" w:cs="Tahoma"/>
          <w:sz w:val="20"/>
          <w:lang w:eastAsia="ja-JP"/>
        </w:rPr>
      </w:pPr>
      <w:r w:rsidRPr="00065672">
        <w:rPr>
          <w:rFonts w:ascii="Tahoma" w:eastAsiaTheme="minorEastAsia" w:hAnsi="Tahoma" w:cs="Tahoma"/>
          <w:sz w:val="20"/>
          <w:lang w:eastAsia="ja-JP"/>
        </w:rPr>
        <w:t>údaje, které stavebník předává do digitální technické mapy při vzniku, změně nebo zániku objektu nebo zařízení, a jejich strukturu,</w:t>
      </w:r>
    </w:p>
    <w:p w:rsidR="00C55A70" w:rsidRPr="00C55A70" w:rsidRDefault="00C55A70" w:rsidP="00C55A70">
      <w:pPr>
        <w:pStyle w:val="Odstavecseseznamem"/>
        <w:numPr>
          <w:ilvl w:val="0"/>
          <w:numId w:val="35"/>
        </w:numPr>
        <w:autoSpaceDE w:val="0"/>
        <w:autoSpaceDN w:val="0"/>
        <w:adjustRightInd w:val="0"/>
        <w:spacing w:after="120" w:line="240" w:lineRule="auto"/>
        <w:jc w:val="both"/>
        <w:rPr>
          <w:rFonts w:ascii="Tahoma" w:eastAsiaTheme="minorEastAsia" w:hAnsi="Tahoma" w:cs="Tahoma"/>
          <w:sz w:val="20"/>
          <w:lang w:eastAsia="ja-JP"/>
        </w:rPr>
      </w:pPr>
      <w:r w:rsidRPr="00065672">
        <w:rPr>
          <w:rFonts w:ascii="Tahoma" w:hAnsi="Tahoma" w:cs="Tahoma"/>
          <w:sz w:val="20"/>
        </w:rPr>
        <w:t>podrobný obsah seznamu vlastníků, provozovatelů a správců dopravní a technické infrastruktury (dále také „DTI“) a seznamu editorů digitálních technických map krajů a osob, které za editora plní jeho editační povinnost.</w:t>
      </w:r>
    </w:p>
    <w:p w:rsidR="00C55A70" w:rsidRPr="00065672" w:rsidRDefault="00C55A70" w:rsidP="00C55A70">
      <w:pPr>
        <w:pStyle w:val="Odstavecseseznamem"/>
        <w:autoSpaceDE w:val="0"/>
        <w:autoSpaceDN w:val="0"/>
        <w:adjustRightInd w:val="0"/>
        <w:spacing w:after="120" w:line="240" w:lineRule="auto"/>
        <w:jc w:val="both"/>
        <w:rPr>
          <w:rFonts w:ascii="Tahoma" w:eastAsiaTheme="minorEastAsia" w:hAnsi="Tahoma" w:cs="Tahoma"/>
          <w:sz w:val="20"/>
          <w:lang w:eastAsia="ja-JP"/>
        </w:rPr>
      </w:pPr>
    </w:p>
    <w:p w:rsidR="00C55A70" w:rsidRDefault="00C55A70" w:rsidP="00C55A70">
      <w:pPr>
        <w:autoSpaceDE w:val="0"/>
        <w:autoSpaceDN w:val="0"/>
        <w:adjustRightInd w:val="0"/>
        <w:spacing w:after="120"/>
        <w:rPr>
          <w:rFonts w:ascii="Tahoma" w:eastAsiaTheme="minorEastAsia" w:hAnsi="Tahoma" w:cs="Tahoma"/>
          <w:sz w:val="20"/>
          <w:szCs w:val="20"/>
          <w:lang w:eastAsia="ja-JP"/>
        </w:rPr>
      </w:pPr>
      <w:r w:rsidRPr="00065672">
        <w:rPr>
          <w:rFonts w:ascii="Tahoma" w:eastAsiaTheme="minorEastAsia" w:hAnsi="Tahoma" w:cs="Tahoma"/>
          <w:sz w:val="20"/>
          <w:szCs w:val="20"/>
          <w:lang w:eastAsia="ja-JP"/>
        </w:rPr>
        <w:t xml:space="preserve">Technické a věcné údaje jsou </w:t>
      </w:r>
      <w:r>
        <w:rPr>
          <w:rFonts w:ascii="Tahoma" w:eastAsiaTheme="minorEastAsia" w:hAnsi="Tahoma" w:cs="Tahoma"/>
          <w:sz w:val="20"/>
          <w:szCs w:val="20"/>
          <w:lang w:eastAsia="ja-JP"/>
        </w:rPr>
        <w:t xml:space="preserve">navrženy </w:t>
      </w:r>
      <w:r w:rsidRPr="00065672">
        <w:rPr>
          <w:rFonts w:ascii="Tahoma" w:eastAsiaTheme="minorEastAsia" w:hAnsi="Tahoma" w:cs="Tahoma"/>
          <w:sz w:val="20"/>
          <w:szCs w:val="20"/>
          <w:lang w:eastAsia="ja-JP"/>
        </w:rPr>
        <w:t>v přílohách vyhlášky</w:t>
      </w:r>
      <w:r>
        <w:rPr>
          <w:rFonts w:ascii="Tahoma" w:eastAsiaTheme="minorEastAsia" w:hAnsi="Tahoma" w:cs="Tahoma"/>
          <w:sz w:val="20"/>
          <w:szCs w:val="20"/>
          <w:lang w:eastAsia="ja-JP"/>
        </w:rPr>
        <w:t>.</w:t>
      </w:r>
    </w:p>
    <w:p w:rsidR="00C55A70" w:rsidRPr="007547C9" w:rsidRDefault="00C55A70" w:rsidP="00C55A70">
      <w:pPr>
        <w:autoSpaceDE w:val="0"/>
        <w:autoSpaceDN w:val="0"/>
        <w:adjustRightInd w:val="0"/>
        <w:spacing w:after="120"/>
        <w:rPr>
          <w:rFonts w:ascii="Tahoma" w:eastAsiaTheme="minorEastAsia" w:hAnsi="Tahoma" w:cs="Tahoma"/>
          <w:sz w:val="20"/>
          <w:szCs w:val="20"/>
          <w:lang w:eastAsia="ja-JP"/>
        </w:rPr>
      </w:pPr>
    </w:p>
    <w:p w:rsidR="00C55A70" w:rsidRDefault="00C55A70" w:rsidP="00C55A70">
      <w:pPr>
        <w:autoSpaceDE w:val="0"/>
        <w:autoSpaceDN w:val="0"/>
        <w:adjustRightInd w:val="0"/>
        <w:spacing w:after="120"/>
        <w:jc w:val="both"/>
        <w:rPr>
          <w:rFonts w:ascii="Tahoma" w:eastAsiaTheme="minorEastAsia" w:hAnsi="Tahoma" w:cs="Tahoma"/>
          <w:sz w:val="20"/>
          <w:szCs w:val="20"/>
          <w:lang w:eastAsia="ja-JP"/>
        </w:rPr>
      </w:pPr>
      <w:r w:rsidRPr="00065672">
        <w:rPr>
          <w:rFonts w:ascii="Tahoma" w:eastAsiaTheme="minorEastAsia" w:hAnsi="Tahoma" w:cs="Tahoma"/>
          <w:sz w:val="20"/>
          <w:szCs w:val="20"/>
          <w:lang w:eastAsia="ja-JP"/>
        </w:rPr>
        <w:t>Návrh předpokládá, že správci sítí TI</w:t>
      </w:r>
      <w:r>
        <w:rPr>
          <w:rFonts w:ascii="Tahoma" w:eastAsiaTheme="minorEastAsia" w:hAnsi="Tahoma" w:cs="Tahoma"/>
          <w:sz w:val="20"/>
          <w:szCs w:val="20"/>
          <w:lang w:eastAsia="ja-JP"/>
        </w:rPr>
        <w:t>, tedy i ČEPRO zajistí a předá</w:t>
      </w:r>
      <w:r w:rsidRPr="00065672">
        <w:rPr>
          <w:rFonts w:ascii="Tahoma" w:eastAsiaTheme="minorEastAsia" w:hAnsi="Tahoma" w:cs="Tahoma"/>
          <w:sz w:val="20"/>
          <w:szCs w:val="20"/>
          <w:lang w:eastAsia="ja-JP"/>
        </w:rPr>
        <w:t xml:space="preserve"> informace o její poloze vč. ochranných pásem v požadované digitální podobě editorovi DTM na jeho výzvu</w:t>
      </w:r>
      <w:r>
        <w:rPr>
          <w:rFonts w:ascii="Tahoma" w:eastAsiaTheme="minorEastAsia" w:hAnsi="Tahoma" w:cs="Tahoma"/>
          <w:sz w:val="20"/>
          <w:szCs w:val="20"/>
          <w:lang w:eastAsia="ja-JP"/>
        </w:rPr>
        <w:t>, kterou editor odešle po zprovoznění příslušného rozhraní (předpoklad zatím v r. 2021)</w:t>
      </w:r>
      <w:r w:rsidRPr="00065672">
        <w:rPr>
          <w:rFonts w:ascii="Tahoma" w:eastAsiaTheme="minorEastAsia" w:hAnsi="Tahoma" w:cs="Tahoma"/>
          <w:sz w:val="20"/>
          <w:szCs w:val="20"/>
          <w:lang w:eastAsia="ja-JP"/>
        </w:rPr>
        <w:t>.</w:t>
      </w:r>
      <w:r>
        <w:rPr>
          <w:rFonts w:ascii="Tahoma" w:eastAsiaTheme="minorEastAsia" w:hAnsi="Tahoma" w:cs="Tahoma"/>
          <w:sz w:val="20"/>
          <w:szCs w:val="20"/>
          <w:lang w:eastAsia="ja-JP"/>
        </w:rPr>
        <w:t xml:space="preserve"> DTM kraje zahrnující sítě TI má být zprovozněna do </w:t>
      </w:r>
      <w:proofErr w:type="gramStart"/>
      <w:r>
        <w:rPr>
          <w:rFonts w:ascii="Tahoma" w:eastAsiaTheme="minorEastAsia" w:hAnsi="Tahoma" w:cs="Tahoma"/>
          <w:sz w:val="20"/>
          <w:szCs w:val="20"/>
          <w:lang w:eastAsia="ja-JP"/>
        </w:rPr>
        <w:t>31.12.2022</w:t>
      </w:r>
      <w:proofErr w:type="gramEnd"/>
      <w:r>
        <w:rPr>
          <w:rFonts w:ascii="Tahoma" w:eastAsiaTheme="minorEastAsia" w:hAnsi="Tahoma" w:cs="Tahoma"/>
          <w:sz w:val="20"/>
          <w:szCs w:val="20"/>
          <w:lang w:eastAsia="ja-JP"/>
        </w:rPr>
        <w:t xml:space="preserve">. </w:t>
      </w:r>
      <w:r w:rsidRPr="00065672">
        <w:rPr>
          <w:rFonts w:ascii="Tahoma" w:eastAsiaTheme="minorEastAsia" w:hAnsi="Tahoma" w:cs="Tahoma"/>
          <w:sz w:val="20"/>
          <w:szCs w:val="20"/>
          <w:lang w:eastAsia="ja-JP"/>
        </w:rPr>
        <w:t xml:space="preserve"> Po zpřístupnění mapy</w:t>
      </w:r>
      <w:r>
        <w:rPr>
          <w:rFonts w:ascii="Tahoma" w:eastAsiaTheme="minorEastAsia" w:hAnsi="Tahoma" w:cs="Tahoma"/>
          <w:sz w:val="20"/>
          <w:szCs w:val="20"/>
          <w:lang w:eastAsia="ja-JP"/>
        </w:rPr>
        <w:t xml:space="preserve"> musí správce sítí TI bezodkladně předávat či vkládat změny údajů. Nepostačí tedy zasílat data o území ve víceletých intervalech jako doposud, neboť správce sítí bude odpovídat za správnost a aktuálnost údajů a ponese odpovědnost za případné škody z důvodu chyb v údajích. Po zprovoznění DTM s údaji TI proběhne další výzva editora a vlastníci budou předávat údaje o dalších typech objektů evidence. K </w:t>
      </w:r>
      <w:proofErr w:type="gramStart"/>
      <w:r>
        <w:rPr>
          <w:rFonts w:ascii="Tahoma" w:eastAsiaTheme="minorEastAsia" w:hAnsi="Tahoma" w:cs="Tahoma"/>
          <w:sz w:val="20"/>
          <w:szCs w:val="20"/>
          <w:lang w:eastAsia="ja-JP"/>
        </w:rPr>
        <w:t>30.6.2023</w:t>
      </w:r>
      <w:proofErr w:type="gramEnd"/>
      <w:r>
        <w:rPr>
          <w:rFonts w:ascii="Tahoma" w:eastAsiaTheme="minorEastAsia" w:hAnsi="Tahoma" w:cs="Tahoma"/>
          <w:sz w:val="20"/>
          <w:szCs w:val="20"/>
          <w:lang w:eastAsia="ja-JP"/>
        </w:rPr>
        <w:t xml:space="preserve"> bude zprovozněna DTM kraje zahrnující vodohospodářskou infrastrukturu a k 30.6.2024 zahrnující komunikace a sídla, DTM krajů budou tedy kompletní. </w:t>
      </w:r>
    </w:p>
    <w:p w:rsidR="00C55A70" w:rsidRDefault="00C55A70" w:rsidP="00C55A70">
      <w:pPr>
        <w:autoSpaceDE w:val="0"/>
        <w:autoSpaceDN w:val="0"/>
        <w:adjustRightInd w:val="0"/>
        <w:spacing w:after="120"/>
        <w:jc w:val="both"/>
        <w:rPr>
          <w:rFonts w:ascii="Tahoma" w:eastAsiaTheme="minorEastAsia" w:hAnsi="Tahoma" w:cs="Tahoma"/>
          <w:sz w:val="20"/>
          <w:szCs w:val="20"/>
          <w:lang w:eastAsia="ja-JP"/>
        </w:rPr>
      </w:pPr>
      <w:r>
        <w:rPr>
          <w:rFonts w:ascii="Tahoma" w:eastAsiaTheme="minorEastAsia" w:hAnsi="Tahoma" w:cs="Tahoma"/>
          <w:sz w:val="20"/>
          <w:szCs w:val="20"/>
          <w:lang w:eastAsia="ja-JP"/>
        </w:rPr>
        <w:t xml:space="preserve">Vyhláška je v procesu připomínkování paragrafového znění, ČEPRO měla možnost uplatnit své připomínky. Připomínky se týkaly zejména otázky jasnosti použitých pojmů a obsahu příloh, přitom věcné odborné hledisko správce GIS nebylo k dispozici, proto nemohly být uplatněny případné připomínky k rozsahu údajů, jejich veřejnosti apod. Připomínky byly uplatněny v obecné rovině. </w:t>
      </w:r>
    </w:p>
    <w:p w:rsidR="00C55A70" w:rsidRPr="00C55A70" w:rsidRDefault="00C55A70" w:rsidP="00C55A70">
      <w:pPr>
        <w:autoSpaceDE w:val="0"/>
        <w:autoSpaceDN w:val="0"/>
        <w:adjustRightInd w:val="0"/>
        <w:spacing w:after="120"/>
        <w:jc w:val="both"/>
        <w:rPr>
          <w:rFonts w:ascii="Tahoma" w:eastAsiaTheme="minorEastAsia" w:hAnsi="Tahoma" w:cs="Tahoma"/>
          <w:b/>
          <w:sz w:val="20"/>
          <w:szCs w:val="20"/>
          <w:lang w:eastAsia="ja-JP"/>
        </w:rPr>
      </w:pPr>
      <w:r w:rsidRPr="00C55A70">
        <w:rPr>
          <w:rFonts w:ascii="Tahoma" w:eastAsiaTheme="minorEastAsia" w:hAnsi="Tahoma" w:cs="Tahoma"/>
          <w:b/>
          <w:sz w:val="20"/>
          <w:szCs w:val="20"/>
          <w:lang w:eastAsia="ja-JP"/>
        </w:rPr>
        <w:t xml:space="preserve">Rozsah údajů, tak jak vyplývá z vyhlášky, přináší nebezpečí spojené s tím, že vlastníci pozemků poprvé zjistí promítnutím sítí TI, že jejich pozemky jsou v užívání omezeny ochrannými pásmy produktovodů a jejich součástí.  Lze proto očekávat nárůst dotazů i požadavků na náhrady za užívání cizích pozemků pro provoz produktovodů ze strany </w:t>
      </w:r>
      <w:r w:rsidRPr="00C55A70">
        <w:rPr>
          <w:rFonts w:ascii="Tahoma" w:eastAsiaTheme="minorEastAsia" w:hAnsi="Tahoma" w:cs="Tahoma"/>
          <w:b/>
          <w:sz w:val="20"/>
          <w:szCs w:val="20"/>
          <w:lang w:eastAsia="ja-JP"/>
        </w:rPr>
        <w:lastRenderedPageBreak/>
        <w:t>soukromoprávních subjektů a tím i možný nárůst soudních sporů ve vztahu k trasám, pro něž vznikla veřejnoprávní věcná břemena, případně kde věcná břemena z </w:t>
      </w:r>
      <w:proofErr w:type="gramStart"/>
      <w:r w:rsidRPr="00C55A70">
        <w:rPr>
          <w:rFonts w:ascii="Tahoma" w:eastAsiaTheme="minorEastAsia" w:hAnsi="Tahoma" w:cs="Tahoma"/>
          <w:b/>
          <w:sz w:val="20"/>
          <w:szCs w:val="20"/>
          <w:lang w:eastAsia="ja-JP"/>
        </w:rPr>
        <w:t>jakýchkoliv</w:t>
      </w:r>
      <w:proofErr w:type="gramEnd"/>
      <w:r w:rsidRPr="00C55A70">
        <w:rPr>
          <w:rFonts w:ascii="Tahoma" w:eastAsiaTheme="minorEastAsia" w:hAnsi="Tahoma" w:cs="Tahoma"/>
          <w:b/>
          <w:sz w:val="20"/>
          <w:szCs w:val="20"/>
          <w:lang w:eastAsia="ja-JP"/>
        </w:rPr>
        <w:t xml:space="preserve"> důvodu nevznikla.</w:t>
      </w:r>
    </w:p>
    <w:p w:rsidR="00C55A70" w:rsidRPr="00065672" w:rsidRDefault="00C55A70" w:rsidP="00C55A70">
      <w:pPr>
        <w:autoSpaceDE w:val="0"/>
        <w:autoSpaceDN w:val="0"/>
        <w:adjustRightInd w:val="0"/>
        <w:spacing w:after="120"/>
        <w:jc w:val="both"/>
        <w:rPr>
          <w:rFonts w:ascii="Tahoma" w:eastAsiaTheme="minorEastAsia" w:hAnsi="Tahoma" w:cs="Tahoma"/>
          <w:sz w:val="20"/>
          <w:szCs w:val="20"/>
          <w:lang w:eastAsia="ja-JP"/>
        </w:rPr>
      </w:pPr>
      <w:r w:rsidRPr="00065672">
        <w:rPr>
          <w:rFonts w:ascii="Tahoma" w:eastAsiaTheme="minorEastAsia" w:hAnsi="Tahoma" w:cs="Tahoma"/>
          <w:sz w:val="20"/>
          <w:szCs w:val="20"/>
          <w:lang w:eastAsia="ja-JP"/>
        </w:rPr>
        <w:t xml:space="preserve">Data rozsah, přesnost a forma dat v DTM vyžaduje pečlivé zvážení, která z nich mohou být veřejná a která z nich a v jakém rozsahu mají být poskytnuta pro stažení veřejnosti.     </w:t>
      </w:r>
    </w:p>
    <w:p w:rsidR="00C55A70" w:rsidRPr="00065672" w:rsidRDefault="00C55A70" w:rsidP="00C55A70">
      <w:pPr>
        <w:autoSpaceDE w:val="0"/>
        <w:autoSpaceDN w:val="0"/>
        <w:adjustRightInd w:val="0"/>
        <w:spacing w:after="120"/>
        <w:rPr>
          <w:rFonts w:eastAsiaTheme="minorEastAsia"/>
          <w:szCs w:val="24"/>
          <w:lang w:eastAsia="ja-JP"/>
        </w:rPr>
      </w:pPr>
    </w:p>
    <w:p w:rsidR="00C55A70" w:rsidRDefault="00C55A70" w:rsidP="00C55A70">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lang w:eastAsia="cs-CZ"/>
        </w:rPr>
      </w:pPr>
      <w:r>
        <w:rPr>
          <w:rStyle w:val="Hypertextovodkaz"/>
          <w:rFonts w:ascii="Tahoma" w:eastAsia="Times New Roman" w:hAnsi="Tahoma" w:cs="Tahoma"/>
          <w:b/>
          <w:bCs/>
          <w:i/>
          <w:color w:val="000000" w:themeColor="text1"/>
          <w:kern w:val="36"/>
          <w:sz w:val="20"/>
          <w:szCs w:val="20"/>
          <w:lang w:eastAsia="cs-CZ"/>
        </w:rPr>
        <w:t xml:space="preserve">Závěr věcné analýzy ze strany OPS: </w:t>
      </w:r>
    </w:p>
    <w:p w:rsidR="00C55A70" w:rsidRPr="00C55A70" w:rsidRDefault="00C55A70" w:rsidP="00C55A70">
      <w:pPr>
        <w:pStyle w:val="Bezmezer"/>
        <w:shd w:val="clear" w:color="auto" w:fill="D9D9D9" w:themeFill="background1" w:themeFillShade="D9"/>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C55A70">
        <w:rPr>
          <w:rStyle w:val="Hypertextovodkaz"/>
          <w:rFonts w:ascii="Tahoma" w:eastAsia="Times New Roman" w:hAnsi="Tahoma" w:cs="Tahoma"/>
          <w:bCs/>
          <w:color w:val="000000" w:themeColor="text1"/>
          <w:kern w:val="36"/>
          <w:sz w:val="20"/>
          <w:szCs w:val="20"/>
          <w:u w:val="none"/>
          <w:lang w:eastAsia="cs-CZ"/>
        </w:rPr>
        <w:t xml:space="preserve">Návrh klade na společnost (OPS, PÚ, OBIA, OESN, OČS, OIT) nároky </w:t>
      </w:r>
      <w:proofErr w:type="gramStart"/>
      <w:r w:rsidRPr="00C55A70">
        <w:rPr>
          <w:rStyle w:val="Hypertextovodkaz"/>
          <w:rFonts w:ascii="Tahoma" w:eastAsia="Times New Roman" w:hAnsi="Tahoma" w:cs="Tahoma"/>
          <w:bCs/>
          <w:color w:val="000000" w:themeColor="text1"/>
          <w:kern w:val="36"/>
          <w:sz w:val="20"/>
          <w:szCs w:val="20"/>
          <w:u w:val="none"/>
          <w:lang w:eastAsia="cs-CZ"/>
        </w:rPr>
        <w:t>na</w:t>
      </w:r>
      <w:proofErr w:type="gramEnd"/>
      <w:r w:rsidRPr="00C55A70">
        <w:rPr>
          <w:rStyle w:val="Hypertextovodkaz"/>
          <w:rFonts w:ascii="Tahoma" w:eastAsia="Times New Roman" w:hAnsi="Tahoma" w:cs="Tahoma"/>
          <w:bCs/>
          <w:color w:val="000000" w:themeColor="text1"/>
          <w:kern w:val="36"/>
          <w:sz w:val="20"/>
          <w:szCs w:val="20"/>
          <w:u w:val="none"/>
          <w:lang w:eastAsia="cs-CZ"/>
        </w:rPr>
        <w:t>:</w:t>
      </w:r>
    </w:p>
    <w:p w:rsidR="00C55A70" w:rsidRPr="00C55A70" w:rsidRDefault="00C55A70" w:rsidP="00C55A70">
      <w:pPr>
        <w:pStyle w:val="Bezmezer"/>
        <w:numPr>
          <w:ilvl w:val="0"/>
          <w:numId w:val="34"/>
        </w:numPr>
        <w:shd w:val="clear" w:color="auto" w:fill="D9D9D9" w:themeFill="background1" w:themeFillShade="D9"/>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C55A70">
        <w:rPr>
          <w:rStyle w:val="Hypertextovodkaz"/>
          <w:rFonts w:ascii="Tahoma" w:eastAsia="Times New Roman" w:hAnsi="Tahoma" w:cs="Tahoma"/>
          <w:bCs/>
          <w:color w:val="000000" w:themeColor="text1"/>
          <w:kern w:val="36"/>
          <w:sz w:val="20"/>
          <w:szCs w:val="20"/>
          <w:u w:val="none"/>
          <w:lang w:eastAsia="cs-CZ"/>
        </w:rPr>
        <w:t xml:space="preserve">přípravu personální i technické vybavenosti pro zajištění všech vyžadovaných dat uvedených v přílohách vyhlášky a pro vkládání a kontrolu správnosti dat do DTM </w:t>
      </w:r>
    </w:p>
    <w:p w:rsidR="00C55A70" w:rsidRPr="00C55A70" w:rsidRDefault="00C55A70" w:rsidP="00C55A70">
      <w:pPr>
        <w:pStyle w:val="Bezmezer"/>
        <w:numPr>
          <w:ilvl w:val="0"/>
          <w:numId w:val="34"/>
        </w:numPr>
        <w:shd w:val="clear" w:color="auto" w:fill="D9D9D9" w:themeFill="background1" w:themeFillShade="D9"/>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C55A70">
        <w:rPr>
          <w:rStyle w:val="Hypertextovodkaz"/>
          <w:rFonts w:ascii="Tahoma" w:eastAsia="Times New Roman" w:hAnsi="Tahoma" w:cs="Tahoma"/>
          <w:bCs/>
          <w:color w:val="000000" w:themeColor="text1"/>
          <w:kern w:val="36"/>
          <w:sz w:val="20"/>
          <w:szCs w:val="20"/>
          <w:u w:val="none"/>
          <w:lang w:eastAsia="cs-CZ"/>
        </w:rPr>
        <w:t>posouzení, které údaje uvedené v příloze 1 vyhlášky mohou být veřejné, a které musí zůstat neveřejné, aby se společnost dozvěděla o jejich před</w:t>
      </w:r>
      <w:r>
        <w:rPr>
          <w:rStyle w:val="Hypertextovodkaz"/>
          <w:rFonts w:ascii="Tahoma" w:eastAsia="Times New Roman" w:hAnsi="Tahoma" w:cs="Tahoma"/>
          <w:bCs/>
          <w:color w:val="000000" w:themeColor="text1"/>
          <w:kern w:val="36"/>
          <w:sz w:val="20"/>
          <w:szCs w:val="20"/>
          <w:u w:val="none"/>
          <w:lang w:eastAsia="cs-CZ"/>
        </w:rPr>
        <w:t xml:space="preserve">ání, </w:t>
      </w:r>
      <w:r w:rsidRPr="00C55A70">
        <w:rPr>
          <w:rStyle w:val="Hypertextovodkaz"/>
          <w:rFonts w:ascii="Tahoma" w:eastAsia="Times New Roman" w:hAnsi="Tahoma" w:cs="Tahoma"/>
          <w:bCs/>
          <w:color w:val="000000" w:themeColor="text1"/>
          <w:kern w:val="36"/>
          <w:sz w:val="20"/>
          <w:szCs w:val="20"/>
          <w:u w:val="none"/>
          <w:lang w:eastAsia="cs-CZ"/>
        </w:rPr>
        <w:t>zda požadované údaje společnost má k dispozici, nebo zda je teprve bude muset obstarat</w:t>
      </w:r>
    </w:p>
    <w:p w:rsidR="00C55A70" w:rsidRPr="00C55A70" w:rsidRDefault="00C55A70" w:rsidP="00C55A70">
      <w:pPr>
        <w:pStyle w:val="Bezmezer"/>
        <w:numPr>
          <w:ilvl w:val="0"/>
          <w:numId w:val="34"/>
        </w:numPr>
        <w:shd w:val="clear" w:color="auto" w:fill="D9D9D9" w:themeFill="background1" w:themeFillShade="D9"/>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C55A70">
        <w:rPr>
          <w:rStyle w:val="Hypertextovodkaz"/>
          <w:rFonts w:ascii="Tahoma" w:eastAsia="Times New Roman" w:hAnsi="Tahoma" w:cs="Tahoma"/>
          <w:bCs/>
          <w:color w:val="000000" w:themeColor="text1"/>
          <w:kern w:val="36"/>
          <w:sz w:val="20"/>
          <w:szCs w:val="20"/>
          <w:u w:val="none"/>
          <w:lang w:eastAsia="cs-CZ"/>
        </w:rPr>
        <w:t>přípravu postupů pro využití DTM při provozní i investiční činnosti</w:t>
      </w:r>
    </w:p>
    <w:p w:rsidR="00C55A70" w:rsidRDefault="00C55A70" w:rsidP="00C55A70">
      <w:pPr>
        <w:pStyle w:val="Bezmezer"/>
        <w:numPr>
          <w:ilvl w:val="0"/>
          <w:numId w:val="34"/>
        </w:numP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lang w:eastAsia="cs-CZ"/>
        </w:rPr>
      </w:pPr>
      <w:r w:rsidRPr="00C55A70">
        <w:rPr>
          <w:rStyle w:val="Hypertextovodkaz"/>
          <w:rFonts w:ascii="Tahoma" w:eastAsia="Times New Roman" w:hAnsi="Tahoma" w:cs="Tahoma"/>
          <w:bCs/>
          <w:color w:val="000000" w:themeColor="text1"/>
          <w:kern w:val="36"/>
          <w:sz w:val="20"/>
          <w:szCs w:val="20"/>
          <w:u w:val="none"/>
          <w:lang w:eastAsia="cs-CZ"/>
        </w:rPr>
        <w:t xml:space="preserve">aktivní účast při finalizaci vyhlášky tak, aby zůstaly ochráněny zájmy na utajení některých informací podle zákona č. 412/2005 Sb. ve vazbě na nařízení vlády č. 522/2005 Sb., Příloha 6, kde se uvádí jako utajovaná informace v působnosti MPO také „informace dávající celkový přehled o rozmístění a kapacitách </w:t>
      </w:r>
      <w:proofErr w:type="spellStart"/>
      <w:r w:rsidRPr="00C55A70">
        <w:rPr>
          <w:rStyle w:val="Hypertextovodkaz"/>
          <w:rFonts w:ascii="Tahoma" w:eastAsia="Times New Roman" w:hAnsi="Tahoma" w:cs="Tahoma"/>
          <w:bCs/>
          <w:color w:val="000000" w:themeColor="text1"/>
          <w:kern w:val="36"/>
          <w:sz w:val="20"/>
          <w:szCs w:val="20"/>
          <w:u w:val="none"/>
          <w:lang w:eastAsia="cs-CZ"/>
        </w:rPr>
        <w:t>produktovodních</w:t>
      </w:r>
      <w:proofErr w:type="spellEnd"/>
      <w:r w:rsidRPr="00C55A70">
        <w:rPr>
          <w:rStyle w:val="Hypertextovodkaz"/>
          <w:rFonts w:ascii="Tahoma" w:eastAsia="Times New Roman" w:hAnsi="Tahoma" w:cs="Tahoma"/>
          <w:bCs/>
          <w:color w:val="000000" w:themeColor="text1"/>
          <w:kern w:val="36"/>
          <w:sz w:val="20"/>
          <w:szCs w:val="20"/>
          <w:u w:val="none"/>
          <w:lang w:eastAsia="cs-CZ"/>
        </w:rPr>
        <w:t xml:space="preserve"> tras pro dopravu pohonných hmot a ropy.“</w:t>
      </w:r>
    </w:p>
    <w:p w:rsidR="00C55A70" w:rsidRDefault="00C55A70" w:rsidP="00C55A70"/>
    <w:p w:rsidR="00A34EA2" w:rsidRPr="00A34EA2" w:rsidRDefault="00A34EA2" w:rsidP="00A34EA2">
      <w:pPr>
        <w:pStyle w:val="Bezmezer"/>
        <w:jc w:val="center"/>
        <w:rPr>
          <w:rFonts w:ascii="Tahoma" w:eastAsiaTheme="minorEastAsia" w:hAnsi="Tahoma" w:cs="Tahoma"/>
          <w:sz w:val="20"/>
          <w:szCs w:val="20"/>
          <w:lang w:eastAsia="ja-JP"/>
        </w:rPr>
      </w:pPr>
    </w:p>
    <w:p w:rsidR="00A34EA2" w:rsidRPr="00C55A70" w:rsidRDefault="00A34EA2" w:rsidP="00C55A70">
      <w:pPr>
        <w:pStyle w:val="Bezmezer"/>
        <w:jc w:val="center"/>
        <w:rPr>
          <w:rStyle w:val="Hypertextovodkaz"/>
          <w:rFonts w:ascii="Tahoma" w:eastAsia="Times New Roman" w:hAnsi="Tahoma" w:cs="Tahoma"/>
          <w:bCs/>
          <w:color w:val="000000" w:themeColor="text1"/>
          <w:kern w:val="36"/>
          <w:sz w:val="24"/>
          <w:szCs w:val="20"/>
          <w:u w:val="none"/>
          <w:lang w:eastAsia="cs-CZ"/>
        </w:rPr>
      </w:pPr>
    </w:p>
    <w:p w:rsidR="00D8020C" w:rsidRDefault="00D8020C"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EE45F8" w:rsidP="00EE45F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E45F8">
        <w:rPr>
          <w:rStyle w:val="Hypertextovodkaz"/>
          <w:rFonts w:ascii="Tahoma" w:eastAsia="Times New Roman" w:hAnsi="Tahoma" w:cs="Tahoma"/>
          <w:b/>
          <w:bCs/>
          <w:color w:val="000000" w:themeColor="text1"/>
          <w:kern w:val="36"/>
          <w:sz w:val="24"/>
          <w:szCs w:val="24"/>
          <w:u w:val="none"/>
          <w:lang w:eastAsia="cs-CZ"/>
        </w:rPr>
        <w:t>Návrh zákona, kterým se mění některé zákony v oblasti daní a některé další zákony</w:t>
      </w:r>
      <w:r w:rsidR="00E854D5">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D232D6" w:rsidRDefault="00CD711D"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00EE45F8" w:rsidRPr="00EE45F8">
        <w:rPr>
          <w:rStyle w:val="Hypertextovodkaz"/>
          <w:rFonts w:ascii="Tahoma" w:eastAsia="Times New Roman" w:hAnsi="Tahoma" w:cs="Tahoma"/>
          <w:bCs/>
          <w:color w:val="000000" w:themeColor="text1"/>
          <w:kern w:val="36"/>
          <w:sz w:val="20"/>
          <w:szCs w:val="20"/>
          <w:u w:val="none"/>
          <w:lang w:eastAsia="cs-CZ"/>
        </w:rPr>
        <w:t>KORNBMCM4YA7</w:t>
      </w:r>
    </w:p>
    <w:p w:rsidR="00E7078F" w:rsidRDefault="00EE45F8"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 ukončeno</w:t>
      </w:r>
    </w:p>
    <w:p w:rsidR="007060DB" w:rsidRDefault="007060DB" w:rsidP="007060DB">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B16A80" w:rsidRDefault="007060DB"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7060DB">
        <w:rPr>
          <w:rStyle w:val="Hypertextovodkaz"/>
          <w:rFonts w:ascii="Tahoma" w:eastAsia="Times New Roman" w:hAnsi="Tahoma" w:cs="Tahoma"/>
          <w:bCs/>
          <w:color w:val="000000" w:themeColor="text1"/>
          <w:kern w:val="36"/>
          <w:sz w:val="20"/>
          <w:szCs w:val="20"/>
          <w:u w:val="none"/>
          <w:lang w:eastAsia="cs-CZ"/>
        </w:rPr>
        <w:t xml:space="preserve">Materiál obsahuje změny daňových zákonů, ke kterým má dojít s účinností od 1. ledna 2021. Mezi navrženými změnami je např. zavedení </w:t>
      </w:r>
      <w:proofErr w:type="spellStart"/>
      <w:r w:rsidRPr="007060DB">
        <w:rPr>
          <w:rStyle w:val="Hypertextovodkaz"/>
          <w:rFonts w:ascii="Tahoma" w:eastAsia="Times New Roman" w:hAnsi="Tahoma" w:cs="Tahoma"/>
          <w:bCs/>
          <w:color w:val="000000" w:themeColor="text1"/>
          <w:kern w:val="36"/>
          <w:sz w:val="20"/>
          <w:szCs w:val="20"/>
          <w:u w:val="none"/>
          <w:lang w:eastAsia="cs-CZ"/>
        </w:rPr>
        <w:t>stravenkov</w:t>
      </w:r>
      <w:r w:rsidR="006D5353">
        <w:rPr>
          <w:rStyle w:val="Hypertextovodkaz"/>
          <w:rFonts w:ascii="Tahoma" w:eastAsia="Times New Roman" w:hAnsi="Tahoma" w:cs="Tahoma"/>
          <w:bCs/>
          <w:color w:val="000000" w:themeColor="text1"/>
          <w:kern w:val="36"/>
          <w:sz w:val="20"/>
          <w:szCs w:val="20"/>
          <w:u w:val="none"/>
          <w:lang w:eastAsia="cs-CZ"/>
        </w:rPr>
        <w:t>ého</w:t>
      </w:r>
      <w:proofErr w:type="spellEnd"/>
      <w:r w:rsidR="006D5353">
        <w:rPr>
          <w:rStyle w:val="Hypertextovodkaz"/>
          <w:rFonts w:ascii="Tahoma" w:eastAsia="Times New Roman" w:hAnsi="Tahoma" w:cs="Tahoma"/>
          <w:bCs/>
          <w:color w:val="000000" w:themeColor="text1"/>
          <w:kern w:val="36"/>
          <w:sz w:val="20"/>
          <w:szCs w:val="20"/>
          <w:u w:val="none"/>
          <w:lang w:eastAsia="cs-CZ"/>
        </w:rPr>
        <w:t xml:space="preserve"> paušálu; rozšíření pravomocí</w:t>
      </w:r>
      <w:r w:rsidR="001B040A">
        <w:rPr>
          <w:rStyle w:val="Hypertextovodkaz"/>
          <w:rFonts w:ascii="Tahoma" w:eastAsia="Times New Roman" w:hAnsi="Tahoma" w:cs="Tahoma"/>
          <w:bCs/>
          <w:color w:val="000000" w:themeColor="text1"/>
          <w:kern w:val="36"/>
          <w:sz w:val="20"/>
          <w:szCs w:val="20"/>
          <w:u w:val="none"/>
          <w:lang w:eastAsia="cs-CZ"/>
        </w:rPr>
        <w:t xml:space="preserve"> </w:t>
      </w:r>
      <w:r w:rsidRPr="007060DB">
        <w:rPr>
          <w:rStyle w:val="Hypertextovodkaz"/>
          <w:rFonts w:ascii="Tahoma" w:eastAsia="Times New Roman" w:hAnsi="Tahoma" w:cs="Tahoma"/>
          <w:bCs/>
          <w:color w:val="000000" w:themeColor="text1"/>
          <w:kern w:val="36"/>
          <w:sz w:val="20"/>
          <w:szCs w:val="20"/>
          <w:u w:val="none"/>
          <w:lang w:eastAsia="cs-CZ"/>
        </w:rPr>
        <w:t xml:space="preserve">obcí při stanovení místního koeficientu daně z nemovitých věcí; </w:t>
      </w:r>
      <w:r>
        <w:rPr>
          <w:rStyle w:val="Hypertextovodkaz"/>
          <w:rFonts w:ascii="Tahoma" w:eastAsia="Times New Roman" w:hAnsi="Tahoma" w:cs="Tahoma"/>
          <w:bCs/>
          <w:color w:val="000000" w:themeColor="text1"/>
          <w:kern w:val="36"/>
          <w:sz w:val="20"/>
          <w:szCs w:val="20"/>
          <w:u w:val="none"/>
          <w:lang w:eastAsia="cs-CZ"/>
        </w:rPr>
        <w:t>nebo prodloužení délky časového testu pro osvobození od daně z příjmu při prodeji nemovitosti.</w:t>
      </w:r>
    </w:p>
    <w:p w:rsidR="007060DB" w:rsidRPr="00C34DBF" w:rsidRDefault="007060DB"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233EF7" w:rsidRDefault="00233EF7"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E854D5" w:rsidRDefault="00E854D5"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E854D5" w:rsidRDefault="00E854D5"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76277F" w:rsidRDefault="0076277F" w:rsidP="0076277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6277F">
        <w:rPr>
          <w:rStyle w:val="Hypertextovodkaz"/>
          <w:rFonts w:ascii="Tahoma" w:eastAsia="Times New Roman" w:hAnsi="Tahoma" w:cs="Tahoma"/>
          <w:b/>
          <w:bCs/>
          <w:color w:val="000000" w:themeColor="text1"/>
          <w:kern w:val="36"/>
          <w:sz w:val="24"/>
          <w:szCs w:val="24"/>
          <w:u w:val="none"/>
          <w:lang w:eastAsia="cs-CZ"/>
        </w:rPr>
        <w:lastRenderedPageBreak/>
        <w:t>Návrh nařízení vlády, kterým se mění nařízení vlády č. 145/2008 Sb., kterým se stanoví seznam znečišťujících látek a prahových hodnot a údaje požadované pro ohlašování do integrovaného registru znečišťování životního prostředí</w:t>
      </w:r>
    </w:p>
    <w:p w:rsidR="008B2419" w:rsidRDefault="00E854D5" w:rsidP="0076277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76277F" w:rsidRDefault="0076277F"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76277F">
        <w:rPr>
          <w:rStyle w:val="Hypertextovodkaz"/>
          <w:rFonts w:ascii="Tahoma" w:eastAsia="Times New Roman" w:hAnsi="Tahoma" w:cs="Tahoma"/>
          <w:bCs/>
          <w:color w:val="000000" w:themeColor="text1"/>
          <w:kern w:val="36"/>
          <w:sz w:val="20"/>
          <w:szCs w:val="24"/>
          <w:u w:val="none"/>
          <w:lang w:eastAsia="cs-CZ"/>
        </w:rPr>
        <w:t>ALBSBMFHLQPL</w:t>
      </w:r>
    </w:p>
    <w:p w:rsidR="0076277F" w:rsidRPr="0076277F" w:rsidRDefault="0076277F" w:rsidP="0076277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76277F">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8B2419" w:rsidRDefault="008B2419" w:rsidP="0076277F">
      <w:pPr>
        <w:pStyle w:val="Bezmezer"/>
        <w:spacing w:line="360" w:lineRule="auto"/>
        <w:jc w:val="right"/>
        <w:rPr>
          <w:rStyle w:val="Hypertextovodkaz"/>
          <w:rFonts w:ascii="Tahoma" w:eastAsia="Times New Roman" w:hAnsi="Tahoma" w:cs="Tahoma"/>
          <w:bCs/>
          <w:i/>
          <w:color w:val="000000" w:themeColor="text1"/>
          <w:kern w:val="36"/>
          <w:sz w:val="16"/>
          <w:szCs w:val="20"/>
          <w:u w:val="none"/>
          <w:lang w:eastAsia="cs-CZ"/>
        </w:rPr>
      </w:pPr>
    </w:p>
    <w:p w:rsidR="0076277F" w:rsidRP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76277F">
        <w:rPr>
          <w:rStyle w:val="Hypertextovodkaz"/>
          <w:rFonts w:ascii="Tahoma" w:eastAsia="Times New Roman" w:hAnsi="Tahoma" w:cs="Tahoma"/>
          <w:bCs/>
          <w:color w:val="000000" w:themeColor="text1"/>
          <w:kern w:val="36"/>
          <w:sz w:val="20"/>
          <w:szCs w:val="20"/>
          <w:u w:val="none"/>
          <w:lang w:eastAsia="cs-CZ"/>
        </w:rPr>
        <w:t>Vláda předložila novelu nařízení vlády, které je prováděcím právním předpisem k zákonu č. 25/2008 Sb., o integrovaném registru znečišťování životního prostředí a integrovaném systému plnění ohlašovacích povinností v oblasti životního prostředí a o změně některých zákonů, ve znění pozdějších předpisů.</w:t>
      </w: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76277F" w:rsidRDefault="0076277F"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A34EA2" w:rsidRDefault="00A34EA2" w:rsidP="00A34EA2">
      <w:pPr>
        <w:pStyle w:val="Bezmezer"/>
        <w:jc w:val="center"/>
        <w:rPr>
          <w:rStyle w:val="Hypertextovodkaz"/>
          <w:rFonts w:ascii="Tahoma" w:eastAsia="Times New Roman" w:hAnsi="Tahoma" w:cs="Tahoma"/>
          <w:b/>
          <w:bCs/>
          <w:color w:val="000000" w:themeColor="text1"/>
          <w:kern w:val="36"/>
          <w:sz w:val="24"/>
          <w:szCs w:val="24"/>
          <w:u w:val="none"/>
          <w:lang w:eastAsia="cs-CZ"/>
        </w:rPr>
      </w:pPr>
      <w:r w:rsidRPr="00A34EA2">
        <w:rPr>
          <w:rStyle w:val="Hypertextovodkaz"/>
          <w:rFonts w:ascii="Tahoma" w:eastAsia="Times New Roman" w:hAnsi="Tahoma" w:cs="Tahoma"/>
          <w:b/>
          <w:bCs/>
          <w:color w:val="000000" w:themeColor="text1"/>
          <w:kern w:val="36"/>
          <w:sz w:val="24"/>
          <w:szCs w:val="24"/>
          <w:u w:val="none"/>
          <w:lang w:eastAsia="cs-CZ"/>
        </w:rPr>
        <w:t>Věcný záměr zákona o vyvlastnění</w:t>
      </w:r>
    </w:p>
    <w:p w:rsidR="00A34EA2" w:rsidRDefault="00E854D5" w:rsidP="00A34EA2">
      <w:pPr>
        <w:pStyle w:val="Bezmezer"/>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A34EA2" w:rsidRPr="00A34EA2" w:rsidRDefault="00A34EA2" w:rsidP="00A34EA2">
      <w:pPr>
        <w:pStyle w:val="Bezmezer"/>
        <w:jc w:val="right"/>
        <w:rPr>
          <w:rFonts w:ascii="Tahoma" w:eastAsiaTheme="minorEastAsia" w:hAnsi="Tahoma" w:cs="Tahoma"/>
          <w:sz w:val="20"/>
          <w:szCs w:val="20"/>
          <w:lang w:eastAsia="ja-JP"/>
        </w:rPr>
      </w:pPr>
      <w:r w:rsidRPr="00A34EA2">
        <w:rPr>
          <w:rFonts w:ascii="Tahoma" w:eastAsiaTheme="minorEastAsia" w:hAnsi="Tahoma" w:cs="Tahoma"/>
          <w:sz w:val="20"/>
          <w:szCs w:val="20"/>
          <w:lang w:eastAsia="ja-JP"/>
        </w:rPr>
        <w:t>Ve fázi tvorby návrhu zákona</w:t>
      </w:r>
    </w:p>
    <w:p w:rsidR="00A34EA2" w:rsidRPr="00A34EA2" w:rsidRDefault="00A34EA2" w:rsidP="00A34EA2">
      <w:pPr>
        <w:jc w:val="both"/>
        <w:rPr>
          <w:rFonts w:ascii="Tahoma" w:eastAsiaTheme="minorEastAsia" w:hAnsi="Tahoma" w:cs="Tahoma"/>
          <w:sz w:val="20"/>
          <w:szCs w:val="20"/>
          <w:lang w:eastAsia="ja-JP"/>
        </w:rPr>
      </w:pPr>
    </w:p>
    <w:p w:rsidR="00A34EA2" w:rsidRPr="00A34EA2" w:rsidRDefault="00A34EA2" w:rsidP="00A34EA2">
      <w:pPr>
        <w:jc w:val="both"/>
        <w:rPr>
          <w:rFonts w:ascii="Tahoma" w:eastAsiaTheme="minorEastAsia" w:hAnsi="Tahoma" w:cs="Tahoma"/>
          <w:sz w:val="20"/>
          <w:szCs w:val="20"/>
          <w:lang w:eastAsia="ja-JP"/>
        </w:rPr>
      </w:pPr>
      <w:r w:rsidRPr="00A34EA2">
        <w:rPr>
          <w:rFonts w:ascii="Tahoma" w:eastAsiaTheme="minorEastAsia" w:hAnsi="Tahoma" w:cs="Tahoma"/>
          <w:sz w:val="20"/>
          <w:szCs w:val="20"/>
          <w:lang w:eastAsia="ja-JP"/>
        </w:rPr>
        <w:t xml:space="preserve">Ministerstvo pro místní rozvoj zahájilo iniciativu tvorby nového zákona o vyvlastnění, který by měl komplexně upravit a shrnout jednotlivé právní tituly pro vyvlastnění </w:t>
      </w:r>
      <w:r>
        <w:rPr>
          <w:rFonts w:ascii="Tahoma" w:eastAsiaTheme="minorEastAsia" w:hAnsi="Tahoma" w:cs="Tahoma"/>
          <w:sz w:val="20"/>
          <w:szCs w:val="20"/>
          <w:lang w:eastAsia="ja-JP"/>
        </w:rPr>
        <w:t xml:space="preserve">obsažené ve zvláštních právních </w:t>
      </w:r>
      <w:r w:rsidRPr="00A34EA2">
        <w:rPr>
          <w:rFonts w:ascii="Tahoma" w:eastAsiaTheme="minorEastAsia" w:hAnsi="Tahoma" w:cs="Tahoma"/>
          <w:sz w:val="20"/>
          <w:szCs w:val="20"/>
          <w:lang w:eastAsia="ja-JP"/>
        </w:rPr>
        <w:t>předpisech.</w:t>
      </w:r>
    </w:p>
    <w:p w:rsidR="00A34EA2" w:rsidRDefault="00A34EA2" w:rsidP="00A34EA2">
      <w:pPr>
        <w:pStyle w:val="Bezmezer"/>
        <w:jc w:val="both"/>
        <w:rPr>
          <w:rFonts w:ascii="Tahoma" w:eastAsiaTheme="minorEastAsia" w:hAnsi="Tahoma" w:cs="Tahoma"/>
          <w:sz w:val="20"/>
          <w:szCs w:val="20"/>
          <w:lang w:eastAsia="ja-JP"/>
        </w:rPr>
      </w:pPr>
      <w:r>
        <w:rPr>
          <w:rFonts w:ascii="Tahoma" w:eastAsiaTheme="minorEastAsia" w:hAnsi="Tahoma" w:cs="Tahoma"/>
          <w:sz w:val="20"/>
          <w:szCs w:val="20"/>
          <w:lang w:eastAsia="ja-JP"/>
        </w:rPr>
        <w:t>Zákon</w:t>
      </w:r>
      <w:r w:rsidRPr="00A34EA2">
        <w:rPr>
          <w:rFonts w:ascii="Tahoma" w:eastAsiaTheme="minorEastAsia" w:hAnsi="Tahoma" w:cs="Tahoma"/>
          <w:sz w:val="20"/>
          <w:szCs w:val="20"/>
          <w:lang w:eastAsia="ja-JP"/>
        </w:rPr>
        <w:t xml:space="preserve"> č. 189/1999 Sb., o nouzových zásobách ropy </w:t>
      </w:r>
      <w:r>
        <w:rPr>
          <w:rFonts w:ascii="Tahoma" w:eastAsiaTheme="minorEastAsia" w:hAnsi="Tahoma" w:cs="Tahoma"/>
          <w:sz w:val="20"/>
          <w:szCs w:val="20"/>
          <w:lang w:eastAsia="ja-JP"/>
        </w:rPr>
        <w:t>neumožňuje</w:t>
      </w:r>
      <w:r w:rsidRPr="00A34EA2">
        <w:rPr>
          <w:rFonts w:ascii="Tahoma" w:eastAsiaTheme="minorEastAsia" w:hAnsi="Tahoma" w:cs="Tahoma"/>
          <w:sz w:val="20"/>
          <w:szCs w:val="20"/>
          <w:lang w:eastAsia="ja-JP"/>
        </w:rPr>
        <w:t xml:space="preserve"> pro skladovací zařízení ani pro produktovody a ropovody vyvlastnit vlastnické právo, ale pouze jej omezit věcným </w:t>
      </w:r>
      <w:r>
        <w:rPr>
          <w:rFonts w:ascii="Tahoma" w:eastAsiaTheme="minorEastAsia" w:hAnsi="Tahoma" w:cs="Tahoma"/>
          <w:sz w:val="20"/>
          <w:szCs w:val="20"/>
          <w:lang w:eastAsia="ja-JP"/>
        </w:rPr>
        <w:t>břemenem. V zákoně postrádá OPS</w:t>
      </w:r>
      <w:r w:rsidRPr="00A34EA2">
        <w:rPr>
          <w:rFonts w:ascii="Tahoma" w:eastAsiaTheme="minorEastAsia" w:hAnsi="Tahoma" w:cs="Tahoma"/>
          <w:sz w:val="20"/>
          <w:szCs w:val="20"/>
          <w:lang w:eastAsia="ja-JP"/>
        </w:rPr>
        <w:t xml:space="preserve"> </w:t>
      </w:r>
      <w:r>
        <w:rPr>
          <w:rFonts w:ascii="Tahoma" w:eastAsiaTheme="minorEastAsia" w:hAnsi="Tahoma" w:cs="Tahoma"/>
          <w:sz w:val="20"/>
          <w:szCs w:val="20"/>
          <w:lang w:eastAsia="ja-JP"/>
        </w:rPr>
        <w:t>samostatný vyvlastňovací titul</w:t>
      </w:r>
      <w:r w:rsidRPr="00A34EA2">
        <w:rPr>
          <w:rFonts w:ascii="Tahoma" w:eastAsiaTheme="minorEastAsia" w:hAnsi="Tahoma" w:cs="Tahoma"/>
          <w:sz w:val="20"/>
          <w:szCs w:val="20"/>
          <w:lang w:eastAsia="ja-JP"/>
        </w:rPr>
        <w:t xml:space="preserve"> jako </w:t>
      </w:r>
      <w:r>
        <w:rPr>
          <w:rFonts w:ascii="Tahoma" w:eastAsiaTheme="minorEastAsia" w:hAnsi="Tahoma" w:cs="Tahoma"/>
          <w:sz w:val="20"/>
          <w:szCs w:val="20"/>
          <w:lang w:eastAsia="ja-JP"/>
        </w:rPr>
        <w:t>tomu je například v energetickém zákoně</w:t>
      </w:r>
      <w:r w:rsidRPr="00A34EA2">
        <w:rPr>
          <w:rFonts w:ascii="Tahoma" w:eastAsiaTheme="minorEastAsia" w:hAnsi="Tahoma" w:cs="Tahoma"/>
          <w:sz w:val="20"/>
          <w:szCs w:val="20"/>
          <w:lang w:eastAsia="ja-JP"/>
        </w:rPr>
        <w:t xml:space="preserve">.  Je proto </w:t>
      </w:r>
      <w:r>
        <w:rPr>
          <w:rFonts w:ascii="Tahoma" w:eastAsiaTheme="minorEastAsia" w:hAnsi="Tahoma" w:cs="Tahoma"/>
          <w:sz w:val="20"/>
          <w:szCs w:val="20"/>
          <w:lang w:eastAsia="ja-JP"/>
        </w:rPr>
        <w:t>v zájmu společnosti</w:t>
      </w:r>
      <w:r w:rsidRPr="00A34EA2">
        <w:rPr>
          <w:rFonts w:ascii="Tahoma" w:eastAsiaTheme="minorEastAsia" w:hAnsi="Tahoma" w:cs="Tahoma"/>
          <w:sz w:val="20"/>
          <w:szCs w:val="20"/>
          <w:lang w:eastAsia="ja-JP"/>
        </w:rPr>
        <w:t xml:space="preserve"> sjednocení vyvlastňovacích titulů u obdobné technické infrastruktury. </w:t>
      </w:r>
    </w:p>
    <w:p w:rsidR="00A34EA2" w:rsidRDefault="00A34EA2" w:rsidP="00A34EA2">
      <w:pPr>
        <w:pStyle w:val="Bezmezer"/>
        <w:jc w:val="both"/>
        <w:rPr>
          <w:rFonts w:ascii="Tahoma" w:eastAsiaTheme="minorEastAsia" w:hAnsi="Tahoma" w:cs="Tahoma"/>
          <w:sz w:val="20"/>
          <w:szCs w:val="20"/>
          <w:lang w:eastAsia="ja-JP"/>
        </w:rPr>
      </w:pPr>
    </w:p>
    <w:p w:rsidR="00A34EA2" w:rsidRDefault="00A34EA2" w:rsidP="00A34EA2">
      <w:pPr>
        <w:pStyle w:val="Bezmezer"/>
        <w:jc w:val="both"/>
        <w:rPr>
          <w:rFonts w:ascii="Tahoma" w:eastAsiaTheme="minorEastAsia" w:hAnsi="Tahoma" w:cs="Tahoma"/>
          <w:sz w:val="20"/>
          <w:szCs w:val="20"/>
          <w:lang w:eastAsia="ja-JP"/>
        </w:rPr>
      </w:pPr>
      <w:r w:rsidRPr="00A34EA2">
        <w:rPr>
          <w:rFonts w:ascii="Tahoma" w:eastAsiaTheme="minorEastAsia" w:hAnsi="Tahoma" w:cs="Tahoma"/>
          <w:sz w:val="20"/>
          <w:szCs w:val="20"/>
          <w:lang w:eastAsia="ja-JP"/>
        </w:rPr>
        <w:t>OPS se aktuálně podílí na př</w:t>
      </w:r>
      <w:r>
        <w:rPr>
          <w:rFonts w:ascii="Tahoma" w:eastAsiaTheme="minorEastAsia" w:hAnsi="Tahoma" w:cs="Tahoma"/>
          <w:sz w:val="20"/>
          <w:szCs w:val="20"/>
          <w:lang w:eastAsia="ja-JP"/>
        </w:rPr>
        <w:t>ipomínkovém řízení věcného záměr</w:t>
      </w:r>
      <w:r w:rsidRPr="00A34EA2">
        <w:rPr>
          <w:rFonts w:ascii="Tahoma" w:eastAsiaTheme="minorEastAsia" w:hAnsi="Tahoma" w:cs="Tahoma"/>
          <w:sz w:val="20"/>
          <w:szCs w:val="20"/>
          <w:lang w:eastAsia="ja-JP"/>
        </w:rPr>
        <w:t>u zákona s cílem zakomponovat nový vyvlastňovací titul rovněž ve prospěch ČEPRO</w:t>
      </w:r>
      <w:r>
        <w:rPr>
          <w:rFonts w:ascii="Tahoma" w:eastAsiaTheme="minorEastAsia" w:hAnsi="Tahoma" w:cs="Tahoma"/>
          <w:sz w:val="20"/>
          <w:szCs w:val="20"/>
          <w:lang w:eastAsia="ja-JP"/>
        </w:rPr>
        <w:t>.</w:t>
      </w:r>
    </w:p>
    <w:p w:rsidR="00A34EA2" w:rsidRPr="00A34EA2" w:rsidRDefault="00A34EA2" w:rsidP="00A34EA2">
      <w:pPr>
        <w:pStyle w:val="Bezmezer"/>
        <w:jc w:val="both"/>
        <w:rPr>
          <w:rFonts w:ascii="Tahoma" w:eastAsiaTheme="minorEastAsia" w:hAnsi="Tahoma" w:cs="Tahoma"/>
          <w:sz w:val="20"/>
          <w:szCs w:val="20"/>
          <w:lang w:eastAsia="ja-JP"/>
        </w:rPr>
      </w:pPr>
    </w:p>
    <w:p w:rsidR="00A34EA2" w:rsidRDefault="00A34EA2"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p>
    <w:p w:rsidR="00E854D5" w:rsidRPr="0076277F" w:rsidRDefault="00E854D5" w:rsidP="0076277F">
      <w:pPr>
        <w:pStyle w:val="Bezmezer"/>
        <w:spacing w:line="360" w:lineRule="auto"/>
        <w:jc w:val="both"/>
        <w:rPr>
          <w:rStyle w:val="Hypertextovodkaz"/>
          <w:rFonts w:ascii="Tahoma" w:eastAsia="Times New Roman" w:hAnsi="Tahoma" w:cs="Tahoma"/>
          <w:bCs/>
          <w:color w:val="000000" w:themeColor="text1"/>
          <w:kern w:val="36"/>
          <w:sz w:val="16"/>
          <w:szCs w:val="20"/>
          <w:u w:val="none"/>
          <w:lang w:eastAsia="cs-CZ"/>
        </w:rPr>
      </w:pPr>
      <w:bookmarkStart w:id="0" w:name="_GoBack"/>
      <w:bookmarkEnd w:id="0"/>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5906EB">
      <w:pPr>
        <w:pStyle w:val="Bezmezer"/>
        <w:numPr>
          <w:ilvl w:val="0"/>
          <w:numId w:val="28"/>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C5AD8" w:rsidRPr="00E23EF9" w:rsidRDefault="0063038F" w:rsidP="006C5AD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Ručení člena statutárního orgánu</w:t>
      </w:r>
      <w:r w:rsidR="00E854D5">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6C5AD8" w:rsidRDefault="0063038F" w:rsidP="006C5AD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27 Cdo </w:t>
      </w:r>
      <w:r w:rsidR="0023405F">
        <w:rPr>
          <w:rStyle w:val="Hypertextovodkaz"/>
          <w:rFonts w:ascii="Tahoma" w:eastAsia="Times New Roman" w:hAnsi="Tahoma" w:cs="Tahoma"/>
          <w:bCs/>
          <w:color w:val="000000" w:themeColor="text1"/>
          <w:kern w:val="36"/>
          <w:sz w:val="20"/>
          <w:szCs w:val="20"/>
          <w:u w:val="none"/>
          <w:lang w:eastAsia="cs-CZ"/>
        </w:rPr>
        <w:t>1319/2018</w:t>
      </w:r>
    </w:p>
    <w:p w:rsidR="0023405F" w:rsidRDefault="0023405F" w:rsidP="006C5AD8">
      <w:pPr>
        <w:pStyle w:val="Bezmezer"/>
        <w:jc w:val="right"/>
        <w:rPr>
          <w:rStyle w:val="Hypertextovodkaz"/>
          <w:rFonts w:ascii="Tahoma" w:eastAsia="Times New Roman" w:hAnsi="Tahoma" w:cs="Tahoma"/>
          <w:bCs/>
          <w:color w:val="000000" w:themeColor="text1"/>
          <w:kern w:val="36"/>
          <w:sz w:val="20"/>
          <w:szCs w:val="20"/>
          <w:u w:val="none"/>
          <w:lang w:eastAsia="cs-CZ"/>
        </w:rPr>
      </w:pPr>
    </w:p>
    <w:p w:rsidR="0023405F" w:rsidRDefault="0023405F" w:rsidP="0023405F">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konstatoval, že soud může za podmínek podle ustanovení § 68 ZOK rozhodnout, že člen nebo bývalý člen statutárního orgánu obchodní korporace ručí za její dluhy, pokud neučinil vše rozumně předpokládatelné k odvrácení jejího úpadku.</w:t>
      </w:r>
    </w:p>
    <w:p w:rsidR="0023405F" w:rsidRDefault="0023405F" w:rsidP="0023405F">
      <w:pPr>
        <w:pStyle w:val="Bezmezer"/>
        <w:jc w:val="both"/>
        <w:rPr>
          <w:rStyle w:val="Hypertextovodkaz"/>
          <w:rFonts w:ascii="Tahoma" w:eastAsia="Times New Roman" w:hAnsi="Tahoma" w:cs="Tahoma"/>
          <w:bCs/>
          <w:color w:val="000000" w:themeColor="text1"/>
          <w:kern w:val="36"/>
          <w:sz w:val="20"/>
          <w:szCs w:val="20"/>
          <w:u w:val="none"/>
          <w:lang w:eastAsia="cs-CZ"/>
        </w:rPr>
      </w:pPr>
    </w:p>
    <w:p w:rsidR="0023405F" w:rsidRDefault="0023405F" w:rsidP="0023405F">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Toto ručení má sankční povahu a vzniká rozhodnutím soudu. </w:t>
      </w:r>
      <w:r w:rsidR="00CF014B">
        <w:rPr>
          <w:rStyle w:val="Hypertextovodkaz"/>
          <w:rFonts w:ascii="Tahoma" w:eastAsia="Times New Roman" w:hAnsi="Tahoma" w:cs="Tahoma"/>
          <w:bCs/>
          <w:color w:val="000000" w:themeColor="text1"/>
          <w:kern w:val="36"/>
          <w:sz w:val="20"/>
          <w:szCs w:val="20"/>
          <w:u w:val="none"/>
          <w:lang w:eastAsia="cs-CZ"/>
        </w:rPr>
        <w:t xml:space="preserve">Soud v rozhodnutí konkrétně vymezí, jakých dluhů (a případně v jakém rozsahu) se toto ručení týká. Přitom soud zváží též proporcionalitu ukládané sankce </w:t>
      </w:r>
    </w:p>
    <w:p w:rsidR="00CF014B" w:rsidRDefault="00CF014B" w:rsidP="0023405F">
      <w:pPr>
        <w:pStyle w:val="Bezmezer"/>
        <w:jc w:val="both"/>
        <w:rPr>
          <w:rStyle w:val="Hypertextovodkaz"/>
          <w:rFonts w:ascii="Tahoma" w:eastAsia="Times New Roman" w:hAnsi="Tahoma" w:cs="Tahoma"/>
          <w:bCs/>
          <w:color w:val="000000" w:themeColor="text1"/>
          <w:kern w:val="36"/>
          <w:sz w:val="20"/>
          <w:szCs w:val="20"/>
          <w:u w:val="none"/>
          <w:lang w:eastAsia="cs-CZ"/>
        </w:rPr>
      </w:pPr>
    </w:p>
    <w:p w:rsidR="00CF014B" w:rsidRDefault="00CF014B" w:rsidP="0023405F">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Ručení ve smyslu § 68 ZOK přetrvá a lze je rozhodnutím založit i poté, kdy bude obchodní korporace zrušena a zanikne z důvodu, že její majetek je zcela nepostačující.</w:t>
      </w:r>
    </w:p>
    <w:p w:rsidR="006C5AD8" w:rsidRDefault="006C5AD8" w:rsidP="006C5AD8">
      <w:pPr>
        <w:pStyle w:val="Bezmezer"/>
        <w:jc w:val="both"/>
        <w:rPr>
          <w:rStyle w:val="Hypertextovodkaz"/>
          <w:rFonts w:ascii="Tahoma" w:eastAsia="Times New Roman" w:hAnsi="Tahoma" w:cs="Tahoma"/>
          <w:bCs/>
          <w:color w:val="000000" w:themeColor="text1"/>
          <w:kern w:val="36"/>
          <w:sz w:val="20"/>
          <w:szCs w:val="20"/>
          <w:u w:val="none"/>
          <w:lang w:eastAsia="cs-CZ"/>
        </w:rPr>
      </w:pPr>
    </w:p>
    <w:p w:rsidR="00CD711D" w:rsidRPr="00CD711D" w:rsidRDefault="00CD711D" w:rsidP="00CD711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sectPr w:rsidR="00CD711D" w:rsidRPr="00CD711D"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8F" w:rsidRDefault="0063038F" w:rsidP="004F17ED">
      <w:pPr>
        <w:spacing w:after="0" w:line="240" w:lineRule="auto"/>
      </w:pPr>
      <w:r>
        <w:separator/>
      </w:r>
    </w:p>
  </w:endnote>
  <w:endnote w:type="continuationSeparator" w:id="0">
    <w:p w:rsidR="0063038F" w:rsidRDefault="0063038F"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E854D5">
              <w:rPr>
                <w:rFonts w:ascii="Tahoma" w:hAnsi="Tahoma" w:cs="Tahoma"/>
                <w:b/>
                <w:bCs/>
                <w:noProof/>
                <w:sz w:val="16"/>
                <w:szCs w:val="16"/>
              </w:rPr>
              <w:t>5</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E854D5">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8F" w:rsidRDefault="0063038F" w:rsidP="004F17ED">
      <w:pPr>
        <w:spacing w:after="0" w:line="240" w:lineRule="auto"/>
      </w:pPr>
      <w:r>
        <w:separator/>
      </w:r>
    </w:p>
  </w:footnote>
  <w:footnote w:type="continuationSeparator" w:id="0">
    <w:p w:rsidR="0063038F" w:rsidRDefault="0063038F"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nsid w:val="40484290"/>
    <w:multiLevelType w:val="hybridMultilevel"/>
    <w:tmpl w:val="B728F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7">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5"/>
  </w:num>
  <w:num w:numId="3">
    <w:abstractNumId w:val="21"/>
  </w:num>
  <w:num w:numId="4">
    <w:abstractNumId w:val="12"/>
  </w:num>
  <w:num w:numId="5">
    <w:abstractNumId w:val="11"/>
  </w:num>
  <w:num w:numId="6">
    <w:abstractNumId w:val="17"/>
  </w:num>
  <w:num w:numId="7">
    <w:abstractNumId w:val="32"/>
  </w:num>
  <w:num w:numId="8">
    <w:abstractNumId w:val="16"/>
  </w:num>
  <w:num w:numId="9">
    <w:abstractNumId w:val="34"/>
  </w:num>
  <w:num w:numId="10">
    <w:abstractNumId w:val="28"/>
  </w:num>
  <w:num w:numId="11">
    <w:abstractNumId w:val="30"/>
  </w:num>
  <w:num w:numId="12">
    <w:abstractNumId w:val="29"/>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8"/>
  </w:num>
  <w:num w:numId="24">
    <w:abstractNumId w:val="20"/>
  </w:num>
  <w:num w:numId="25">
    <w:abstractNumId w:val="19"/>
  </w:num>
  <w:num w:numId="26">
    <w:abstractNumId w:val="33"/>
  </w:num>
  <w:num w:numId="27">
    <w:abstractNumId w:val="23"/>
  </w:num>
  <w:num w:numId="28">
    <w:abstractNumId w:val="13"/>
  </w:num>
  <w:num w:numId="29">
    <w:abstractNumId w:val="15"/>
  </w:num>
  <w:num w:numId="30">
    <w:abstractNumId w:val="22"/>
  </w:num>
  <w:num w:numId="31">
    <w:abstractNumId w:val="14"/>
  </w:num>
  <w:num w:numId="32">
    <w:abstractNumId w:val="24"/>
  </w:num>
  <w:num w:numId="33">
    <w:abstractNumId w:val="10"/>
  </w:num>
  <w:num w:numId="34">
    <w:abstractNumId w:val="27"/>
  </w:num>
  <w:num w:numId="3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3D99"/>
    <w:rsid w:val="001A62A6"/>
    <w:rsid w:val="001A6AF4"/>
    <w:rsid w:val="001A7E2C"/>
    <w:rsid w:val="001B040A"/>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33EF7"/>
    <w:rsid w:val="0023405F"/>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6A8C"/>
    <w:rsid w:val="00276F8F"/>
    <w:rsid w:val="00283D2E"/>
    <w:rsid w:val="0028484D"/>
    <w:rsid w:val="0028797B"/>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364B8"/>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6EB"/>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1743"/>
    <w:rsid w:val="00625E80"/>
    <w:rsid w:val="00626608"/>
    <w:rsid w:val="00626DAB"/>
    <w:rsid w:val="0063038F"/>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81668"/>
    <w:rsid w:val="006819A4"/>
    <w:rsid w:val="00685036"/>
    <w:rsid w:val="00687E51"/>
    <w:rsid w:val="0069081D"/>
    <w:rsid w:val="006909A9"/>
    <w:rsid w:val="00692BAF"/>
    <w:rsid w:val="00692C0F"/>
    <w:rsid w:val="00695978"/>
    <w:rsid w:val="00696326"/>
    <w:rsid w:val="006A0A7F"/>
    <w:rsid w:val="006A1F9A"/>
    <w:rsid w:val="006A2727"/>
    <w:rsid w:val="006A3533"/>
    <w:rsid w:val="006A4A20"/>
    <w:rsid w:val="006B0435"/>
    <w:rsid w:val="006B099C"/>
    <w:rsid w:val="006B1D5C"/>
    <w:rsid w:val="006B2EB6"/>
    <w:rsid w:val="006B6895"/>
    <w:rsid w:val="006B7EE9"/>
    <w:rsid w:val="006C005F"/>
    <w:rsid w:val="006C459B"/>
    <w:rsid w:val="006C4699"/>
    <w:rsid w:val="006C5AD8"/>
    <w:rsid w:val="006C6DAC"/>
    <w:rsid w:val="006C6F55"/>
    <w:rsid w:val="006C7AF7"/>
    <w:rsid w:val="006D07AF"/>
    <w:rsid w:val="006D2E1E"/>
    <w:rsid w:val="006D437B"/>
    <w:rsid w:val="006D468C"/>
    <w:rsid w:val="006D487E"/>
    <w:rsid w:val="006D5353"/>
    <w:rsid w:val="006E09B3"/>
    <w:rsid w:val="006E28CD"/>
    <w:rsid w:val="006E4B7E"/>
    <w:rsid w:val="006E57D1"/>
    <w:rsid w:val="006F2E08"/>
    <w:rsid w:val="006F443D"/>
    <w:rsid w:val="00701B95"/>
    <w:rsid w:val="00703EE5"/>
    <w:rsid w:val="007060DB"/>
    <w:rsid w:val="00706A9F"/>
    <w:rsid w:val="00707206"/>
    <w:rsid w:val="0071067F"/>
    <w:rsid w:val="00711675"/>
    <w:rsid w:val="00711F19"/>
    <w:rsid w:val="007148E4"/>
    <w:rsid w:val="00715A6F"/>
    <w:rsid w:val="00721803"/>
    <w:rsid w:val="00721B7D"/>
    <w:rsid w:val="00724B67"/>
    <w:rsid w:val="007250DE"/>
    <w:rsid w:val="0073165C"/>
    <w:rsid w:val="007342F4"/>
    <w:rsid w:val="007400F7"/>
    <w:rsid w:val="007413F0"/>
    <w:rsid w:val="00741601"/>
    <w:rsid w:val="00745373"/>
    <w:rsid w:val="007503D0"/>
    <w:rsid w:val="00751E42"/>
    <w:rsid w:val="00760367"/>
    <w:rsid w:val="00760E95"/>
    <w:rsid w:val="00761984"/>
    <w:rsid w:val="0076277F"/>
    <w:rsid w:val="00765FD7"/>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E18"/>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163B"/>
    <w:rsid w:val="00801E54"/>
    <w:rsid w:val="008020EA"/>
    <w:rsid w:val="0080530B"/>
    <w:rsid w:val="008105BA"/>
    <w:rsid w:val="00812AEE"/>
    <w:rsid w:val="008165E7"/>
    <w:rsid w:val="0081766C"/>
    <w:rsid w:val="00817BD5"/>
    <w:rsid w:val="00822C34"/>
    <w:rsid w:val="008230B0"/>
    <w:rsid w:val="0082325F"/>
    <w:rsid w:val="0082596B"/>
    <w:rsid w:val="00825F05"/>
    <w:rsid w:val="00825F8D"/>
    <w:rsid w:val="0082635A"/>
    <w:rsid w:val="008273E8"/>
    <w:rsid w:val="00831890"/>
    <w:rsid w:val="00832D57"/>
    <w:rsid w:val="00833FA6"/>
    <w:rsid w:val="00836110"/>
    <w:rsid w:val="0083799C"/>
    <w:rsid w:val="00844B2A"/>
    <w:rsid w:val="008472B6"/>
    <w:rsid w:val="00847B08"/>
    <w:rsid w:val="00852426"/>
    <w:rsid w:val="00852FD0"/>
    <w:rsid w:val="008559F5"/>
    <w:rsid w:val="00856973"/>
    <w:rsid w:val="0086206B"/>
    <w:rsid w:val="00862B3D"/>
    <w:rsid w:val="00863036"/>
    <w:rsid w:val="00863A2B"/>
    <w:rsid w:val="00863E13"/>
    <w:rsid w:val="008662C9"/>
    <w:rsid w:val="008679EA"/>
    <w:rsid w:val="00867E85"/>
    <w:rsid w:val="0087193D"/>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2419"/>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4CC7"/>
    <w:rsid w:val="008E77C3"/>
    <w:rsid w:val="008E7880"/>
    <w:rsid w:val="008F311F"/>
    <w:rsid w:val="008F3BD2"/>
    <w:rsid w:val="008F3C49"/>
    <w:rsid w:val="008F5B58"/>
    <w:rsid w:val="00900A97"/>
    <w:rsid w:val="00902E94"/>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943AD"/>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1A51"/>
    <w:rsid w:val="00A32137"/>
    <w:rsid w:val="00A33502"/>
    <w:rsid w:val="00A34EA2"/>
    <w:rsid w:val="00A35E6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A3B8A"/>
    <w:rsid w:val="00AB2AC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E72"/>
    <w:rsid w:val="00B16007"/>
    <w:rsid w:val="00B16A80"/>
    <w:rsid w:val="00B178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0179"/>
    <w:rsid w:val="00C470A1"/>
    <w:rsid w:val="00C47E3E"/>
    <w:rsid w:val="00C50A52"/>
    <w:rsid w:val="00C55A70"/>
    <w:rsid w:val="00C55B8C"/>
    <w:rsid w:val="00C57BCD"/>
    <w:rsid w:val="00C619D5"/>
    <w:rsid w:val="00C63AD4"/>
    <w:rsid w:val="00C6602B"/>
    <w:rsid w:val="00C66CD6"/>
    <w:rsid w:val="00C70383"/>
    <w:rsid w:val="00C70CB1"/>
    <w:rsid w:val="00C72818"/>
    <w:rsid w:val="00C75530"/>
    <w:rsid w:val="00C77004"/>
    <w:rsid w:val="00C87754"/>
    <w:rsid w:val="00C915B1"/>
    <w:rsid w:val="00C9199A"/>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014B"/>
    <w:rsid w:val="00CF2948"/>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232"/>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8D8"/>
    <w:rsid w:val="00E81F94"/>
    <w:rsid w:val="00E81FE7"/>
    <w:rsid w:val="00E854D5"/>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45F8"/>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67A2"/>
    <w:rsid w:val="00F40DE5"/>
    <w:rsid w:val="00F4152A"/>
    <w:rsid w:val="00F501D4"/>
    <w:rsid w:val="00F5181D"/>
    <w:rsid w:val="00F5205D"/>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54EE1-4C7C-4F3A-97A7-BB4661C7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1378</Words>
  <Characters>8136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5</cp:revision>
  <cp:lastPrinted>2020-03-06T10:47:00Z</cp:lastPrinted>
  <dcterms:created xsi:type="dcterms:W3CDTF">2020-04-16T15:39:00Z</dcterms:created>
  <dcterms:modified xsi:type="dcterms:W3CDTF">2020-04-24T07:40:00Z</dcterms:modified>
</cp:coreProperties>
</file>