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-768212</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A50243"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PROSINEC</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20B2E" w:rsidRDefault="00C20B2E" w:rsidP="009B2451">
      <w:pPr>
        <w:pStyle w:val="Bezmezer"/>
        <w:spacing w:line="360" w:lineRule="auto"/>
        <w:jc w:val="center"/>
        <w:rPr>
          <w:rFonts w:ascii="Tahoma" w:hAnsi="Tahoma" w:cs="Tahoma"/>
          <w:b/>
          <w:color w:val="000000" w:themeColor="text1"/>
          <w:sz w:val="20"/>
          <w:szCs w:val="20"/>
        </w:rPr>
      </w:pPr>
    </w:p>
    <w:p w:rsidR="00BC309F" w:rsidRPr="00BC309F" w:rsidRDefault="00BC309F" w:rsidP="009B2451">
      <w:pPr>
        <w:pStyle w:val="Bezmezer"/>
        <w:spacing w:line="360" w:lineRule="auto"/>
        <w:jc w:val="center"/>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852426" w:rsidRDefault="00A50243" w:rsidP="00C20B2E">
      <w:pPr>
        <w:pStyle w:val="Bezmezer"/>
        <w:numPr>
          <w:ilvl w:val="0"/>
          <w:numId w:val="2"/>
        </w:numPr>
        <w:spacing w:line="360" w:lineRule="auto"/>
        <w:ind w:left="1070"/>
        <w:jc w:val="both"/>
        <w:rPr>
          <w:rFonts w:ascii="Tahoma" w:hAnsi="Tahoma" w:cs="Tahoma"/>
          <w:color w:val="000000" w:themeColor="text1"/>
          <w:sz w:val="20"/>
          <w:szCs w:val="20"/>
        </w:rPr>
      </w:pPr>
      <w:r>
        <w:rPr>
          <w:rFonts w:ascii="Tahoma" w:hAnsi="Tahoma" w:cs="Tahoma"/>
          <w:color w:val="000000" w:themeColor="text1"/>
          <w:sz w:val="20"/>
          <w:szCs w:val="20"/>
        </w:rPr>
        <w:t>Vyhláška č. 358/2019 Sb., o změně sazby základní náhrady za používání silničních motorových vozidel a stravného a o stanovení průměrné ceny pohonných hmot pro účely poskytování cestovních náhrad</w:t>
      </w:r>
    </w:p>
    <w:p w:rsidR="00A50243" w:rsidRPr="00AE44E1" w:rsidRDefault="00A50243" w:rsidP="00C20B2E">
      <w:pPr>
        <w:pStyle w:val="Bezmezer"/>
        <w:numPr>
          <w:ilvl w:val="0"/>
          <w:numId w:val="2"/>
        </w:numPr>
        <w:spacing w:line="360" w:lineRule="auto"/>
        <w:ind w:left="1070"/>
        <w:jc w:val="both"/>
        <w:rPr>
          <w:rFonts w:ascii="Tahoma" w:hAnsi="Tahoma" w:cs="Tahoma"/>
          <w:color w:val="000000" w:themeColor="text1"/>
          <w:sz w:val="20"/>
          <w:szCs w:val="20"/>
        </w:rPr>
      </w:pPr>
      <w:r>
        <w:rPr>
          <w:rFonts w:ascii="Tahoma" w:hAnsi="Tahoma" w:cs="Tahoma"/>
          <w:color w:val="000000" w:themeColor="text1"/>
          <w:sz w:val="20"/>
          <w:szCs w:val="20"/>
        </w:rPr>
        <w:t xml:space="preserve">Nařízení </w:t>
      </w:r>
      <w:r w:rsidRPr="00AE44E1">
        <w:rPr>
          <w:rFonts w:ascii="Tahoma" w:hAnsi="Tahoma" w:cs="Tahoma"/>
          <w:color w:val="000000" w:themeColor="text1"/>
          <w:sz w:val="20"/>
          <w:szCs w:val="20"/>
        </w:rPr>
        <w:t>vlády č. 347/2019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p w:rsidR="00847B08" w:rsidRPr="00AE44E1" w:rsidRDefault="00847B08" w:rsidP="00847B08">
      <w:pPr>
        <w:pStyle w:val="Bezmezer"/>
        <w:numPr>
          <w:ilvl w:val="0"/>
          <w:numId w:val="2"/>
        </w:numPr>
        <w:spacing w:line="360" w:lineRule="auto"/>
        <w:ind w:left="1070"/>
        <w:jc w:val="both"/>
        <w:rPr>
          <w:rFonts w:ascii="Tahoma" w:hAnsi="Tahoma" w:cs="Tahoma"/>
          <w:color w:val="000000" w:themeColor="text1"/>
          <w:sz w:val="20"/>
          <w:szCs w:val="20"/>
        </w:rPr>
      </w:pPr>
      <w:r w:rsidRPr="00AE44E1">
        <w:rPr>
          <w:rFonts w:ascii="Tahoma" w:hAnsi="Tahoma" w:cs="Tahoma"/>
          <w:color w:val="000000" w:themeColor="text1"/>
          <w:sz w:val="20"/>
          <w:szCs w:val="20"/>
        </w:rPr>
        <w:t>Zákon č. 353/2019 Sb., o výběru osob do řídících a dozorčích orgánů právnických osob s majetkovou účastí státu (nominační zákon)</w:t>
      </w:r>
    </w:p>
    <w:p w:rsidR="00A50243" w:rsidRPr="00A50243" w:rsidRDefault="00A50243" w:rsidP="00A50243">
      <w:pPr>
        <w:pStyle w:val="Bezmezer"/>
        <w:spacing w:line="360" w:lineRule="auto"/>
        <w:ind w:left="1070"/>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852426" w:rsidRPr="00801E54" w:rsidRDefault="00801E54" w:rsidP="00A50243">
      <w:pPr>
        <w:pStyle w:val="Bezmezer"/>
        <w:numPr>
          <w:ilvl w:val="0"/>
          <w:numId w:val="2"/>
        </w:numPr>
        <w:spacing w:line="360" w:lineRule="auto"/>
        <w:jc w:val="both"/>
        <w:rPr>
          <w:rFonts w:ascii="Tahoma" w:hAnsi="Tahoma" w:cs="Tahoma"/>
          <w:i/>
          <w:color w:val="000000" w:themeColor="text1"/>
          <w:sz w:val="20"/>
          <w:szCs w:val="20"/>
        </w:rPr>
      </w:pPr>
      <w:r w:rsidRPr="00801E54">
        <w:rPr>
          <w:rFonts w:ascii="Tahoma" w:hAnsi="Tahoma" w:cs="Tahoma"/>
          <w:i/>
          <w:color w:val="000000" w:themeColor="text1"/>
          <w:sz w:val="20"/>
          <w:szCs w:val="20"/>
        </w:rPr>
        <w:t>Za prosinec 2019 nejsou předkládány žádné výstupy z předchozích zadání.</w:t>
      </w: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6621B9" w:rsidRDefault="00CD247B" w:rsidP="00A5024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zákoníku práce</w:t>
      </w:r>
    </w:p>
    <w:p w:rsidR="00CD247B" w:rsidRPr="00CD247B" w:rsidRDefault="00CD247B" w:rsidP="00CD247B">
      <w:pPr>
        <w:pStyle w:val="Bezmezer"/>
        <w:spacing w:line="360" w:lineRule="auto"/>
        <w:ind w:left="786"/>
        <w:jc w:val="both"/>
        <w:rPr>
          <w:rFonts w:ascii="Tahoma" w:hAnsi="Tahoma" w:cs="Tahoma"/>
          <w:color w:val="000000" w:themeColor="text1"/>
          <w:sz w:val="20"/>
          <w:szCs w:val="20"/>
        </w:rPr>
      </w:pPr>
    </w:p>
    <w:p w:rsidR="00BF15EC" w:rsidRPr="00E23EF9" w:rsidRDefault="00E23EF9"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III</w:t>
      </w:r>
      <w:r w:rsidR="00661CF8" w:rsidRPr="00E23EF9">
        <w:rPr>
          <w:rFonts w:ascii="Tahoma" w:hAnsi="Tahoma" w:cs="Tahoma"/>
          <w:b/>
          <w:color w:val="000000" w:themeColor="text1"/>
          <w:sz w:val="24"/>
          <w:szCs w:val="20"/>
        </w:rPr>
        <w:t>. Aktuální judikatura</w:t>
      </w:r>
      <w:r w:rsidR="00161BEA" w:rsidRPr="00E23EF9">
        <w:rPr>
          <w:rFonts w:ascii="Tahoma" w:hAnsi="Tahoma" w:cs="Tahoma"/>
          <w:b/>
          <w:color w:val="000000" w:themeColor="text1"/>
          <w:sz w:val="24"/>
          <w:szCs w:val="20"/>
        </w:rPr>
        <w:t xml:space="preserve"> a stanoviska</w:t>
      </w:r>
    </w:p>
    <w:p w:rsidR="00F83248" w:rsidRDefault="00CD247B" w:rsidP="00A5024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Přihlášení pohledávky zčásti jako zajištěné a zčásti jako nezajištěné</w:t>
      </w:r>
    </w:p>
    <w:p w:rsidR="006621B9" w:rsidRDefault="006621B9" w:rsidP="00BD3E76">
      <w:pPr>
        <w:pStyle w:val="Bezmezer"/>
        <w:spacing w:line="360" w:lineRule="auto"/>
        <w:ind w:left="786"/>
        <w:jc w:val="both"/>
        <w:rPr>
          <w:rFonts w:ascii="Tahoma" w:hAnsi="Tahoma" w:cs="Tahoma"/>
          <w:color w:val="000000" w:themeColor="text1"/>
          <w:sz w:val="20"/>
          <w:szCs w:val="20"/>
        </w:rPr>
      </w:pPr>
    </w:p>
    <w:p w:rsidR="001D7E31" w:rsidRPr="00E23EF9" w:rsidRDefault="001D7E31" w:rsidP="001D7E31">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Pr="00E23EF9">
        <w:rPr>
          <w:rFonts w:ascii="Tahoma" w:hAnsi="Tahoma" w:cs="Tahoma"/>
          <w:b/>
          <w:color w:val="000000" w:themeColor="text1"/>
          <w:sz w:val="24"/>
          <w:szCs w:val="20"/>
        </w:rPr>
        <w:t xml:space="preserve">. </w:t>
      </w:r>
      <w:r>
        <w:rPr>
          <w:rFonts w:ascii="Tahoma" w:hAnsi="Tahoma" w:cs="Tahoma"/>
          <w:b/>
          <w:color w:val="000000" w:themeColor="text1"/>
          <w:sz w:val="24"/>
          <w:szCs w:val="20"/>
        </w:rPr>
        <w:t>Legislativní plán 2020</w:t>
      </w:r>
    </w:p>
    <w:p w:rsidR="001D7E31" w:rsidRDefault="001D7E31" w:rsidP="001D7E31">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Přihlášení pohledávky zčásti jako zajištěné a zčásti jako nezajištěné</w:t>
      </w:r>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12462E" w:rsidRDefault="0012462E" w:rsidP="0012462E">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12462E" w:rsidRDefault="00847B08" w:rsidP="00847B0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47B08">
        <w:rPr>
          <w:rStyle w:val="Hypertextovodkaz"/>
          <w:rFonts w:ascii="Tahoma" w:eastAsia="Times New Roman" w:hAnsi="Tahoma" w:cs="Tahoma"/>
          <w:b/>
          <w:bCs/>
          <w:color w:val="000000" w:themeColor="text1"/>
          <w:kern w:val="36"/>
          <w:sz w:val="24"/>
          <w:szCs w:val="24"/>
          <w:u w:val="none"/>
          <w:lang w:eastAsia="cs-CZ"/>
        </w:rPr>
        <w:t>Vyhláška č. 358/2019 Sb., o změně sazby základní náhrady za používání silničních motorových vozidel a stravného a o stanovení průměrné ceny pohonných hmot pro účely poskytování cestovních náhrad</w:t>
      </w:r>
      <w:r w:rsidR="007B181D">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 účinností od </w:t>
      </w:r>
      <w:r w:rsidR="006D07AF">
        <w:rPr>
          <w:rStyle w:val="Hypertextovodkaz"/>
          <w:rFonts w:ascii="Tahoma" w:eastAsia="Times New Roman" w:hAnsi="Tahoma" w:cs="Tahoma"/>
          <w:bCs/>
          <w:color w:val="000000" w:themeColor="text1"/>
          <w:kern w:val="36"/>
          <w:sz w:val="20"/>
          <w:szCs w:val="20"/>
          <w:u w:val="none"/>
          <w:lang w:eastAsia="cs-CZ"/>
        </w:rPr>
        <w:t>1. 1. 2020</w: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p>
    <w:p w:rsidR="004D224F" w:rsidRDefault="00847B08" w:rsidP="004D224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847B08">
        <w:rPr>
          <w:rStyle w:val="Hypertextovodkaz"/>
          <w:rFonts w:ascii="Tahoma" w:eastAsia="Times New Roman" w:hAnsi="Tahoma" w:cs="Tahoma"/>
          <w:bCs/>
          <w:color w:val="000000" w:themeColor="text1"/>
          <w:kern w:val="36"/>
          <w:sz w:val="20"/>
          <w:szCs w:val="20"/>
          <w:u w:val="none"/>
          <w:lang w:eastAsia="cs-CZ"/>
        </w:rPr>
        <w:t>Ministerstvo práce a sociálních věcí</w:t>
      </w:r>
      <w:r>
        <w:rPr>
          <w:rStyle w:val="Hypertextovodkaz"/>
          <w:rFonts w:ascii="Tahoma" w:eastAsia="Times New Roman" w:hAnsi="Tahoma" w:cs="Tahoma"/>
          <w:bCs/>
          <w:color w:val="000000" w:themeColor="text1"/>
          <w:kern w:val="36"/>
          <w:sz w:val="20"/>
          <w:szCs w:val="20"/>
          <w:u w:val="none"/>
          <w:lang w:eastAsia="cs-CZ"/>
        </w:rPr>
        <w:t xml:space="preserve"> dne 18. 12. 2019 stanovila svou vyhláškou pro rok 2020 sazbu </w:t>
      </w:r>
      <w:r w:rsidRPr="00847B08">
        <w:rPr>
          <w:rStyle w:val="Hypertextovodkaz"/>
          <w:rFonts w:ascii="Tahoma" w:eastAsia="Times New Roman" w:hAnsi="Tahoma" w:cs="Tahoma"/>
          <w:bCs/>
          <w:color w:val="000000" w:themeColor="text1"/>
          <w:kern w:val="36"/>
          <w:sz w:val="20"/>
          <w:szCs w:val="20"/>
          <w:u w:val="none"/>
          <w:lang w:eastAsia="cs-CZ"/>
        </w:rPr>
        <w:t>základní náhrady za používání silničních motorových vozidel</w:t>
      </w:r>
      <w:r>
        <w:rPr>
          <w:rStyle w:val="Hypertextovodkaz"/>
          <w:rFonts w:ascii="Tahoma" w:eastAsia="Times New Roman" w:hAnsi="Tahoma" w:cs="Tahoma"/>
          <w:bCs/>
          <w:color w:val="000000" w:themeColor="text1"/>
          <w:kern w:val="36"/>
          <w:sz w:val="20"/>
          <w:szCs w:val="20"/>
          <w:u w:val="none"/>
          <w:lang w:eastAsia="cs-CZ"/>
        </w:rPr>
        <w:t xml:space="preserve">, stravné a průměrnou cenu PHM pro potřeby výpočtu cestovních náhrad. </w:t>
      </w:r>
    </w:p>
    <w:p w:rsidR="00847B08" w:rsidRDefault="00847B08" w:rsidP="004D224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47B08" w:rsidRDefault="00847B08" w:rsidP="00847B0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47B08">
        <w:rPr>
          <w:rStyle w:val="Hypertextovodkaz"/>
          <w:rFonts w:ascii="Tahoma" w:eastAsia="Times New Roman" w:hAnsi="Tahoma" w:cs="Tahoma"/>
          <w:b/>
          <w:bCs/>
          <w:color w:val="000000" w:themeColor="text1"/>
          <w:kern w:val="36"/>
          <w:sz w:val="24"/>
          <w:szCs w:val="24"/>
          <w:u w:val="none"/>
          <w:lang w:eastAsia="cs-CZ"/>
        </w:rPr>
        <w:t>Nařízení vlády č. 347/2019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p w:rsidR="00847B08" w:rsidRDefault="007B181D" w:rsidP="00847B0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847B08" w:rsidRDefault="00847B08" w:rsidP="00847B08">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r w:rsidRPr="00847B08">
        <w:rPr>
          <w:rStyle w:val="Hypertextovodkaz"/>
          <w:rFonts w:ascii="Tahoma" w:eastAsia="Times New Roman" w:hAnsi="Tahoma" w:cs="Tahoma"/>
          <w:bCs/>
          <w:color w:val="000000" w:themeColor="text1"/>
          <w:kern w:val="36"/>
          <w:sz w:val="20"/>
          <w:szCs w:val="20"/>
          <w:u w:val="none"/>
          <w:lang w:eastAsia="cs-CZ"/>
        </w:rPr>
        <w:t xml:space="preserve">s účinností od </w:t>
      </w:r>
      <w:proofErr w:type="gramStart"/>
      <w:r>
        <w:rPr>
          <w:rStyle w:val="Hypertextovodkaz"/>
          <w:rFonts w:ascii="Tahoma" w:eastAsia="Times New Roman" w:hAnsi="Tahoma" w:cs="Tahoma"/>
          <w:bCs/>
          <w:color w:val="000000" w:themeColor="text1"/>
          <w:kern w:val="36"/>
          <w:sz w:val="20"/>
          <w:szCs w:val="20"/>
          <w:u w:val="none"/>
          <w:lang w:eastAsia="cs-CZ"/>
        </w:rPr>
        <w:t>1.1.2020</w:t>
      </w:r>
      <w:proofErr w:type="gramEnd"/>
    </w:p>
    <w:p w:rsidR="00847B08" w:rsidRDefault="00847B08" w:rsidP="00847B08">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p>
    <w:p w:rsidR="00847B08" w:rsidRPr="00AE44E1" w:rsidRDefault="00847B08" w:rsidP="00847B08">
      <w:pPr>
        <w:shd w:val="clear" w:color="auto" w:fill="FFFFFF"/>
        <w:spacing w:after="0" w:line="240" w:lineRule="auto"/>
        <w:jc w:val="both"/>
        <w:rPr>
          <w:rFonts w:ascii="Tahoma" w:hAnsi="Tahoma" w:cs="Tahoma"/>
          <w:color w:val="000000"/>
          <w:sz w:val="20"/>
          <w:szCs w:val="20"/>
          <w:shd w:val="clear" w:color="auto" w:fill="FFFFFF"/>
        </w:rPr>
      </w:pPr>
      <w:r w:rsidRPr="00AE44E1">
        <w:rPr>
          <w:rFonts w:ascii="Tahoma" w:eastAsia="Times New Roman" w:hAnsi="Tahoma" w:cs="Tahoma"/>
          <w:b/>
          <w:bCs/>
          <w:color w:val="000000"/>
          <w:sz w:val="20"/>
          <w:szCs w:val="20"/>
          <w:lang w:eastAsia="cs-CZ"/>
        </w:rPr>
        <w:t>Vláda svým nařízení stanovila s účinností od 1.</w:t>
      </w:r>
      <w:r w:rsidR="00AE44E1">
        <w:rPr>
          <w:rFonts w:ascii="Tahoma" w:eastAsia="Times New Roman" w:hAnsi="Tahoma" w:cs="Tahoma"/>
          <w:b/>
          <w:bCs/>
          <w:color w:val="000000"/>
          <w:sz w:val="20"/>
          <w:szCs w:val="20"/>
          <w:lang w:eastAsia="cs-CZ"/>
        </w:rPr>
        <w:t xml:space="preserve"> </w:t>
      </w:r>
      <w:r w:rsidRPr="00AE44E1">
        <w:rPr>
          <w:rFonts w:ascii="Tahoma" w:eastAsia="Times New Roman" w:hAnsi="Tahoma" w:cs="Tahoma"/>
          <w:b/>
          <w:bCs/>
          <w:color w:val="000000"/>
          <w:sz w:val="20"/>
          <w:szCs w:val="20"/>
          <w:lang w:eastAsia="cs-CZ"/>
        </w:rPr>
        <w:t>1.</w:t>
      </w:r>
      <w:r w:rsidR="00AE44E1">
        <w:rPr>
          <w:rFonts w:ascii="Tahoma" w:eastAsia="Times New Roman" w:hAnsi="Tahoma" w:cs="Tahoma"/>
          <w:b/>
          <w:bCs/>
          <w:color w:val="000000"/>
          <w:sz w:val="20"/>
          <w:szCs w:val="20"/>
          <w:lang w:eastAsia="cs-CZ"/>
        </w:rPr>
        <w:t xml:space="preserve"> </w:t>
      </w:r>
      <w:r w:rsidRPr="00AE44E1">
        <w:rPr>
          <w:rFonts w:ascii="Tahoma" w:eastAsia="Times New Roman" w:hAnsi="Tahoma" w:cs="Tahoma"/>
          <w:b/>
          <w:bCs/>
          <w:color w:val="000000"/>
          <w:sz w:val="20"/>
          <w:szCs w:val="20"/>
          <w:lang w:eastAsia="cs-CZ"/>
        </w:rPr>
        <w:t xml:space="preserve">2020 novou výši minimální mzdy, </w:t>
      </w:r>
      <w:r w:rsidR="00A53516" w:rsidRPr="00AE44E1">
        <w:rPr>
          <w:rFonts w:ascii="Tahoma" w:eastAsia="Times New Roman" w:hAnsi="Tahoma" w:cs="Tahoma"/>
          <w:b/>
          <w:bCs/>
          <w:color w:val="000000"/>
          <w:sz w:val="20"/>
          <w:szCs w:val="20"/>
          <w:lang w:eastAsia="cs-CZ"/>
        </w:rPr>
        <w:t xml:space="preserve">konkrétně </w:t>
      </w:r>
      <w:r w:rsidR="00A53516" w:rsidRPr="00AE44E1">
        <w:rPr>
          <w:rFonts w:ascii="Tahoma" w:hAnsi="Tahoma" w:cs="Tahoma"/>
          <w:color w:val="000000"/>
          <w:sz w:val="20"/>
          <w:szCs w:val="20"/>
          <w:shd w:val="clear" w:color="auto" w:fill="FFFFFF"/>
        </w:rPr>
        <w:t>základní sazba minimální mzdy pro stanovenou týdenní pracovní dobu 40 hodin činí 87,30 Kč za hodinu nebo 14 600 Kč za měsíc.</w:t>
      </w:r>
    </w:p>
    <w:p w:rsidR="00A53516" w:rsidRPr="00AE44E1" w:rsidRDefault="00A53516" w:rsidP="00847B08">
      <w:pPr>
        <w:shd w:val="clear" w:color="auto" w:fill="FFFFFF"/>
        <w:spacing w:after="0" w:line="240" w:lineRule="auto"/>
        <w:jc w:val="both"/>
        <w:rPr>
          <w:rFonts w:ascii="Tahoma" w:hAnsi="Tahoma" w:cs="Tahoma"/>
          <w:color w:val="000000"/>
          <w:sz w:val="20"/>
          <w:szCs w:val="20"/>
          <w:shd w:val="clear" w:color="auto" w:fill="FFFFFF"/>
        </w:rPr>
      </w:pPr>
    </w:p>
    <w:p w:rsidR="00A53516" w:rsidRPr="00AE44E1" w:rsidRDefault="00A53516" w:rsidP="00847B08">
      <w:pPr>
        <w:shd w:val="clear" w:color="auto" w:fill="FFFFFF"/>
        <w:spacing w:after="0" w:line="240" w:lineRule="auto"/>
        <w:jc w:val="both"/>
        <w:rPr>
          <w:rFonts w:ascii="Tahoma" w:eastAsia="Times New Roman" w:hAnsi="Tahoma" w:cs="Tahoma"/>
          <w:color w:val="000000"/>
          <w:sz w:val="20"/>
          <w:szCs w:val="20"/>
          <w:lang w:eastAsia="cs-CZ"/>
        </w:rPr>
      </w:pPr>
      <w:r w:rsidRPr="00AE44E1">
        <w:rPr>
          <w:rFonts w:ascii="Tahoma" w:hAnsi="Tahoma" w:cs="Tahoma"/>
          <w:color w:val="000000"/>
          <w:sz w:val="20"/>
          <w:szCs w:val="20"/>
          <w:shd w:val="clear" w:color="auto" w:fill="FFFFFF"/>
        </w:rPr>
        <w:t xml:space="preserve">Dále nařízení novelizuje částky nejnižší úrovně zaručené mzdy. </w:t>
      </w:r>
    </w:p>
    <w:p w:rsidR="004D224F" w:rsidRDefault="004D224F" w:rsidP="008B62F0">
      <w:pPr>
        <w:pStyle w:val="Bezmezer"/>
        <w:jc w:val="both"/>
        <w:rPr>
          <w:rStyle w:val="Hypertextovodkaz"/>
          <w:rFonts w:ascii="Tahoma" w:eastAsia="Times New Roman" w:hAnsi="Tahoma" w:cs="Tahoma"/>
          <w:bCs/>
          <w:i/>
          <w:color w:val="000000" w:themeColor="text1"/>
          <w:kern w:val="36"/>
          <w:sz w:val="20"/>
          <w:szCs w:val="20"/>
          <w:u w:val="none"/>
          <w:lang w:eastAsia="cs-CZ"/>
        </w:rPr>
      </w:pPr>
    </w:p>
    <w:p w:rsidR="00AE44E1" w:rsidRDefault="00AE44E1"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A53516" w:rsidRDefault="00A53516" w:rsidP="00A5351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53516">
        <w:rPr>
          <w:rStyle w:val="Hypertextovodkaz"/>
          <w:rFonts w:ascii="Tahoma" w:eastAsia="Times New Roman" w:hAnsi="Tahoma" w:cs="Tahoma"/>
          <w:b/>
          <w:bCs/>
          <w:color w:val="000000" w:themeColor="text1"/>
          <w:kern w:val="36"/>
          <w:sz w:val="24"/>
          <w:szCs w:val="24"/>
          <w:u w:val="none"/>
          <w:lang w:eastAsia="cs-CZ"/>
        </w:rPr>
        <w:t>Zákon č. 353/2019 Sb., o výběru osob do řídících a dozorčích orgánů právnických osob s majetkovou účastí státu (nominační zákon)</w:t>
      </w:r>
    </w:p>
    <w:p w:rsidR="00A53516" w:rsidRDefault="007B181D" w:rsidP="00A5351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A53516" w:rsidRDefault="00A53516" w:rsidP="00A53516">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r w:rsidRPr="00847B08">
        <w:rPr>
          <w:rStyle w:val="Hypertextovodkaz"/>
          <w:rFonts w:ascii="Tahoma" w:eastAsia="Times New Roman" w:hAnsi="Tahoma" w:cs="Tahoma"/>
          <w:bCs/>
          <w:color w:val="000000" w:themeColor="text1"/>
          <w:kern w:val="36"/>
          <w:sz w:val="20"/>
          <w:szCs w:val="20"/>
          <w:u w:val="none"/>
          <w:lang w:eastAsia="cs-CZ"/>
        </w:rPr>
        <w:t xml:space="preserve">s účinností od </w:t>
      </w:r>
      <w:proofErr w:type="gramStart"/>
      <w:r>
        <w:rPr>
          <w:rStyle w:val="Hypertextovodkaz"/>
          <w:rFonts w:ascii="Tahoma" w:eastAsia="Times New Roman" w:hAnsi="Tahoma" w:cs="Tahoma"/>
          <w:bCs/>
          <w:color w:val="000000" w:themeColor="text1"/>
          <w:kern w:val="36"/>
          <w:sz w:val="20"/>
          <w:szCs w:val="20"/>
          <w:u w:val="none"/>
          <w:lang w:eastAsia="cs-CZ"/>
        </w:rPr>
        <w:t>4.1.2020</w:t>
      </w:r>
      <w:proofErr w:type="gramEnd"/>
    </w:p>
    <w:p w:rsidR="00A53516" w:rsidRDefault="00A53516" w:rsidP="00AE44E1">
      <w:pPr>
        <w:pStyle w:val="Bezmezer"/>
        <w:spacing w:line="360" w:lineRule="auto"/>
        <w:ind w:left="360"/>
        <w:jc w:val="both"/>
        <w:rPr>
          <w:rStyle w:val="Hypertextovodkaz"/>
          <w:rFonts w:ascii="Tahoma" w:eastAsia="Times New Roman" w:hAnsi="Tahoma" w:cs="Tahoma"/>
          <w:bCs/>
          <w:color w:val="000000" w:themeColor="text1"/>
          <w:kern w:val="36"/>
          <w:sz w:val="20"/>
          <w:szCs w:val="20"/>
          <w:u w:val="none"/>
          <w:lang w:eastAsia="cs-CZ"/>
        </w:rPr>
      </w:pPr>
    </w:p>
    <w:p w:rsidR="00A53516" w:rsidRDefault="00A53516" w:rsidP="00AE44E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20. 12. 2019 byl ve Sbírce zákonů publikován nový nominační zákon, který upravuje </w:t>
      </w:r>
      <w:r w:rsidRPr="00A53516">
        <w:rPr>
          <w:rStyle w:val="Hypertextovodkaz"/>
          <w:rFonts w:ascii="Tahoma" w:eastAsia="Times New Roman" w:hAnsi="Tahoma" w:cs="Tahoma"/>
          <w:bCs/>
          <w:color w:val="000000" w:themeColor="text1"/>
          <w:kern w:val="36"/>
          <w:sz w:val="20"/>
          <w:szCs w:val="20"/>
          <w:u w:val="none"/>
          <w:lang w:eastAsia="cs-CZ"/>
        </w:rPr>
        <w:t>postup při výběru osob, které mají být ze strany státu navrženy nebo jmenovány do řídících a dozorčích orgánů právnických osob s majetkovou účastí státu</w:t>
      </w:r>
      <w:r>
        <w:rPr>
          <w:rStyle w:val="Hypertextovodkaz"/>
          <w:rFonts w:ascii="Tahoma" w:eastAsia="Times New Roman" w:hAnsi="Tahoma" w:cs="Tahoma"/>
          <w:bCs/>
          <w:color w:val="000000" w:themeColor="text1"/>
          <w:kern w:val="36"/>
          <w:sz w:val="20"/>
          <w:szCs w:val="20"/>
          <w:u w:val="none"/>
          <w:lang w:eastAsia="cs-CZ"/>
        </w:rPr>
        <w:t>.</w:t>
      </w:r>
    </w:p>
    <w:p w:rsidR="00A53516" w:rsidRDefault="00A53516" w:rsidP="00AE44E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53516" w:rsidRDefault="00A53516" w:rsidP="00AE44E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Zákon zřizuje 5členný Výbor</w:t>
      </w:r>
      <w:r w:rsidRPr="00A53516">
        <w:rPr>
          <w:rStyle w:val="Hypertextovodkaz"/>
          <w:rFonts w:ascii="Tahoma" w:eastAsia="Times New Roman" w:hAnsi="Tahoma" w:cs="Tahoma"/>
          <w:bCs/>
          <w:color w:val="000000" w:themeColor="text1"/>
          <w:kern w:val="36"/>
          <w:sz w:val="20"/>
          <w:szCs w:val="20"/>
          <w:u w:val="none"/>
          <w:lang w:eastAsia="cs-CZ"/>
        </w:rPr>
        <w:t xml:space="preserve"> pro personální nominace</w:t>
      </w:r>
      <w:r>
        <w:rPr>
          <w:rStyle w:val="Hypertextovodkaz"/>
          <w:rFonts w:ascii="Tahoma" w:eastAsia="Times New Roman" w:hAnsi="Tahoma" w:cs="Tahoma"/>
          <w:bCs/>
          <w:color w:val="000000" w:themeColor="text1"/>
          <w:kern w:val="36"/>
          <w:sz w:val="20"/>
          <w:szCs w:val="20"/>
          <w:u w:val="none"/>
          <w:lang w:eastAsia="cs-CZ"/>
        </w:rPr>
        <w:t xml:space="preserve">, který </w:t>
      </w:r>
      <w:r w:rsidRPr="00A53516">
        <w:rPr>
          <w:rStyle w:val="Hypertextovodkaz"/>
          <w:rFonts w:ascii="Tahoma" w:eastAsia="Times New Roman" w:hAnsi="Tahoma" w:cs="Tahoma"/>
          <w:bCs/>
          <w:color w:val="000000" w:themeColor="text1"/>
          <w:kern w:val="36"/>
          <w:sz w:val="20"/>
          <w:szCs w:val="20"/>
          <w:u w:val="none"/>
          <w:lang w:eastAsia="cs-CZ"/>
        </w:rPr>
        <w:t xml:space="preserve">posuzuje nominace osob, které mají být ze strany státu navrženy nebo jmenovány do řídících a dozorčích orgánů právnických </w:t>
      </w:r>
      <w:r>
        <w:rPr>
          <w:rStyle w:val="Hypertextovodkaz"/>
          <w:rFonts w:ascii="Tahoma" w:eastAsia="Times New Roman" w:hAnsi="Tahoma" w:cs="Tahoma"/>
          <w:bCs/>
          <w:color w:val="000000" w:themeColor="text1"/>
          <w:kern w:val="36"/>
          <w:sz w:val="20"/>
          <w:szCs w:val="20"/>
          <w:u w:val="none"/>
          <w:lang w:eastAsia="cs-CZ"/>
        </w:rPr>
        <w:t xml:space="preserve">osob s </w:t>
      </w:r>
      <w:r>
        <w:rPr>
          <w:rStyle w:val="Hypertextovodkaz"/>
          <w:rFonts w:ascii="Tahoma" w:eastAsia="Times New Roman" w:hAnsi="Tahoma" w:cs="Tahoma"/>
          <w:bCs/>
          <w:color w:val="000000" w:themeColor="text1"/>
          <w:kern w:val="36"/>
          <w:sz w:val="20"/>
          <w:szCs w:val="20"/>
          <w:u w:val="none"/>
          <w:lang w:eastAsia="cs-CZ"/>
        </w:rPr>
        <w:lastRenderedPageBreak/>
        <w:t xml:space="preserve">majetkovou účasti státu, </w:t>
      </w:r>
      <w:r w:rsidRPr="00A53516">
        <w:rPr>
          <w:rStyle w:val="Hypertextovodkaz"/>
          <w:rFonts w:ascii="Tahoma" w:eastAsia="Times New Roman" w:hAnsi="Tahoma" w:cs="Tahoma"/>
          <w:bCs/>
          <w:color w:val="000000" w:themeColor="text1"/>
          <w:kern w:val="36"/>
          <w:sz w:val="20"/>
          <w:szCs w:val="20"/>
          <w:u w:val="none"/>
          <w:lang w:eastAsia="cs-CZ"/>
        </w:rPr>
        <w:t>předložené ministerstvem, do jehož působnosti právnická osoba s majetkovou účastí státu spadá</w:t>
      </w:r>
      <w:r>
        <w:rPr>
          <w:rStyle w:val="Hypertextovodkaz"/>
          <w:rFonts w:ascii="Tahoma" w:eastAsia="Times New Roman" w:hAnsi="Tahoma" w:cs="Tahoma"/>
          <w:bCs/>
          <w:color w:val="000000" w:themeColor="text1"/>
          <w:kern w:val="36"/>
          <w:sz w:val="20"/>
          <w:szCs w:val="20"/>
          <w:u w:val="none"/>
          <w:lang w:eastAsia="cs-CZ"/>
        </w:rPr>
        <w:t>.</w:t>
      </w:r>
    </w:p>
    <w:p w:rsidR="00A53516" w:rsidRDefault="00A53516" w:rsidP="00A5351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53516" w:rsidRDefault="00A53516" w:rsidP="00A5351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Zákon poté blíže vymezuje pravidla pro výběrové řízení a nominace.</w:t>
      </w:r>
    </w:p>
    <w:p w:rsidR="00A53516" w:rsidRDefault="00A53516" w:rsidP="00A5351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53516" w:rsidRDefault="00A53516" w:rsidP="00A5351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012B1">
        <w:rPr>
          <w:rStyle w:val="Hypertextovodkaz"/>
          <w:rFonts w:ascii="Tahoma" w:eastAsia="Times New Roman" w:hAnsi="Tahoma" w:cs="Tahoma"/>
          <w:b/>
          <w:bCs/>
          <w:color w:val="000000" w:themeColor="text1"/>
          <w:kern w:val="36"/>
          <w:sz w:val="20"/>
          <w:szCs w:val="20"/>
          <w:u w:val="none"/>
          <w:lang w:eastAsia="cs-CZ"/>
        </w:rPr>
        <w:t>Stanovisko Výboru není pro ministerstvo závazné</w:t>
      </w:r>
      <w:r w:rsidRPr="00A53516">
        <w:rPr>
          <w:rStyle w:val="Hypertextovodkaz"/>
          <w:rFonts w:ascii="Tahoma" w:eastAsia="Times New Roman" w:hAnsi="Tahoma" w:cs="Tahoma"/>
          <w:bCs/>
          <w:color w:val="000000" w:themeColor="text1"/>
          <w:kern w:val="36"/>
          <w:sz w:val="20"/>
          <w:szCs w:val="20"/>
          <w:u w:val="none"/>
          <w:lang w:eastAsia="cs-CZ"/>
        </w:rPr>
        <w:t>. Jmenování nebo navržení nominované osoby do funkce ministerstvo odůvodní s přihlédnutím ke stanovisku Výboru. Pokud ministerstvo jmenuje nebo navrhne nominovanou osobu do funkce přes nedoporučující stanovisko Výboru, odůvodnění musí obsahovat vysvětlení, proč ministerstvo dospělo k odlišnému závěru. Informaci o jmenování nebo navržení do funkce s odůvodněním ministerstvo bez zbytečného odkladu zašle předsedovi Výboru a zveřejní na svých internetových stránkách.</w:t>
      </w:r>
    </w:p>
    <w:p w:rsidR="00A53516" w:rsidRDefault="00A53516" w:rsidP="00A5351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E23EF9">
      <w:pPr>
        <w:pStyle w:val="Bezmezer"/>
        <w:numPr>
          <w:ilvl w:val="0"/>
          <w:numId w:val="3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106498" w:rsidP="008E4CC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Novela zákona č. 262/2006 Sb., zákoník práce</w:t>
      </w:r>
      <w:r w:rsidR="007B181D">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106498"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689</w:t>
      </w:r>
    </w:p>
    <w:p w:rsidR="00E7078F" w:rsidRDefault="00106498"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do poslanecké sněmovny</w:t>
      </w:r>
    </w:p>
    <w:p w:rsidR="00045263" w:rsidRPr="00696326" w:rsidRDefault="00045263" w:rsidP="00D232D6">
      <w:pPr>
        <w:pStyle w:val="Bezmezer"/>
        <w:spacing w:line="360" w:lineRule="auto"/>
        <w:jc w:val="right"/>
        <w:rPr>
          <w:rStyle w:val="Hypertextovodkaz"/>
          <w:rFonts w:ascii="Tahoma" w:eastAsia="Times New Roman" w:hAnsi="Tahoma" w:cs="Tahoma"/>
          <w:b/>
          <w:bCs/>
          <w:color w:val="000000" w:themeColor="text1"/>
          <w:kern w:val="36"/>
          <w:sz w:val="20"/>
          <w:szCs w:val="20"/>
          <w:u w:val="none"/>
          <w:lang w:eastAsia="cs-CZ"/>
        </w:rPr>
      </w:pPr>
    </w:p>
    <w:p w:rsidR="007957FF" w:rsidRPr="00696326" w:rsidRDefault="00696326" w:rsidP="00BD3E76">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sidRPr="00696326">
        <w:rPr>
          <w:rStyle w:val="Hypertextovodkaz"/>
          <w:rFonts w:ascii="Tahoma" w:eastAsia="Times New Roman" w:hAnsi="Tahoma" w:cs="Tahoma"/>
          <w:b/>
          <w:bCs/>
          <w:color w:val="000000" w:themeColor="text1"/>
          <w:kern w:val="36"/>
          <w:sz w:val="20"/>
          <w:szCs w:val="20"/>
          <w:u w:val="none"/>
          <w:lang w:eastAsia="cs-CZ"/>
        </w:rPr>
        <w:t>Předkládaná novela zákoníku práce obsahuje níže uvedené hlavní principy právní úpravy:</w:t>
      </w:r>
    </w:p>
    <w:p w:rsidR="00696326" w:rsidRDefault="00696326"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Nová </w:t>
      </w:r>
      <w:r>
        <w:rPr>
          <w:rStyle w:val="Hypertextovodkaz"/>
          <w:rFonts w:ascii="Tahoma" w:eastAsia="Times New Roman" w:hAnsi="Tahoma" w:cs="Tahoma"/>
          <w:b/>
          <w:bCs/>
          <w:color w:val="000000" w:themeColor="text1"/>
          <w:kern w:val="36"/>
          <w:sz w:val="20"/>
          <w:szCs w:val="20"/>
          <w:lang w:eastAsia="cs-CZ"/>
        </w:rPr>
        <w:t>koncepce dovolené</w:t>
      </w:r>
      <w:r>
        <w:rPr>
          <w:rStyle w:val="Hypertextovodkaz"/>
          <w:rFonts w:ascii="Tahoma" w:eastAsia="Times New Roman" w:hAnsi="Tahoma" w:cs="Tahoma"/>
          <w:bCs/>
          <w:color w:val="000000" w:themeColor="text1"/>
          <w:kern w:val="36"/>
          <w:sz w:val="20"/>
          <w:szCs w:val="20"/>
          <w:u w:val="none"/>
          <w:lang w:eastAsia="cs-CZ"/>
        </w:rPr>
        <w:t xml:space="preserve"> spočívající v z</w:t>
      </w:r>
      <w:r w:rsidRPr="00696326">
        <w:rPr>
          <w:rStyle w:val="Hypertextovodkaz"/>
          <w:rFonts w:ascii="Tahoma" w:eastAsia="Times New Roman" w:hAnsi="Tahoma" w:cs="Tahoma"/>
          <w:bCs/>
          <w:color w:val="000000" w:themeColor="text1"/>
          <w:kern w:val="36"/>
          <w:sz w:val="20"/>
          <w:szCs w:val="20"/>
          <w:u w:val="none"/>
          <w:lang w:eastAsia="cs-CZ"/>
        </w:rPr>
        <w:t>ásadní změn</w:t>
      </w:r>
      <w:r>
        <w:rPr>
          <w:rStyle w:val="Hypertextovodkaz"/>
          <w:rFonts w:ascii="Tahoma" w:eastAsia="Times New Roman" w:hAnsi="Tahoma" w:cs="Tahoma"/>
          <w:bCs/>
          <w:color w:val="000000" w:themeColor="text1"/>
          <w:kern w:val="36"/>
          <w:sz w:val="20"/>
          <w:szCs w:val="20"/>
          <w:u w:val="none"/>
          <w:lang w:eastAsia="cs-CZ"/>
        </w:rPr>
        <w:t>ě</w:t>
      </w:r>
      <w:r w:rsidRPr="00696326">
        <w:rPr>
          <w:rStyle w:val="Hypertextovodkaz"/>
          <w:rFonts w:ascii="Tahoma" w:eastAsia="Times New Roman" w:hAnsi="Tahoma" w:cs="Tahoma"/>
          <w:bCs/>
          <w:color w:val="000000" w:themeColor="text1"/>
          <w:kern w:val="36"/>
          <w:sz w:val="20"/>
          <w:szCs w:val="20"/>
          <w:u w:val="none"/>
          <w:lang w:eastAsia="cs-CZ"/>
        </w:rPr>
        <w:t xml:space="preserve"> v podmínkách vzniku práva na dovoleno</w:t>
      </w:r>
      <w:r>
        <w:rPr>
          <w:rStyle w:val="Hypertextovodkaz"/>
          <w:rFonts w:ascii="Tahoma" w:eastAsia="Times New Roman" w:hAnsi="Tahoma" w:cs="Tahoma"/>
          <w:bCs/>
          <w:color w:val="000000" w:themeColor="text1"/>
          <w:kern w:val="36"/>
          <w:sz w:val="20"/>
          <w:szCs w:val="20"/>
          <w:u w:val="none"/>
          <w:lang w:eastAsia="cs-CZ"/>
        </w:rPr>
        <w:t xml:space="preserve">u i při jejím čerpání; v zásadě </w:t>
      </w:r>
      <w:r w:rsidRPr="00696326">
        <w:rPr>
          <w:rStyle w:val="Hypertextovodkaz"/>
          <w:rFonts w:ascii="Tahoma" w:eastAsia="Times New Roman" w:hAnsi="Tahoma" w:cs="Tahoma"/>
          <w:bCs/>
          <w:color w:val="000000" w:themeColor="text1"/>
          <w:kern w:val="36"/>
          <w:sz w:val="20"/>
          <w:szCs w:val="20"/>
          <w:u w:val="none"/>
          <w:lang w:eastAsia="cs-CZ"/>
        </w:rPr>
        <w:t>dochází k opuštění principu dovolené za odpracované dny a n</w:t>
      </w:r>
      <w:r>
        <w:rPr>
          <w:rStyle w:val="Hypertextovodkaz"/>
          <w:rFonts w:ascii="Tahoma" w:eastAsia="Times New Roman" w:hAnsi="Tahoma" w:cs="Tahoma"/>
          <w:bCs/>
          <w:color w:val="000000" w:themeColor="text1"/>
          <w:kern w:val="36"/>
          <w:sz w:val="20"/>
          <w:szCs w:val="20"/>
          <w:u w:val="none"/>
          <w:lang w:eastAsia="cs-CZ"/>
        </w:rPr>
        <w:t xml:space="preserve">ásledného krácení dovolené pro </w:t>
      </w:r>
      <w:r w:rsidRPr="00696326">
        <w:rPr>
          <w:rStyle w:val="Hypertextovodkaz"/>
          <w:rFonts w:ascii="Tahoma" w:eastAsia="Times New Roman" w:hAnsi="Tahoma" w:cs="Tahoma"/>
          <w:bCs/>
          <w:color w:val="000000" w:themeColor="text1"/>
          <w:kern w:val="36"/>
          <w:sz w:val="20"/>
          <w:szCs w:val="20"/>
          <w:u w:val="none"/>
          <w:lang w:eastAsia="cs-CZ"/>
        </w:rPr>
        <w:t>omluvenou nepřítomnost zaměstnance v práci, přičemž vznik</w:t>
      </w:r>
      <w:r>
        <w:rPr>
          <w:rStyle w:val="Hypertextovodkaz"/>
          <w:rFonts w:ascii="Tahoma" w:eastAsia="Times New Roman" w:hAnsi="Tahoma" w:cs="Tahoma"/>
          <w:bCs/>
          <w:color w:val="000000" w:themeColor="text1"/>
          <w:kern w:val="36"/>
          <w:sz w:val="20"/>
          <w:szCs w:val="20"/>
          <w:u w:val="none"/>
          <w:lang w:eastAsia="cs-CZ"/>
        </w:rPr>
        <w:t xml:space="preserve"> práva zaměstnance na dovolenou </w:t>
      </w:r>
      <w:r w:rsidRPr="00696326">
        <w:rPr>
          <w:rStyle w:val="Hypertextovodkaz"/>
          <w:rFonts w:ascii="Tahoma" w:eastAsia="Times New Roman" w:hAnsi="Tahoma" w:cs="Tahoma"/>
          <w:bCs/>
          <w:color w:val="000000" w:themeColor="text1"/>
          <w:kern w:val="36"/>
          <w:sz w:val="20"/>
          <w:szCs w:val="20"/>
          <w:u w:val="none"/>
          <w:lang w:eastAsia="cs-CZ"/>
        </w:rPr>
        <w:t>je založen na jím odpracované stanovené nebo sjednané kratš</w:t>
      </w:r>
      <w:r>
        <w:rPr>
          <w:rStyle w:val="Hypertextovodkaz"/>
          <w:rFonts w:ascii="Tahoma" w:eastAsia="Times New Roman" w:hAnsi="Tahoma" w:cs="Tahoma"/>
          <w:bCs/>
          <w:color w:val="000000" w:themeColor="text1"/>
          <w:kern w:val="36"/>
          <w:sz w:val="20"/>
          <w:szCs w:val="20"/>
          <w:u w:val="none"/>
          <w:lang w:eastAsia="cs-CZ"/>
        </w:rPr>
        <w:t xml:space="preserve">í týdenní pracovní době, od níž </w:t>
      </w:r>
      <w:r w:rsidRPr="00696326">
        <w:rPr>
          <w:rStyle w:val="Hypertextovodkaz"/>
          <w:rFonts w:ascii="Tahoma" w:eastAsia="Times New Roman" w:hAnsi="Tahoma" w:cs="Tahoma"/>
          <w:bCs/>
          <w:color w:val="000000" w:themeColor="text1"/>
          <w:kern w:val="36"/>
          <w:sz w:val="20"/>
          <w:szCs w:val="20"/>
          <w:u w:val="none"/>
          <w:lang w:eastAsia="cs-CZ"/>
        </w:rPr>
        <w:t xml:space="preserve">se též odvozuje i délka dovolené. Návrh nové koncepce dovolené </w:t>
      </w:r>
      <w:r>
        <w:rPr>
          <w:rStyle w:val="Hypertextovodkaz"/>
          <w:rFonts w:ascii="Tahoma" w:eastAsia="Times New Roman" w:hAnsi="Tahoma" w:cs="Tahoma"/>
          <w:bCs/>
          <w:color w:val="000000" w:themeColor="text1"/>
          <w:kern w:val="36"/>
          <w:sz w:val="20"/>
          <w:szCs w:val="20"/>
          <w:u w:val="none"/>
          <w:lang w:eastAsia="cs-CZ"/>
        </w:rPr>
        <w:t xml:space="preserve">tak usiluje o </w:t>
      </w:r>
      <w:proofErr w:type="gramStart"/>
      <w:r>
        <w:rPr>
          <w:rStyle w:val="Hypertextovodkaz"/>
          <w:rFonts w:ascii="Tahoma" w:eastAsia="Times New Roman" w:hAnsi="Tahoma" w:cs="Tahoma"/>
          <w:bCs/>
          <w:color w:val="000000" w:themeColor="text1"/>
          <w:kern w:val="36"/>
          <w:sz w:val="20"/>
          <w:szCs w:val="20"/>
          <w:u w:val="none"/>
          <w:lang w:eastAsia="cs-CZ"/>
        </w:rPr>
        <w:t xml:space="preserve">přesnější </w:t>
      </w:r>
      <w:r w:rsidRPr="00696326">
        <w:rPr>
          <w:rStyle w:val="Hypertextovodkaz"/>
          <w:rFonts w:ascii="Tahoma" w:eastAsia="Times New Roman" w:hAnsi="Tahoma" w:cs="Tahoma"/>
          <w:bCs/>
          <w:color w:val="000000" w:themeColor="text1"/>
          <w:kern w:val="36"/>
          <w:sz w:val="20"/>
          <w:szCs w:val="20"/>
          <w:u w:val="none"/>
          <w:lang w:eastAsia="cs-CZ"/>
        </w:rPr>
        <w:t xml:space="preserve"> vyjádření</w:t>
      </w:r>
      <w:proofErr w:type="gramEnd"/>
      <w:r w:rsidRPr="00696326">
        <w:rPr>
          <w:rStyle w:val="Hypertextovodkaz"/>
          <w:rFonts w:ascii="Tahoma" w:eastAsia="Times New Roman" w:hAnsi="Tahoma" w:cs="Tahoma"/>
          <w:bCs/>
          <w:color w:val="000000" w:themeColor="text1"/>
          <w:kern w:val="36"/>
          <w:sz w:val="20"/>
          <w:szCs w:val="20"/>
          <w:u w:val="none"/>
          <w:lang w:eastAsia="cs-CZ"/>
        </w:rPr>
        <w:t xml:space="preserve"> této určující jednotky, a to pře</w:t>
      </w:r>
      <w:r>
        <w:rPr>
          <w:rStyle w:val="Hypertextovodkaz"/>
          <w:rFonts w:ascii="Tahoma" w:eastAsia="Times New Roman" w:hAnsi="Tahoma" w:cs="Tahoma"/>
          <w:bCs/>
          <w:color w:val="000000" w:themeColor="text1"/>
          <w:kern w:val="36"/>
          <w:sz w:val="20"/>
          <w:szCs w:val="20"/>
          <w:u w:val="none"/>
          <w:lang w:eastAsia="cs-CZ"/>
        </w:rPr>
        <w:t xml:space="preserve">měnou dosavadního dne na hodiny </w:t>
      </w:r>
      <w:r w:rsidRPr="00696326">
        <w:rPr>
          <w:rStyle w:val="Hypertextovodkaz"/>
          <w:rFonts w:ascii="Tahoma" w:eastAsia="Times New Roman" w:hAnsi="Tahoma" w:cs="Tahoma"/>
          <w:bCs/>
          <w:color w:val="000000" w:themeColor="text1"/>
          <w:kern w:val="36"/>
          <w:sz w:val="20"/>
          <w:szCs w:val="20"/>
          <w:u w:val="none"/>
          <w:lang w:eastAsia="cs-CZ"/>
        </w:rPr>
        <w:t>odpovídající stanovené nebo kratší týdenní pracovní době k</w:t>
      </w:r>
      <w:r>
        <w:rPr>
          <w:rStyle w:val="Hypertextovodkaz"/>
          <w:rFonts w:ascii="Tahoma" w:eastAsia="Times New Roman" w:hAnsi="Tahoma" w:cs="Tahoma"/>
          <w:bCs/>
          <w:color w:val="000000" w:themeColor="text1"/>
          <w:kern w:val="36"/>
          <w:sz w:val="20"/>
          <w:szCs w:val="20"/>
          <w:u w:val="none"/>
          <w:lang w:eastAsia="cs-CZ"/>
        </w:rPr>
        <w:t xml:space="preserve">onkrétního zaměstnance. Jen tak </w:t>
      </w:r>
      <w:r w:rsidRPr="00696326">
        <w:rPr>
          <w:rStyle w:val="Hypertextovodkaz"/>
          <w:rFonts w:ascii="Tahoma" w:eastAsia="Times New Roman" w:hAnsi="Tahoma" w:cs="Tahoma"/>
          <w:bCs/>
          <w:color w:val="000000" w:themeColor="text1"/>
          <w:kern w:val="36"/>
          <w:sz w:val="20"/>
          <w:szCs w:val="20"/>
          <w:u w:val="none"/>
          <w:lang w:eastAsia="cs-CZ"/>
        </w:rPr>
        <w:t>může být dosaženo srovnatelné báze mezi zaměstnanci se stejn</w:t>
      </w:r>
      <w:r>
        <w:rPr>
          <w:rStyle w:val="Hypertextovodkaz"/>
          <w:rFonts w:ascii="Tahoma" w:eastAsia="Times New Roman" w:hAnsi="Tahoma" w:cs="Tahoma"/>
          <w:bCs/>
          <w:color w:val="000000" w:themeColor="text1"/>
          <w:kern w:val="36"/>
          <w:sz w:val="20"/>
          <w:szCs w:val="20"/>
          <w:u w:val="none"/>
          <w:lang w:eastAsia="cs-CZ"/>
        </w:rPr>
        <w:t xml:space="preserve">ou týdenní pracovní dobou, a to </w:t>
      </w:r>
      <w:r w:rsidRPr="00696326">
        <w:rPr>
          <w:rStyle w:val="Hypertextovodkaz"/>
          <w:rFonts w:ascii="Tahoma" w:eastAsia="Times New Roman" w:hAnsi="Tahoma" w:cs="Tahoma"/>
          <w:bCs/>
          <w:color w:val="000000" w:themeColor="text1"/>
          <w:kern w:val="36"/>
          <w:sz w:val="20"/>
          <w:szCs w:val="20"/>
          <w:u w:val="none"/>
          <w:lang w:eastAsia="cs-CZ"/>
        </w:rPr>
        <w:t>bez ohledu na je</w:t>
      </w:r>
      <w:r>
        <w:rPr>
          <w:rStyle w:val="Hypertextovodkaz"/>
          <w:rFonts w:ascii="Tahoma" w:eastAsia="Times New Roman" w:hAnsi="Tahoma" w:cs="Tahoma"/>
          <w:bCs/>
          <w:color w:val="000000" w:themeColor="text1"/>
          <w:kern w:val="36"/>
          <w:sz w:val="20"/>
          <w:szCs w:val="20"/>
          <w:u w:val="none"/>
          <w:lang w:eastAsia="cs-CZ"/>
        </w:rPr>
        <w:t xml:space="preserve">jí </w:t>
      </w:r>
      <w:r w:rsidRPr="00696326">
        <w:rPr>
          <w:rStyle w:val="Hypertextovodkaz"/>
          <w:rFonts w:ascii="Tahoma" w:eastAsia="Times New Roman" w:hAnsi="Tahoma" w:cs="Tahoma"/>
          <w:bCs/>
          <w:color w:val="000000" w:themeColor="text1"/>
          <w:kern w:val="36"/>
          <w:sz w:val="20"/>
          <w:szCs w:val="20"/>
          <w:u w:val="none"/>
          <w:lang w:eastAsia="cs-CZ"/>
        </w:rPr>
        <w:t>rozvržení do směn. Současně je při stanov</w:t>
      </w:r>
      <w:r>
        <w:rPr>
          <w:rStyle w:val="Hypertextovodkaz"/>
          <w:rFonts w:ascii="Tahoma" w:eastAsia="Times New Roman" w:hAnsi="Tahoma" w:cs="Tahoma"/>
          <w:bCs/>
          <w:color w:val="000000" w:themeColor="text1"/>
          <w:kern w:val="36"/>
          <w:sz w:val="20"/>
          <w:szCs w:val="20"/>
          <w:u w:val="none"/>
          <w:lang w:eastAsia="cs-CZ"/>
        </w:rPr>
        <w:t xml:space="preserve">ení dovolené akcentován princip </w:t>
      </w:r>
      <w:r w:rsidRPr="00696326">
        <w:rPr>
          <w:rStyle w:val="Hypertextovodkaz"/>
          <w:rFonts w:ascii="Tahoma" w:eastAsia="Times New Roman" w:hAnsi="Tahoma" w:cs="Tahoma"/>
          <w:bCs/>
          <w:color w:val="000000" w:themeColor="text1"/>
          <w:kern w:val="36"/>
          <w:sz w:val="20"/>
          <w:szCs w:val="20"/>
          <w:u w:val="none"/>
          <w:lang w:eastAsia="cs-CZ"/>
        </w:rPr>
        <w:t>zásluhovosti jednotlivých zaměstnanců na odpracované</w:t>
      </w:r>
      <w:r>
        <w:rPr>
          <w:rStyle w:val="Hypertextovodkaz"/>
          <w:rFonts w:ascii="Tahoma" w:eastAsia="Times New Roman" w:hAnsi="Tahoma" w:cs="Tahoma"/>
          <w:bCs/>
          <w:color w:val="000000" w:themeColor="text1"/>
          <w:kern w:val="36"/>
          <w:sz w:val="20"/>
          <w:szCs w:val="20"/>
          <w:u w:val="none"/>
          <w:lang w:eastAsia="cs-CZ"/>
        </w:rPr>
        <w:t xml:space="preserve"> době vyjádřený počtem skutečně </w:t>
      </w:r>
      <w:r w:rsidRPr="00696326">
        <w:rPr>
          <w:rStyle w:val="Hypertextovodkaz"/>
          <w:rFonts w:ascii="Tahoma" w:eastAsia="Times New Roman" w:hAnsi="Tahoma" w:cs="Tahoma"/>
          <w:bCs/>
          <w:color w:val="000000" w:themeColor="text1"/>
          <w:kern w:val="36"/>
          <w:sz w:val="20"/>
          <w:szCs w:val="20"/>
          <w:u w:val="none"/>
          <w:lang w:eastAsia="cs-CZ"/>
        </w:rPr>
        <w:t>odpracovaných násobků jejich týdenní pracovní doby v příslušném kalendářním roce.</w:t>
      </w: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Dále novela reaguje na</w:t>
      </w:r>
      <w:r w:rsidRPr="00696326">
        <w:rPr>
          <w:rStyle w:val="Hypertextovodkaz"/>
          <w:rFonts w:ascii="Tahoma" w:eastAsia="Times New Roman" w:hAnsi="Tahoma" w:cs="Tahoma"/>
          <w:bCs/>
          <w:color w:val="000000" w:themeColor="text1"/>
          <w:kern w:val="36"/>
          <w:sz w:val="20"/>
          <w:szCs w:val="20"/>
          <w:u w:val="none"/>
          <w:lang w:eastAsia="cs-CZ"/>
        </w:rPr>
        <w:t xml:space="preserve"> potřeby </w:t>
      </w:r>
      <w:proofErr w:type="gramStart"/>
      <w:r w:rsidRPr="00696326">
        <w:rPr>
          <w:rStyle w:val="Hypertextovodkaz"/>
          <w:rFonts w:ascii="Tahoma" w:eastAsia="Times New Roman" w:hAnsi="Tahoma" w:cs="Tahoma"/>
          <w:bCs/>
          <w:color w:val="000000" w:themeColor="text1"/>
          <w:kern w:val="36"/>
          <w:sz w:val="20"/>
          <w:szCs w:val="20"/>
          <w:u w:val="none"/>
          <w:lang w:eastAsia="cs-CZ"/>
        </w:rPr>
        <w:t>praxe především</w:t>
      </w:r>
      <w:proofErr w:type="gramEnd"/>
      <w:r w:rsidRPr="00696326">
        <w:rPr>
          <w:rStyle w:val="Hypertextovodkaz"/>
          <w:rFonts w:ascii="Tahoma" w:eastAsia="Times New Roman" w:hAnsi="Tahoma" w:cs="Tahoma"/>
          <w:bCs/>
          <w:color w:val="000000" w:themeColor="text1"/>
          <w:kern w:val="36"/>
          <w:sz w:val="20"/>
          <w:szCs w:val="20"/>
          <w:u w:val="none"/>
          <w:lang w:eastAsia="cs-CZ"/>
        </w:rPr>
        <w:t xml:space="preserve"> pokud jde o umožnění převodu části nevyčerpané dovolené do následujícího kalendářního roku</w:t>
      </w:r>
      <w:r>
        <w:rPr>
          <w:rStyle w:val="Hypertextovodkaz"/>
          <w:rFonts w:ascii="Tahoma" w:eastAsia="Times New Roman" w:hAnsi="Tahoma" w:cs="Tahoma"/>
          <w:bCs/>
          <w:color w:val="000000" w:themeColor="text1"/>
          <w:kern w:val="36"/>
          <w:sz w:val="20"/>
          <w:szCs w:val="20"/>
          <w:u w:val="none"/>
          <w:lang w:eastAsia="cs-CZ"/>
        </w:rPr>
        <w:t xml:space="preserve">. Zaměstnavatel nově bude moci výslovně převést nevyčerpanou dovolenou v rozsahu přesahujícím zákonné minimum 4 týdnů do dalšího roku. </w:t>
      </w:r>
      <w:r>
        <w:rPr>
          <w:rStyle w:val="Hypertextovodkaz"/>
          <w:rFonts w:ascii="Tahoma" w:eastAsia="Times New Roman" w:hAnsi="Tahoma" w:cs="Tahoma"/>
          <w:bCs/>
          <w:color w:val="000000" w:themeColor="text1"/>
          <w:kern w:val="36"/>
          <w:sz w:val="20"/>
          <w:szCs w:val="20"/>
          <w:u w:val="none"/>
          <w:lang w:eastAsia="cs-CZ"/>
        </w:rPr>
        <w:lastRenderedPageBreak/>
        <w:t>Nevyčerpaná dovolená v rámci zákonného minima 4 týdnů nepropadá a musí být převedena do následujícího roku také, nicméně zaměstnavatel se vystavuje riziku uložení sankce od inspektorátu práce, neboť byl povinen zajistit, že zaměstnanec zákonnou dovolenou během roku vyčerpá.</w:t>
      </w:r>
    </w:p>
    <w:p w:rsidR="00696326" w:rsidRP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Zakotvení </w:t>
      </w:r>
      <w:r>
        <w:rPr>
          <w:rStyle w:val="Hypertextovodkaz"/>
          <w:rFonts w:ascii="Tahoma" w:eastAsia="Times New Roman" w:hAnsi="Tahoma" w:cs="Tahoma"/>
          <w:b/>
          <w:bCs/>
          <w:color w:val="000000" w:themeColor="text1"/>
          <w:kern w:val="36"/>
          <w:sz w:val="20"/>
          <w:szCs w:val="20"/>
          <w:lang w:eastAsia="cs-CZ"/>
        </w:rPr>
        <w:t>sdíleného pracovního místa</w:t>
      </w:r>
      <w:r>
        <w:rPr>
          <w:rStyle w:val="Hypertextovodkaz"/>
          <w:rFonts w:ascii="Tahoma" w:eastAsia="Times New Roman" w:hAnsi="Tahoma" w:cs="Tahoma"/>
          <w:bCs/>
          <w:color w:val="000000" w:themeColor="text1"/>
          <w:kern w:val="36"/>
          <w:sz w:val="20"/>
          <w:szCs w:val="20"/>
          <w:u w:val="none"/>
          <w:lang w:eastAsia="cs-CZ"/>
        </w:rPr>
        <w:t xml:space="preserve"> </w:t>
      </w:r>
      <w:r w:rsidRPr="00696326">
        <w:rPr>
          <w:rStyle w:val="Hypertextovodkaz"/>
          <w:rFonts w:ascii="Tahoma" w:eastAsia="Times New Roman" w:hAnsi="Tahoma" w:cs="Tahoma"/>
          <w:bCs/>
          <w:color w:val="000000" w:themeColor="text1"/>
          <w:kern w:val="36"/>
          <w:sz w:val="20"/>
          <w:szCs w:val="20"/>
          <w:u w:val="none"/>
          <w:lang w:eastAsia="cs-CZ"/>
        </w:rPr>
        <w:t>v rámci větší flexib</w:t>
      </w:r>
      <w:r>
        <w:rPr>
          <w:rStyle w:val="Hypertextovodkaz"/>
          <w:rFonts w:ascii="Tahoma" w:eastAsia="Times New Roman" w:hAnsi="Tahoma" w:cs="Tahoma"/>
          <w:bCs/>
          <w:color w:val="000000" w:themeColor="text1"/>
          <w:kern w:val="36"/>
          <w:sz w:val="20"/>
          <w:szCs w:val="20"/>
          <w:u w:val="none"/>
          <w:lang w:eastAsia="cs-CZ"/>
        </w:rPr>
        <w:t xml:space="preserve">ility </w:t>
      </w:r>
      <w:r w:rsidRPr="00696326">
        <w:rPr>
          <w:rStyle w:val="Hypertextovodkaz"/>
          <w:rFonts w:ascii="Tahoma" w:eastAsia="Times New Roman" w:hAnsi="Tahoma" w:cs="Tahoma"/>
          <w:bCs/>
          <w:color w:val="000000" w:themeColor="text1"/>
          <w:kern w:val="36"/>
          <w:sz w:val="20"/>
          <w:szCs w:val="20"/>
          <w:u w:val="none"/>
          <w:lang w:eastAsia="cs-CZ"/>
        </w:rPr>
        <w:t>pracovněprávních vztahů s cílem sladění rodinného a pracovního života</w:t>
      </w:r>
      <w:r>
        <w:rPr>
          <w:rStyle w:val="Hypertextovodkaz"/>
          <w:rFonts w:ascii="Tahoma" w:eastAsia="Times New Roman" w:hAnsi="Tahoma" w:cs="Tahoma"/>
          <w:bCs/>
          <w:color w:val="000000" w:themeColor="text1"/>
          <w:kern w:val="36"/>
          <w:sz w:val="20"/>
          <w:szCs w:val="20"/>
          <w:u w:val="none"/>
          <w:lang w:eastAsia="cs-CZ"/>
        </w:rPr>
        <w:t xml:space="preserve">. Tento institut zaměstnancům umožní, aby si </w:t>
      </w:r>
      <w:r w:rsidRPr="00696326">
        <w:rPr>
          <w:rStyle w:val="Hypertextovodkaz"/>
          <w:rFonts w:ascii="Tahoma" w:eastAsia="Times New Roman" w:hAnsi="Tahoma" w:cs="Tahoma"/>
          <w:bCs/>
          <w:color w:val="000000" w:themeColor="text1"/>
          <w:kern w:val="36"/>
          <w:sz w:val="20"/>
          <w:szCs w:val="20"/>
          <w:u w:val="none"/>
          <w:lang w:eastAsia="cs-CZ"/>
        </w:rPr>
        <w:t>nejméně dva zaměstnanci se stejným druhem práce a se sjedna</w:t>
      </w:r>
      <w:r>
        <w:rPr>
          <w:rStyle w:val="Hypertextovodkaz"/>
          <w:rFonts w:ascii="Tahoma" w:eastAsia="Times New Roman" w:hAnsi="Tahoma" w:cs="Tahoma"/>
          <w:bCs/>
          <w:color w:val="000000" w:themeColor="text1"/>
          <w:kern w:val="36"/>
          <w:sz w:val="20"/>
          <w:szCs w:val="20"/>
          <w:u w:val="none"/>
          <w:lang w:eastAsia="cs-CZ"/>
        </w:rPr>
        <w:t xml:space="preserve">nou kratší pracovní dobou mohli </w:t>
      </w:r>
      <w:r w:rsidRPr="00696326">
        <w:rPr>
          <w:rStyle w:val="Hypertextovodkaz"/>
          <w:rFonts w:ascii="Tahoma" w:eastAsia="Times New Roman" w:hAnsi="Tahoma" w:cs="Tahoma"/>
          <w:bCs/>
          <w:color w:val="000000" w:themeColor="text1"/>
          <w:kern w:val="36"/>
          <w:sz w:val="20"/>
          <w:szCs w:val="20"/>
          <w:u w:val="none"/>
          <w:lang w:eastAsia="cs-CZ"/>
        </w:rPr>
        <w:t>sami po předchozí dohodě se zaměstnavatelem rozvrhovat n</w:t>
      </w:r>
      <w:r>
        <w:rPr>
          <w:rStyle w:val="Hypertextovodkaz"/>
          <w:rFonts w:ascii="Tahoma" w:eastAsia="Times New Roman" w:hAnsi="Tahoma" w:cs="Tahoma"/>
          <w:bCs/>
          <w:color w:val="000000" w:themeColor="text1"/>
          <w:kern w:val="36"/>
          <w:sz w:val="20"/>
          <w:szCs w:val="20"/>
          <w:u w:val="none"/>
          <w:lang w:eastAsia="cs-CZ"/>
        </w:rPr>
        <w:t xml:space="preserve">a tzv. sdíleném pracovním místě </w:t>
      </w:r>
      <w:r w:rsidRPr="00696326">
        <w:rPr>
          <w:rStyle w:val="Hypertextovodkaz"/>
          <w:rFonts w:ascii="Tahoma" w:eastAsia="Times New Roman" w:hAnsi="Tahoma" w:cs="Tahoma"/>
          <w:bCs/>
          <w:color w:val="000000" w:themeColor="text1"/>
          <w:kern w:val="36"/>
          <w:sz w:val="20"/>
          <w:szCs w:val="20"/>
          <w:u w:val="none"/>
          <w:lang w:eastAsia="cs-CZ"/>
        </w:rPr>
        <w:t xml:space="preserve">pracovní dobu ve vzájemné spolupráci podle svých osobních </w:t>
      </w:r>
      <w:r>
        <w:rPr>
          <w:rStyle w:val="Hypertextovodkaz"/>
          <w:rFonts w:ascii="Tahoma" w:eastAsia="Times New Roman" w:hAnsi="Tahoma" w:cs="Tahoma"/>
          <w:bCs/>
          <w:color w:val="000000" w:themeColor="text1"/>
          <w:kern w:val="36"/>
          <w:sz w:val="20"/>
          <w:szCs w:val="20"/>
          <w:u w:val="none"/>
          <w:lang w:eastAsia="cs-CZ"/>
        </w:rPr>
        <w:t xml:space="preserve">potřeb a mohli se tak v rozsahu </w:t>
      </w:r>
      <w:r w:rsidRPr="00696326">
        <w:rPr>
          <w:rStyle w:val="Hypertextovodkaz"/>
          <w:rFonts w:ascii="Tahoma" w:eastAsia="Times New Roman" w:hAnsi="Tahoma" w:cs="Tahoma"/>
          <w:bCs/>
          <w:color w:val="000000" w:themeColor="text1"/>
          <w:kern w:val="36"/>
          <w:sz w:val="20"/>
          <w:szCs w:val="20"/>
          <w:u w:val="none"/>
          <w:lang w:eastAsia="cs-CZ"/>
        </w:rPr>
        <w:t>jejich pracovního úvazku (tzn. v rozsahu jejich sjednané kratší pracovní doby)</w:t>
      </w:r>
      <w:r>
        <w:rPr>
          <w:rStyle w:val="Hypertextovodkaz"/>
          <w:rFonts w:ascii="Tahoma" w:eastAsia="Times New Roman" w:hAnsi="Tahoma" w:cs="Tahoma"/>
          <w:bCs/>
          <w:color w:val="000000" w:themeColor="text1"/>
          <w:kern w:val="36"/>
          <w:sz w:val="20"/>
          <w:szCs w:val="20"/>
          <w:u w:val="none"/>
          <w:lang w:eastAsia="cs-CZ"/>
        </w:rPr>
        <w:t xml:space="preserve"> střídat </w:t>
      </w:r>
      <w:r w:rsidRPr="00696326">
        <w:rPr>
          <w:rStyle w:val="Hypertextovodkaz"/>
          <w:rFonts w:ascii="Tahoma" w:eastAsia="Times New Roman" w:hAnsi="Tahoma" w:cs="Tahoma"/>
          <w:bCs/>
          <w:color w:val="000000" w:themeColor="text1"/>
          <w:kern w:val="36"/>
          <w:sz w:val="20"/>
          <w:szCs w:val="20"/>
          <w:u w:val="none"/>
          <w:lang w:eastAsia="cs-CZ"/>
        </w:rPr>
        <w:t>při výkonu práce.</w:t>
      </w:r>
      <w:r w:rsidRPr="00696326">
        <w:rPr>
          <w:rStyle w:val="Hypertextovodkaz"/>
          <w:rFonts w:ascii="Tahoma" w:eastAsia="Times New Roman" w:hAnsi="Tahoma" w:cs="Tahoma"/>
          <w:bCs/>
          <w:color w:val="000000" w:themeColor="text1"/>
          <w:kern w:val="36"/>
          <w:sz w:val="20"/>
          <w:szCs w:val="20"/>
          <w:u w:val="none"/>
          <w:lang w:eastAsia="cs-CZ"/>
        </w:rPr>
        <w:cr/>
      </w: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96326">
        <w:rPr>
          <w:rStyle w:val="Hypertextovodkaz"/>
          <w:rFonts w:ascii="Tahoma" w:eastAsia="Times New Roman" w:hAnsi="Tahoma" w:cs="Tahoma"/>
          <w:bCs/>
          <w:color w:val="000000" w:themeColor="text1"/>
          <w:kern w:val="36"/>
          <w:sz w:val="20"/>
          <w:szCs w:val="20"/>
          <w:u w:val="none"/>
          <w:lang w:eastAsia="cs-CZ"/>
        </w:rPr>
        <w:t xml:space="preserve">Další navrhovanou změnou je snížení administrativní náročnosti zaměstnavatelů </w:t>
      </w:r>
      <w:r w:rsidRPr="00696326">
        <w:rPr>
          <w:rStyle w:val="Hypertextovodkaz"/>
          <w:rFonts w:ascii="Tahoma" w:eastAsia="Times New Roman" w:hAnsi="Tahoma" w:cs="Tahoma"/>
          <w:b/>
          <w:bCs/>
          <w:color w:val="000000" w:themeColor="text1"/>
          <w:kern w:val="36"/>
          <w:sz w:val="20"/>
          <w:szCs w:val="20"/>
          <w:lang w:eastAsia="cs-CZ"/>
        </w:rPr>
        <w:t>zrušením povinnosti zaměstnavatele vydat zaměstnanci potvrzení o zaměstnání v případě ukončení dohody zaměstnanců činných na základě dohody o provedení práce</w:t>
      </w:r>
      <w:r w:rsidRPr="00696326">
        <w:rPr>
          <w:rStyle w:val="Hypertextovodkaz"/>
          <w:rFonts w:ascii="Tahoma" w:eastAsia="Times New Roman" w:hAnsi="Tahoma" w:cs="Tahoma"/>
          <w:bCs/>
          <w:color w:val="000000" w:themeColor="text1"/>
          <w:kern w:val="36"/>
          <w:sz w:val="20"/>
          <w:szCs w:val="20"/>
          <w:u w:val="none"/>
          <w:lang w:eastAsia="cs-CZ"/>
        </w:rPr>
        <w:t xml:space="preserve"> s výjimkou těch, u kterých je prováděn výkon rozhodnutí srážkami z dohody o provedení práce nebo kteří byli účastni nemocenského pojištění podle § 7a zákona o nemocenském pojištění.</w:t>
      </w: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Novela dále upravuje problematiku náhrady mzdy za dovolenou u zaměstnanců vyslaných do jiného členského státu EU. </w:t>
      </w: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K pozitivní změně dochází v právní úpravě </w:t>
      </w:r>
      <w:r w:rsidRPr="002F4748">
        <w:rPr>
          <w:rStyle w:val="Hypertextovodkaz"/>
          <w:rFonts w:ascii="Tahoma" w:eastAsia="Times New Roman" w:hAnsi="Tahoma" w:cs="Tahoma"/>
          <w:b/>
          <w:bCs/>
          <w:color w:val="000000" w:themeColor="text1"/>
          <w:kern w:val="36"/>
          <w:sz w:val="20"/>
          <w:szCs w:val="20"/>
          <w:lang w:eastAsia="cs-CZ"/>
        </w:rPr>
        <w:t>doručování písemností</w:t>
      </w:r>
      <w:r>
        <w:rPr>
          <w:rStyle w:val="Hypertextovodkaz"/>
          <w:rFonts w:ascii="Tahoma" w:eastAsia="Times New Roman" w:hAnsi="Tahoma" w:cs="Tahoma"/>
          <w:bCs/>
          <w:color w:val="000000" w:themeColor="text1"/>
          <w:kern w:val="36"/>
          <w:sz w:val="20"/>
          <w:szCs w:val="20"/>
          <w:u w:val="none"/>
          <w:lang w:eastAsia="cs-CZ"/>
        </w:rPr>
        <w:t xml:space="preserve">. </w:t>
      </w:r>
      <w:r w:rsidR="002F4748" w:rsidRPr="00696326">
        <w:rPr>
          <w:rStyle w:val="Hypertextovodkaz"/>
          <w:rFonts w:ascii="Tahoma" w:eastAsia="Times New Roman" w:hAnsi="Tahoma" w:cs="Tahoma"/>
          <w:bCs/>
          <w:color w:val="000000" w:themeColor="text1"/>
          <w:kern w:val="36"/>
          <w:sz w:val="20"/>
          <w:szCs w:val="20"/>
          <w:u w:val="none"/>
          <w:lang w:eastAsia="cs-CZ"/>
        </w:rPr>
        <w:t>Vzhledem k praktickým problémům, které vznikaly v souvislosti s požadavkem, aby zaměstnavatel nejprve prokázal, že písemnost nebylo možné doručit zaměstnanci osobně do vlastních rukou na pracovišti, v jeho bytě nebo kdekoliv bude zastižen anebo prostřednictvím sítě nebo služby elektronických komunikací, se nově zavádí pravidlo (postup), že zaměstnavatel doručuje písemnost zaměstnanci do vlastních rukou na pracovišti; není-li to možné, může ji pak zaměstnavatel doručit do vlastních rukou zaměstnanci jedním ze způsobů doručení uvedených ve výčtu, tj. kdekoliv bude zaměstnanec zastižen, prostřednictvím provozovatele poštovních služeb, prostřednictvím sítě nebo služby elektronick</w:t>
      </w:r>
      <w:r w:rsidR="002F4748">
        <w:rPr>
          <w:rStyle w:val="Hypertextovodkaz"/>
          <w:rFonts w:ascii="Tahoma" w:eastAsia="Times New Roman" w:hAnsi="Tahoma" w:cs="Tahoma"/>
          <w:bCs/>
          <w:color w:val="000000" w:themeColor="text1"/>
          <w:kern w:val="36"/>
          <w:sz w:val="20"/>
          <w:szCs w:val="20"/>
          <w:u w:val="none"/>
          <w:lang w:eastAsia="cs-CZ"/>
        </w:rPr>
        <w:t>ých komunikaci,</w:t>
      </w:r>
      <w:r w:rsidR="002F4748" w:rsidRPr="00696326">
        <w:rPr>
          <w:rStyle w:val="Hypertextovodkaz"/>
          <w:rFonts w:ascii="Tahoma" w:eastAsia="Times New Roman" w:hAnsi="Tahoma" w:cs="Tahoma"/>
          <w:bCs/>
          <w:color w:val="000000" w:themeColor="text1"/>
          <w:kern w:val="36"/>
          <w:sz w:val="20"/>
          <w:szCs w:val="20"/>
          <w:u w:val="none"/>
          <w:lang w:eastAsia="cs-CZ"/>
        </w:rPr>
        <w:t xml:space="preserve"> anebo prostřednictvím datové schránky. Možné způsoby doručení, uvedené ve výčtu, nestanoví hierarchii (pořadí) jejich užití.</w:t>
      </w:r>
    </w:p>
    <w:p w:rsidR="002F4748" w:rsidRDefault="002F4748"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F4748" w:rsidRDefault="002F4748"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2F4748">
        <w:rPr>
          <w:rStyle w:val="Hypertextovodkaz"/>
          <w:rFonts w:ascii="Tahoma" w:eastAsia="Times New Roman" w:hAnsi="Tahoma" w:cs="Tahoma"/>
          <w:bCs/>
          <w:color w:val="000000" w:themeColor="text1"/>
          <w:kern w:val="36"/>
          <w:sz w:val="20"/>
          <w:szCs w:val="20"/>
          <w:u w:val="none"/>
          <w:lang w:eastAsia="cs-CZ"/>
        </w:rPr>
        <w:t xml:space="preserve">Dále se navrhuje </w:t>
      </w:r>
      <w:r w:rsidRPr="002F4748">
        <w:rPr>
          <w:rStyle w:val="Hypertextovodkaz"/>
          <w:rFonts w:ascii="Tahoma" w:eastAsia="Times New Roman" w:hAnsi="Tahoma" w:cs="Tahoma"/>
          <w:b/>
          <w:bCs/>
          <w:color w:val="000000" w:themeColor="text1"/>
          <w:kern w:val="36"/>
          <w:sz w:val="20"/>
          <w:szCs w:val="20"/>
          <w:lang w:eastAsia="cs-CZ"/>
        </w:rPr>
        <w:t>úprava náhrady škody a nemajetkové újmy</w:t>
      </w:r>
      <w:r w:rsidRPr="002F4748">
        <w:rPr>
          <w:rStyle w:val="Hypertextovodkaz"/>
          <w:rFonts w:ascii="Tahoma" w:eastAsia="Times New Roman" w:hAnsi="Tahoma" w:cs="Tahoma"/>
          <w:bCs/>
          <w:color w:val="000000" w:themeColor="text1"/>
          <w:kern w:val="36"/>
          <w:sz w:val="20"/>
          <w:szCs w:val="20"/>
          <w:u w:val="none"/>
          <w:lang w:eastAsia="cs-CZ"/>
        </w:rPr>
        <w:t xml:space="preserve">, kdy dochází ke změně způsobu zvyšování jednorázového odškodnění pozůstalých a úhrady nákladů na zřízení pomníku nebo desky v případě smrti zaměstnance následkem pracovního úrazu nebo nemoci z povolání. Do zákoníku práce se </w:t>
      </w:r>
      <w:r w:rsidRPr="002F4748">
        <w:rPr>
          <w:rStyle w:val="Hypertextovodkaz"/>
          <w:rFonts w:ascii="Tahoma" w:eastAsia="Times New Roman" w:hAnsi="Tahoma" w:cs="Tahoma"/>
          <w:b/>
          <w:bCs/>
          <w:color w:val="000000" w:themeColor="text1"/>
          <w:kern w:val="36"/>
          <w:sz w:val="20"/>
          <w:szCs w:val="20"/>
          <w:lang w:eastAsia="cs-CZ"/>
        </w:rPr>
        <w:t>nově zavádí institut jednorázové náhrady nemajetkové újmy při zvlášť závažném ublížení na zdraví zaměstnance</w:t>
      </w:r>
      <w:r w:rsidRPr="002F4748">
        <w:rPr>
          <w:rStyle w:val="Hypertextovodkaz"/>
          <w:rFonts w:ascii="Tahoma" w:eastAsia="Times New Roman" w:hAnsi="Tahoma" w:cs="Tahoma"/>
          <w:bCs/>
          <w:color w:val="000000" w:themeColor="text1"/>
          <w:kern w:val="36"/>
          <w:sz w:val="20"/>
          <w:szCs w:val="20"/>
          <w:u w:val="none"/>
          <w:lang w:eastAsia="cs-CZ"/>
        </w:rPr>
        <w:t xml:space="preserve"> a rozšiřuje se okruh pozůstalých, kterým bude poskytováno jednorázové odškodnění pozůstalých, které se bude nově nazývat jednorázová náhrada nemajetkové újmy pozůstalých.</w:t>
      </w:r>
    </w:p>
    <w:p w:rsidR="00696326" w:rsidRDefault="00696326"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F4748" w:rsidRPr="00696326" w:rsidRDefault="002F4748" w:rsidP="0069632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2F4748">
        <w:rPr>
          <w:rStyle w:val="Hypertextovodkaz"/>
          <w:rFonts w:ascii="Tahoma" w:eastAsia="Times New Roman" w:hAnsi="Tahoma" w:cs="Tahoma"/>
          <w:bCs/>
          <w:color w:val="000000" w:themeColor="text1"/>
          <w:kern w:val="36"/>
          <w:sz w:val="20"/>
          <w:szCs w:val="20"/>
          <w:u w:val="none"/>
          <w:lang w:eastAsia="cs-CZ"/>
        </w:rPr>
        <w:lastRenderedPageBreak/>
        <w:t xml:space="preserve">Návrh novely dále doplňuje do zákoníku práce velmi potřebnou úpravu </w:t>
      </w:r>
      <w:r w:rsidRPr="002F4748">
        <w:rPr>
          <w:rStyle w:val="Hypertextovodkaz"/>
          <w:rFonts w:ascii="Tahoma" w:eastAsia="Times New Roman" w:hAnsi="Tahoma" w:cs="Tahoma"/>
          <w:b/>
          <w:bCs/>
          <w:color w:val="000000" w:themeColor="text1"/>
          <w:kern w:val="36"/>
          <w:sz w:val="20"/>
          <w:szCs w:val="20"/>
          <w:lang w:eastAsia="cs-CZ"/>
        </w:rPr>
        <w:t>prevence pracovních úrazů a nemocí z povolání</w:t>
      </w:r>
      <w:r w:rsidRPr="002F4748">
        <w:rPr>
          <w:rStyle w:val="Hypertextovodkaz"/>
          <w:rFonts w:ascii="Tahoma" w:eastAsia="Times New Roman" w:hAnsi="Tahoma" w:cs="Tahoma"/>
          <w:bCs/>
          <w:color w:val="000000" w:themeColor="text1"/>
          <w:kern w:val="36"/>
          <w:sz w:val="20"/>
          <w:szCs w:val="20"/>
          <w:u w:val="none"/>
          <w:lang w:eastAsia="cs-CZ"/>
        </w:rPr>
        <w:t>. Stát bude nově poskytovat, na základě dohadovacího procesu v Radě hospodářské a sociální dohodě ČR, sociálním partnerům finanční příspěvek na realizaci aktivit v oblasti prevence rizik vzniku poškození zdraví zaměstnanců následkem pracovního úrazu nebo nemoci z povolání.</w:t>
      </w:r>
    </w:p>
    <w:p w:rsidR="00D64EA6" w:rsidRDefault="00D64EA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E23EF9">
      <w:pPr>
        <w:pStyle w:val="Bezmezer"/>
        <w:numPr>
          <w:ilvl w:val="0"/>
          <w:numId w:val="3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Pr="00E23EF9" w:rsidRDefault="00CD247B" w:rsidP="00A6027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D247B">
        <w:rPr>
          <w:rStyle w:val="Hypertextovodkaz"/>
          <w:rFonts w:ascii="Tahoma" w:eastAsia="Times New Roman" w:hAnsi="Tahoma" w:cs="Tahoma"/>
          <w:b/>
          <w:bCs/>
          <w:color w:val="000000" w:themeColor="text1"/>
          <w:kern w:val="36"/>
          <w:sz w:val="24"/>
          <w:szCs w:val="24"/>
          <w:u w:val="none"/>
          <w:lang w:eastAsia="cs-CZ"/>
        </w:rPr>
        <w:t>Přihlášení pohledávky zčásti jako zajištěné a zčásti jako nezajištěné</w:t>
      </w:r>
      <w:r w:rsidR="007B181D">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344168" w:rsidRPr="00E23EF9" w:rsidRDefault="00CD247B" w:rsidP="0034416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NSČR 63/2018</w:t>
      </w:r>
    </w:p>
    <w:p w:rsidR="0087193D" w:rsidRDefault="0087193D" w:rsidP="0087193D">
      <w:pPr>
        <w:pStyle w:val="Normlnweb"/>
        <w:shd w:val="clear" w:color="auto" w:fill="FFFFFF"/>
        <w:spacing w:before="0" w:beforeAutospacing="0" w:after="158" w:afterAutospacing="0"/>
        <w:jc w:val="both"/>
        <w:rPr>
          <w:rFonts w:ascii="Arial" w:hAnsi="Arial" w:cs="Arial"/>
          <w:color w:val="666666"/>
          <w:sz w:val="23"/>
          <w:szCs w:val="23"/>
        </w:rPr>
      </w:pPr>
    </w:p>
    <w:p w:rsidR="00801E54" w:rsidRPr="007C0E18" w:rsidRDefault="00CD247B" w:rsidP="0087193D">
      <w:pPr>
        <w:pStyle w:val="Normlnweb"/>
        <w:shd w:val="clear" w:color="auto" w:fill="FFFFFF"/>
        <w:spacing w:before="0" w:beforeAutospacing="0" w:after="158" w:afterAutospacing="0"/>
        <w:jc w:val="both"/>
        <w:rPr>
          <w:rStyle w:val="Hypertextovodkaz"/>
          <w:rFonts w:ascii="Tahoma" w:hAnsi="Tahoma" w:cs="Tahoma"/>
          <w:bCs/>
          <w:color w:val="000000" w:themeColor="text1"/>
          <w:kern w:val="36"/>
          <w:sz w:val="20"/>
          <w:szCs w:val="20"/>
          <w:u w:val="none"/>
        </w:rPr>
      </w:pPr>
      <w:r w:rsidRPr="007C0E18">
        <w:rPr>
          <w:rStyle w:val="Hypertextovodkaz"/>
          <w:rFonts w:ascii="Tahoma" w:hAnsi="Tahoma" w:cs="Tahoma"/>
          <w:bCs/>
          <w:color w:val="000000" w:themeColor="text1"/>
          <w:kern w:val="36"/>
          <w:sz w:val="20"/>
          <w:szCs w:val="20"/>
          <w:u w:val="none"/>
        </w:rPr>
        <w:t>Nejvyšší soud judikoval, že věřitel nemůže přihlásit svou pohledávku zčásti jako zajištěnou a zčásti jako nezajištěnou. To platí, i když pohledávka sestává z více dílčích nároků vzniklých z téže smlouvy</w:t>
      </w:r>
      <w:r w:rsidR="007C0E18" w:rsidRPr="007C0E18">
        <w:rPr>
          <w:rStyle w:val="Hypertextovodkaz"/>
          <w:rFonts w:ascii="Tahoma" w:hAnsi="Tahoma" w:cs="Tahoma"/>
          <w:bCs/>
          <w:color w:val="000000" w:themeColor="text1"/>
          <w:kern w:val="36"/>
          <w:sz w:val="20"/>
          <w:szCs w:val="20"/>
          <w:u w:val="none"/>
        </w:rPr>
        <w:t xml:space="preserve">. Pokud věřitel přesto přihlásil některé dílčí nároky jako zajištěné a jiné jako nezajištěné, insolvenční správce ho vyzve, aby přihlášku opravil. Pokud věřitel přihlášku neupraví, všechny dílčí nároky budou přihlášeny jako nezajištěné. </w:t>
      </w: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0D3D" w:rsidRDefault="00800D3D"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622B6" w:rsidRPr="0028797B" w:rsidRDefault="002622B6" w:rsidP="002622B6">
      <w:pPr>
        <w:pStyle w:val="Bezmezer"/>
        <w:numPr>
          <w:ilvl w:val="0"/>
          <w:numId w:val="38"/>
        </w:numPr>
        <w:shd w:val="clear" w:color="auto" w:fill="CCFFCC"/>
        <w:spacing w:line="360" w:lineRule="auto"/>
        <w:jc w:val="center"/>
        <w:rPr>
          <w:b/>
          <w:sz w:val="28"/>
        </w:rPr>
      </w:pPr>
      <w:r>
        <w:rPr>
          <w:rFonts w:ascii="Tahoma" w:hAnsi="Tahoma" w:cs="Tahoma"/>
          <w:b/>
          <w:sz w:val="28"/>
          <w:szCs w:val="20"/>
        </w:rPr>
        <w:lastRenderedPageBreak/>
        <w:t>Legislativní plán 2020</w:t>
      </w:r>
    </w:p>
    <w:p w:rsidR="00BC309F" w:rsidRDefault="00BC309F"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622B6" w:rsidRDefault="002622B6"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2622B6">
        <w:rPr>
          <w:rStyle w:val="Hypertextovodkaz"/>
          <w:rFonts w:ascii="Tahoma" w:eastAsia="Times New Roman" w:hAnsi="Tahoma" w:cs="Tahoma"/>
          <w:bCs/>
          <w:color w:val="000000" w:themeColor="text1"/>
          <w:kern w:val="36"/>
          <w:sz w:val="20"/>
          <w:szCs w:val="24"/>
          <w:u w:val="none"/>
          <w:lang w:eastAsia="cs-CZ"/>
        </w:rPr>
        <w:t xml:space="preserve">OPS </w:t>
      </w:r>
      <w:r>
        <w:rPr>
          <w:rStyle w:val="Hypertextovodkaz"/>
          <w:rFonts w:ascii="Tahoma" w:eastAsia="Times New Roman" w:hAnsi="Tahoma" w:cs="Tahoma"/>
          <w:bCs/>
          <w:color w:val="000000" w:themeColor="text1"/>
          <w:kern w:val="36"/>
          <w:sz w:val="20"/>
          <w:szCs w:val="24"/>
          <w:u w:val="none"/>
          <w:lang w:eastAsia="cs-CZ"/>
        </w:rPr>
        <w:t>sestavilo</w:t>
      </w:r>
      <w:r w:rsidRPr="002622B6">
        <w:rPr>
          <w:rStyle w:val="Hypertextovodkaz"/>
          <w:rFonts w:ascii="Tahoma" w:eastAsia="Times New Roman" w:hAnsi="Tahoma" w:cs="Tahoma"/>
          <w:bCs/>
          <w:color w:val="000000" w:themeColor="text1"/>
          <w:kern w:val="36"/>
          <w:sz w:val="20"/>
          <w:szCs w:val="24"/>
          <w:u w:val="none"/>
          <w:lang w:eastAsia="cs-CZ"/>
        </w:rPr>
        <w:t>, ve vazbě na zveřejněný legislativní plán vlády, interní legislativní plán</w:t>
      </w:r>
      <w:r>
        <w:rPr>
          <w:rStyle w:val="Hypertextovodkaz"/>
          <w:rFonts w:ascii="Tahoma" w:eastAsia="Times New Roman" w:hAnsi="Tahoma" w:cs="Tahoma"/>
          <w:bCs/>
          <w:color w:val="000000" w:themeColor="text1"/>
          <w:kern w:val="36"/>
          <w:sz w:val="20"/>
          <w:szCs w:val="24"/>
          <w:u w:val="none"/>
          <w:lang w:eastAsia="cs-CZ"/>
        </w:rPr>
        <w:t xml:space="preserve"> relevantních právních předpisů předkládaných</w:t>
      </w:r>
      <w:r w:rsidRPr="002622B6">
        <w:rPr>
          <w:rStyle w:val="Hypertextovodkaz"/>
          <w:rFonts w:ascii="Tahoma" w:eastAsia="Times New Roman" w:hAnsi="Tahoma" w:cs="Tahoma"/>
          <w:bCs/>
          <w:color w:val="000000" w:themeColor="text1"/>
          <w:kern w:val="36"/>
          <w:sz w:val="20"/>
          <w:szCs w:val="24"/>
          <w:u w:val="none"/>
          <w:lang w:eastAsia="cs-CZ"/>
        </w:rPr>
        <w:t xml:space="preserve"> pro </w:t>
      </w:r>
      <w:r>
        <w:rPr>
          <w:rStyle w:val="Hypertextovodkaz"/>
          <w:rFonts w:ascii="Tahoma" w:eastAsia="Times New Roman" w:hAnsi="Tahoma" w:cs="Tahoma"/>
          <w:bCs/>
          <w:color w:val="000000" w:themeColor="text1"/>
          <w:kern w:val="36"/>
          <w:sz w:val="20"/>
          <w:szCs w:val="24"/>
          <w:u w:val="none"/>
          <w:lang w:eastAsia="cs-CZ"/>
        </w:rPr>
        <w:t>rok 2020</w:t>
      </w:r>
      <w:r w:rsidRPr="002622B6">
        <w:rPr>
          <w:rStyle w:val="Hypertextovodkaz"/>
          <w:rFonts w:ascii="Tahoma" w:eastAsia="Times New Roman" w:hAnsi="Tahoma" w:cs="Tahoma"/>
          <w:bCs/>
          <w:color w:val="000000" w:themeColor="text1"/>
          <w:kern w:val="36"/>
          <w:sz w:val="20"/>
          <w:szCs w:val="24"/>
          <w:u w:val="none"/>
          <w:lang w:eastAsia="cs-CZ"/>
        </w:rPr>
        <w:t xml:space="preserve">, spolu s uvedením </w:t>
      </w:r>
      <w:r>
        <w:rPr>
          <w:rStyle w:val="Hypertextovodkaz"/>
          <w:rFonts w:ascii="Tahoma" w:eastAsia="Times New Roman" w:hAnsi="Tahoma" w:cs="Tahoma"/>
          <w:bCs/>
          <w:color w:val="000000" w:themeColor="text1"/>
          <w:kern w:val="36"/>
          <w:sz w:val="20"/>
          <w:szCs w:val="24"/>
          <w:u w:val="none"/>
          <w:lang w:eastAsia="cs-CZ"/>
        </w:rPr>
        <w:t>očekávaného</w:t>
      </w:r>
      <w:r w:rsidRPr="002622B6">
        <w:rPr>
          <w:rStyle w:val="Hypertextovodkaz"/>
          <w:rFonts w:ascii="Tahoma" w:eastAsia="Times New Roman" w:hAnsi="Tahoma" w:cs="Tahoma"/>
          <w:bCs/>
          <w:color w:val="000000" w:themeColor="text1"/>
          <w:kern w:val="36"/>
          <w:sz w:val="20"/>
          <w:szCs w:val="24"/>
          <w:u w:val="none"/>
          <w:lang w:eastAsia="cs-CZ"/>
        </w:rPr>
        <w:t xml:space="preserve"> měsíce předložení právního předpisu pověřeným ministerstvem</w:t>
      </w:r>
      <w:r>
        <w:rPr>
          <w:rStyle w:val="Hypertextovodkaz"/>
          <w:rFonts w:ascii="Tahoma" w:eastAsia="Times New Roman" w:hAnsi="Tahoma" w:cs="Tahoma"/>
          <w:bCs/>
          <w:color w:val="000000" w:themeColor="text1"/>
          <w:kern w:val="36"/>
          <w:sz w:val="20"/>
          <w:szCs w:val="24"/>
          <w:u w:val="none"/>
          <w:lang w:eastAsia="cs-CZ"/>
        </w:rPr>
        <w:t xml:space="preserve"> a návrhem odpovědného</w:t>
      </w:r>
      <w:r w:rsidRPr="002622B6">
        <w:rPr>
          <w:rStyle w:val="Hypertextovodkaz"/>
          <w:rFonts w:ascii="Tahoma" w:eastAsia="Times New Roman" w:hAnsi="Tahoma" w:cs="Tahoma"/>
          <w:bCs/>
          <w:color w:val="000000" w:themeColor="text1"/>
          <w:kern w:val="36"/>
          <w:sz w:val="20"/>
          <w:szCs w:val="24"/>
          <w:u w:val="none"/>
          <w:lang w:eastAsia="cs-CZ"/>
        </w:rPr>
        <w:t xml:space="preserve"> útvar</w:t>
      </w:r>
      <w:r>
        <w:rPr>
          <w:rStyle w:val="Hypertextovodkaz"/>
          <w:rFonts w:ascii="Tahoma" w:eastAsia="Times New Roman" w:hAnsi="Tahoma" w:cs="Tahoma"/>
          <w:bCs/>
          <w:color w:val="000000" w:themeColor="text1"/>
          <w:kern w:val="36"/>
          <w:sz w:val="20"/>
          <w:szCs w:val="24"/>
          <w:u w:val="none"/>
          <w:lang w:eastAsia="cs-CZ"/>
        </w:rPr>
        <w:t>u</w:t>
      </w:r>
      <w:r w:rsidRPr="002622B6">
        <w:rPr>
          <w:rStyle w:val="Hypertextovodkaz"/>
          <w:rFonts w:ascii="Tahoma" w:eastAsia="Times New Roman" w:hAnsi="Tahoma" w:cs="Tahoma"/>
          <w:bCs/>
          <w:color w:val="000000" w:themeColor="text1"/>
          <w:kern w:val="36"/>
          <w:sz w:val="20"/>
          <w:szCs w:val="24"/>
          <w:u w:val="none"/>
          <w:lang w:eastAsia="cs-CZ"/>
        </w:rPr>
        <w:t xml:space="preserve"> za zhodnocení dopadů na činnost společnosti po věcné stránce a jejich implementaci a realizaci.</w:t>
      </w:r>
    </w:p>
    <w:p w:rsidR="00B00530" w:rsidRDefault="00B00530"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tbl>
      <w:tblPr>
        <w:tblStyle w:val="Mkatabulky"/>
        <w:tblW w:w="0" w:type="auto"/>
        <w:tblLook w:val="04A0" w:firstRow="1" w:lastRow="0" w:firstColumn="1" w:lastColumn="0" w:noHBand="0" w:noVBand="1"/>
      </w:tblPr>
      <w:tblGrid>
        <w:gridCol w:w="5070"/>
        <w:gridCol w:w="1842"/>
        <w:gridCol w:w="2127"/>
      </w:tblGrid>
      <w:tr w:rsidR="00B00530" w:rsidTr="00B00530">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0530" w:rsidRPr="002622B6" w:rsidRDefault="00B00530">
            <w:pPr>
              <w:pStyle w:val="Bezmezer"/>
              <w:spacing w:line="360" w:lineRule="auto"/>
              <w:jc w:val="center"/>
              <w:rPr>
                <w:rStyle w:val="Hypertextovodkaz"/>
                <w:rFonts w:ascii="Tahoma" w:hAnsi="Tahoma" w:cs="Tahoma"/>
                <w:b/>
                <w:bCs/>
                <w:color w:val="000000" w:themeColor="text1"/>
                <w:kern w:val="36"/>
              </w:rPr>
            </w:pPr>
            <w:r w:rsidRPr="002622B6">
              <w:rPr>
                <w:rStyle w:val="Hypertextovodkaz"/>
                <w:rFonts w:ascii="Tahoma" w:hAnsi="Tahoma" w:cs="Tahoma"/>
                <w:b/>
                <w:bCs/>
                <w:color w:val="000000" w:themeColor="text1"/>
                <w:kern w:val="36"/>
                <w:sz w:val="20"/>
                <w:szCs w:val="20"/>
              </w:rPr>
              <w:t xml:space="preserve">Název právního předpisu </w:t>
            </w:r>
          </w:p>
          <w:p w:rsidR="00B00530" w:rsidRPr="002622B6" w:rsidRDefault="00B00530">
            <w:pPr>
              <w:pStyle w:val="Bezmezer"/>
              <w:spacing w:line="360" w:lineRule="auto"/>
              <w:jc w:val="center"/>
              <w:rPr>
                <w:rStyle w:val="Hypertextovodkaz"/>
                <w:rFonts w:ascii="Tahoma" w:eastAsia="Times New Roman" w:hAnsi="Tahoma" w:cs="Tahoma"/>
                <w:b/>
                <w:bCs/>
                <w:color w:val="000000" w:themeColor="text1"/>
                <w:kern w:val="36"/>
                <w:sz w:val="20"/>
                <w:szCs w:val="20"/>
                <w:u w:val="none"/>
              </w:rPr>
            </w:pPr>
            <w:r w:rsidRPr="002622B6">
              <w:rPr>
                <w:rStyle w:val="Hypertextovodkaz"/>
                <w:rFonts w:ascii="Tahoma" w:hAnsi="Tahoma" w:cs="Tahoma"/>
                <w:b/>
                <w:bCs/>
                <w:color w:val="000000" w:themeColor="text1"/>
                <w:kern w:val="36"/>
                <w:sz w:val="20"/>
                <w:szCs w:val="20"/>
              </w:rPr>
              <w:t>z legislativního plánu</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0530" w:rsidRDefault="00B00530">
            <w:pPr>
              <w:pStyle w:val="Bezmezer"/>
              <w:spacing w:line="360" w:lineRule="auto"/>
              <w:jc w:val="center"/>
              <w:rPr>
                <w:rStyle w:val="Hypertextovodkaz"/>
                <w:rFonts w:ascii="Tahoma" w:eastAsia="Times New Roman" w:hAnsi="Tahoma" w:cs="Tahoma"/>
                <w:b/>
                <w:bCs/>
                <w:color w:val="000000" w:themeColor="text1"/>
                <w:kern w:val="36"/>
              </w:rPr>
            </w:pPr>
            <w:r>
              <w:rPr>
                <w:rStyle w:val="Hypertextovodkaz"/>
                <w:rFonts w:ascii="Tahoma" w:hAnsi="Tahoma" w:cs="Tahoma"/>
                <w:b/>
                <w:bCs/>
                <w:color w:val="000000" w:themeColor="text1"/>
                <w:kern w:val="36"/>
                <w:sz w:val="20"/>
                <w:szCs w:val="20"/>
              </w:rPr>
              <w:t>Odpovědný útvar</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0530" w:rsidRDefault="00B00530">
            <w:pPr>
              <w:pStyle w:val="Bezmezer"/>
              <w:spacing w:line="360" w:lineRule="auto"/>
              <w:jc w:val="center"/>
              <w:rPr>
                <w:rStyle w:val="Hypertextovodkaz"/>
                <w:rFonts w:ascii="Tahoma" w:eastAsia="Times New Roman" w:hAnsi="Tahoma" w:cs="Tahoma"/>
                <w:b/>
                <w:bCs/>
                <w:color w:val="000000" w:themeColor="text1"/>
                <w:kern w:val="36"/>
              </w:rPr>
            </w:pPr>
            <w:r>
              <w:rPr>
                <w:rStyle w:val="Hypertextovodkaz"/>
                <w:rFonts w:ascii="Tahoma" w:hAnsi="Tahoma" w:cs="Tahoma"/>
                <w:b/>
                <w:bCs/>
                <w:color w:val="000000" w:themeColor="text1"/>
                <w:kern w:val="36"/>
                <w:sz w:val="20"/>
                <w:szCs w:val="20"/>
              </w:rPr>
              <w:t>Předpokládaný termín předložení</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370/2017 Sb., o platebním styku, ve znění zákona č. 5/2019 Sb.</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FÚ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406/2000 Sb., o hospodaření energií,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HSE</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480/2004 Sb., o některých službách informační společnosti a o změně některých zákonů (zákon o některých službách informační společnosti),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stavebního zákona</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některé zákony v souvislosti s přijetím stavebního zákona</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kterým se mění nařízení vlády č. 481/2012 Sb., o omezení používání některých nebezpečných látek v elektrických a elektronických zařízeních,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HSE</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2/2020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353/2003 Sb., o spotřebních daních,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FÚ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3/2020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127/2005 Sb., o elektronických komunikacích a o změně některých souvisejících zákonů (zákon o elektronických komunikacích),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3/2020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kterým se mění nařízení vlády č. 145/2008 Sb., kterým se stanoví seznam znečišťujících látek a prahových hodnot a údaje požadované pro ohlašování do integrovaného registru znečišťování životního prostředí, ve znění nařízení vlády č. 450/2011 Sb.</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HSE</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3/2020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 xml:space="preserve">Návrh zákona, kterým se mění zákon č. 143/2001 Sb., o ochraně hospodářské soutěže a o změně některých zákonů (zákon o ochraně hospodářské soutěže), ve </w:t>
            </w:r>
            <w:r w:rsidRPr="002622B6">
              <w:rPr>
                <w:rStyle w:val="Hypertextovodkaz"/>
                <w:rFonts w:ascii="Arial" w:hAnsi="Arial" w:cs="Arial"/>
                <w:bCs/>
                <w:color w:val="000000" w:themeColor="text1"/>
                <w:kern w:val="36"/>
                <w:sz w:val="20"/>
                <w:szCs w:val="20"/>
                <w:u w:val="none"/>
              </w:rPr>
              <w:lastRenderedPageBreak/>
              <w:t>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lastRenderedPageBreak/>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5/2020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lastRenderedPageBreak/>
              <w:t>Věcný záměr zákona o účetnictví</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FÚ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6/2020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118/2000 Sb., o ochraně zaměstnanců při platební neschopnosti zaměstnavatele a o změně některých zákonů,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6/2020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582/1991 Sb., o organizaci a provádění sociálního zabezpečení,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OŘLZ</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6/2020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134/2016 Sb., o zadávání veřejných zakázek,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6/2020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o podpoře nízkoemisních a bezemisních silničních vozidel</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6/2020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o poskytování finančních kompenzací nepřímých nákladů pro odvětví, u kterých bylo zjištěno značné riziko úniku uhlíku v důsledku promítnutí nákladů spojených s emisemi do cen elektřiny</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6/2020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182/2006 Sb., o úpadku a způsobech jeho řešení (insolvenční zákon), ve znění pozdějších předpisů, a některé další zákony</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7/2020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o stanovení prostředků státního rozpočtu podle § 28 odst. 3 zákona o podporovaných zdrojích energie pro rok 2021</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PÚ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8/2020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181/2014 Sb., o kybernetické bezpečnosti a o změně souvisejících zákonů (zákon o kybernetické bezpečnosti),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OIT</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106/1999 Sb., o svobodném přístupu k informacím, ve znění pozdějších předpisů, a další související zákony</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právní úpravy implementující a adaptující právní řád České republiky na energetický legislativní balíček EU – Čistá energie pro všechny Evropany</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 xml:space="preserve">Návrh zákona, kterým se mění zákon č. 311/2006 Sb., o pohonných hmotách a čerpacích stanicích pohonných hmot a o změně některých souvisejících zákonů (zákon o pohonných hmotách), ve znění </w:t>
            </w:r>
            <w:r w:rsidRPr="002622B6">
              <w:rPr>
                <w:rStyle w:val="Hypertextovodkaz"/>
                <w:rFonts w:ascii="Arial" w:hAnsi="Arial" w:cs="Arial"/>
                <w:bCs/>
                <w:color w:val="000000" w:themeColor="text1"/>
                <w:kern w:val="36"/>
                <w:sz w:val="20"/>
                <w:szCs w:val="20"/>
                <w:u w:val="none"/>
              </w:rPr>
              <w:lastRenderedPageBreak/>
              <w:t>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lastRenderedPageBreak/>
              <w:t>OÚ/OČS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lastRenderedPageBreak/>
              <w:t>Návrh zákona, kterým se mění zákon č. 121/2000 Sb., o právu autorském, o právech souvisejících s právem autorským a o změně některých zákonů (autorský zákon), ve znění pozdějších předpisů, a zákon č. 89/2012 Sb., občanský zákoník,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o ochraně oznamovatelů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OIA</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některé zákony v souvislosti s přijetím zákona o ochraně oznamovatelů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OIA</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kterým se mění nařízení vlády č. 361/2007 Sb., kterým se stanoví podmínky ochrany zdraví při práci,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HSE</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kterým se mění nařízení vlády č. 189/2018 Sb., o kritériích udržitelnosti biopaliv a snižování emisí skleníkových plynů z pohonných hmot</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9/2020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kterým se mění nařízení vlády č. 522/2005 Sb., kterým se stanoví seznam utajovaných informací,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OBIA</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10/2020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Věcný záměr energetického zákona</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OPS/PÚ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10/2020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OŘLZ</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10/2020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o omezení dopadu některých plastových výrobků na životní prostředí</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HSE</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10/2020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nařízení vlády o úpravě náhrady za ztrátu na výdělku po skončení pracovní neschopnosti vzniklé pracovním úrazem nebo nemocí z povolání a o úpravě náhrady nákladů na výživu pozůstalých podle pracovněprávních předpisů (nařízení o úpravě náhrady)</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OŘLZ</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Návrh zákona, kterým se mění zákon č. 304/2013 Sb., o veřejných rejstřících právnických a fyzických osob a o evidenci svěřenských fondů, ve znění pozdějších předpisů, a některé další zákony</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11/2020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t xml:space="preserve">Návrh zákona, kterým se mění zákon č. 97/1993 Sb., o působnosti Správy státních hmotných rezerv, ve </w:t>
            </w:r>
            <w:r w:rsidRPr="002622B6">
              <w:rPr>
                <w:rStyle w:val="Hypertextovodkaz"/>
                <w:rFonts w:ascii="Arial" w:hAnsi="Arial" w:cs="Arial"/>
                <w:bCs/>
                <w:color w:val="000000" w:themeColor="text1"/>
                <w:kern w:val="36"/>
                <w:sz w:val="20"/>
                <w:szCs w:val="20"/>
                <w:u w:val="none"/>
              </w:rPr>
              <w:lastRenderedPageBreak/>
              <w:t>znění pozdějších předpisů, a zákon č. 241/2000 Sb., o hospodářských opatřeních pro krizové stavy a o změně některých souvisejících zákonů, ve znění pozdějších předpisů</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lastRenderedPageBreak/>
              <w:t>OÚ</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12/2020</w:t>
            </w:r>
          </w:p>
        </w:tc>
      </w:tr>
      <w:tr w:rsidR="00B00530" w:rsidTr="00B00530">
        <w:tc>
          <w:tcPr>
            <w:tcW w:w="5070" w:type="dxa"/>
            <w:tcBorders>
              <w:top w:val="single" w:sz="4" w:space="0" w:color="auto"/>
              <w:left w:val="single" w:sz="4" w:space="0" w:color="auto"/>
              <w:bottom w:val="single" w:sz="4" w:space="0" w:color="auto"/>
              <w:right w:val="single" w:sz="4" w:space="0" w:color="auto"/>
            </w:tcBorders>
            <w:hideMark/>
          </w:tcPr>
          <w:p w:rsidR="00B00530" w:rsidRPr="002622B6" w:rsidRDefault="00B00530">
            <w:pPr>
              <w:pStyle w:val="Bezmezer"/>
              <w:spacing w:line="360" w:lineRule="auto"/>
              <w:rPr>
                <w:rStyle w:val="Hypertextovodkaz"/>
                <w:rFonts w:ascii="Arial" w:eastAsia="Times New Roman" w:hAnsi="Arial" w:cs="Arial"/>
                <w:bCs/>
                <w:color w:val="000000" w:themeColor="text1"/>
                <w:kern w:val="36"/>
                <w:u w:val="none"/>
              </w:rPr>
            </w:pPr>
            <w:r w:rsidRPr="002622B6">
              <w:rPr>
                <w:rStyle w:val="Hypertextovodkaz"/>
                <w:rFonts w:ascii="Arial" w:hAnsi="Arial" w:cs="Arial"/>
                <w:bCs/>
                <w:color w:val="000000" w:themeColor="text1"/>
                <w:kern w:val="36"/>
                <w:sz w:val="20"/>
                <w:szCs w:val="20"/>
                <w:u w:val="none"/>
              </w:rPr>
              <w:lastRenderedPageBreak/>
              <w:t>Věcný záměr zákona o vyvlastnění</w:t>
            </w:r>
          </w:p>
        </w:tc>
        <w:tc>
          <w:tcPr>
            <w:tcW w:w="1842"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OPS</w:t>
            </w:r>
          </w:p>
        </w:tc>
        <w:tc>
          <w:tcPr>
            <w:tcW w:w="2127" w:type="dxa"/>
            <w:tcBorders>
              <w:top w:val="single" w:sz="4" w:space="0" w:color="auto"/>
              <w:left w:val="single" w:sz="4" w:space="0" w:color="auto"/>
              <w:bottom w:val="single" w:sz="4" w:space="0" w:color="auto"/>
              <w:right w:val="single" w:sz="4" w:space="0" w:color="auto"/>
            </w:tcBorders>
            <w:hideMark/>
          </w:tcPr>
          <w:p w:rsidR="00B00530" w:rsidRDefault="00B00530">
            <w:pPr>
              <w:pStyle w:val="Bezmezer"/>
              <w:spacing w:line="360" w:lineRule="auto"/>
              <w:jc w:val="center"/>
              <w:rPr>
                <w:rStyle w:val="Hypertextovodkaz"/>
                <w:rFonts w:ascii="Arial" w:eastAsia="Times New Roman" w:hAnsi="Arial" w:cs="Arial"/>
                <w:bCs/>
                <w:color w:val="000000" w:themeColor="text1"/>
                <w:kern w:val="36"/>
              </w:rPr>
            </w:pPr>
            <w:r>
              <w:rPr>
                <w:rStyle w:val="Hypertextovodkaz"/>
                <w:rFonts w:ascii="Arial" w:hAnsi="Arial" w:cs="Arial"/>
                <w:bCs/>
                <w:color w:val="000000" w:themeColor="text1"/>
                <w:kern w:val="36"/>
                <w:sz w:val="20"/>
                <w:szCs w:val="20"/>
              </w:rPr>
              <w:t>12/2020</w:t>
            </w:r>
          </w:p>
        </w:tc>
      </w:tr>
    </w:tbl>
    <w:p w:rsidR="00B00530" w:rsidRPr="00BC309F" w:rsidRDefault="00B00530" w:rsidP="00BC30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B00530" w:rsidRPr="00BC309F"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81D" w:rsidRDefault="007B181D" w:rsidP="004F17ED">
      <w:pPr>
        <w:spacing w:after="0" w:line="240" w:lineRule="auto"/>
      </w:pPr>
      <w:r>
        <w:separator/>
      </w:r>
    </w:p>
  </w:endnote>
  <w:endnote w:type="continuationSeparator" w:id="0">
    <w:p w:rsidR="007B181D" w:rsidRDefault="007B18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DD321B">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DD321B">
              <w:rPr>
                <w:rFonts w:ascii="Tahoma" w:hAnsi="Tahoma" w:cs="Tahoma"/>
                <w:b/>
                <w:bCs/>
                <w:noProof/>
                <w:sz w:val="16"/>
                <w:szCs w:val="16"/>
              </w:rPr>
              <w:t>9</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81D" w:rsidRDefault="007B181D" w:rsidP="004F17ED">
      <w:pPr>
        <w:spacing w:after="0" w:line="240" w:lineRule="auto"/>
      </w:pPr>
      <w:r>
        <w:separator/>
      </w:r>
    </w:p>
  </w:footnote>
  <w:footnote w:type="continuationSeparator" w:id="0">
    <w:p w:rsidR="007B181D" w:rsidRDefault="007B18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7A35FF3"/>
    <w:multiLevelType w:val="hybridMultilevel"/>
    <w:tmpl w:val="6BF06976"/>
    <w:lvl w:ilvl="0" w:tplc="828CC606">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27B57A6C"/>
    <w:multiLevelType w:val="hybridMultilevel"/>
    <w:tmpl w:val="FF3415B4"/>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40484290"/>
    <w:multiLevelType w:val="hybridMultilevel"/>
    <w:tmpl w:val="7F321A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0AA78DE"/>
    <w:multiLevelType w:val="hybridMultilevel"/>
    <w:tmpl w:val="50788FA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553013"/>
    <w:multiLevelType w:val="hybridMultilevel"/>
    <w:tmpl w:val="AE0EF1D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7C33C7D"/>
    <w:multiLevelType w:val="hybridMultilevel"/>
    <w:tmpl w:val="84763E00"/>
    <w:lvl w:ilvl="0" w:tplc="04050005">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6">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7">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53570314"/>
    <w:multiLevelType w:val="hybridMultilevel"/>
    <w:tmpl w:val="3A0C4520"/>
    <w:lvl w:ilvl="0" w:tplc="4ACCED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B187ECD"/>
    <w:multiLevelType w:val="hybridMultilevel"/>
    <w:tmpl w:val="C19CF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127375"/>
    <w:multiLevelType w:val="hybridMultilevel"/>
    <w:tmpl w:val="245C3772"/>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CAD095C"/>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140C7B"/>
    <w:multiLevelType w:val="hybridMultilevel"/>
    <w:tmpl w:val="A58A29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A2667C7"/>
    <w:multiLevelType w:val="hybridMultilevel"/>
    <w:tmpl w:val="9DB0DAEA"/>
    <w:lvl w:ilvl="0" w:tplc="2988D18C">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E31750F"/>
    <w:multiLevelType w:val="hybridMultilevel"/>
    <w:tmpl w:val="7F321A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7"/>
  </w:num>
  <w:num w:numId="3">
    <w:abstractNumId w:val="21"/>
  </w:num>
  <w:num w:numId="4">
    <w:abstractNumId w:val="11"/>
  </w:num>
  <w:num w:numId="5">
    <w:abstractNumId w:val="10"/>
  </w:num>
  <w:num w:numId="6">
    <w:abstractNumId w:val="14"/>
  </w:num>
  <w:num w:numId="7">
    <w:abstractNumId w:val="42"/>
  </w:num>
  <w:num w:numId="8">
    <w:abstractNumId w:val="13"/>
  </w:num>
  <w:num w:numId="9">
    <w:abstractNumId w:val="47"/>
  </w:num>
  <w:num w:numId="10">
    <w:abstractNumId w:val="34"/>
  </w:num>
  <w:num w:numId="11">
    <w:abstractNumId w:val="41"/>
  </w:num>
  <w:num w:numId="12">
    <w:abstractNumId w:val="3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5"/>
  </w:num>
  <w:num w:numId="24">
    <w:abstractNumId w:val="20"/>
  </w:num>
  <w:num w:numId="25">
    <w:abstractNumId w:val="17"/>
  </w:num>
  <w:num w:numId="26">
    <w:abstractNumId w:val="44"/>
  </w:num>
  <w:num w:numId="27">
    <w:abstractNumId w:val="36"/>
  </w:num>
  <w:num w:numId="28">
    <w:abstractNumId w:val="16"/>
  </w:num>
  <w:num w:numId="29">
    <w:abstractNumId w:val="35"/>
  </w:num>
  <w:num w:numId="30">
    <w:abstractNumId w:val="30"/>
  </w:num>
  <w:num w:numId="31">
    <w:abstractNumId w:val="22"/>
  </w:num>
  <w:num w:numId="32">
    <w:abstractNumId w:val="25"/>
  </w:num>
  <w:num w:numId="33">
    <w:abstractNumId w:val="26"/>
  </w:num>
  <w:num w:numId="34">
    <w:abstractNumId w:val="40"/>
  </w:num>
  <w:num w:numId="35">
    <w:abstractNumId w:val="31"/>
  </w:num>
  <w:num w:numId="36">
    <w:abstractNumId w:val="37"/>
  </w:num>
  <w:num w:numId="37">
    <w:abstractNumId w:val="39"/>
  </w:num>
  <w:num w:numId="38">
    <w:abstractNumId w:val="12"/>
  </w:num>
  <w:num w:numId="39">
    <w:abstractNumId w:val="45"/>
  </w:num>
  <w:num w:numId="40">
    <w:abstractNumId w:val="43"/>
  </w:num>
  <w:num w:numId="41">
    <w:abstractNumId w:val="29"/>
  </w:num>
  <w:num w:numId="42">
    <w:abstractNumId w:val="32"/>
  </w:num>
  <w:num w:numId="43">
    <w:abstractNumId w:val="46"/>
  </w:num>
  <w:num w:numId="44">
    <w:abstractNumId w:val="19"/>
  </w:num>
  <w:num w:numId="45">
    <w:abstractNumId w:val="24"/>
  </w:num>
  <w:num w:numId="46">
    <w:abstractNumId w:val="18"/>
  </w:num>
  <w:num w:numId="47">
    <w:abstractNumId w:val="33"/>
  </w:num>
  <w:num w:numId="48">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5322"/>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22B6"/>
    <w:rsid w:val="00263CDC"/>
    <w:rsid w:val="002738A3"/>
    <w:rsid w:val="00276A8C"/>
    <w:rsid w:val="00276F8F"/>
    <w:rsid w:val="00283D2E"/>
    <w:rsid w:val="0028484D"/>
    <w:rsid w:val="0028797B"/>
    <w:rsid w:val="00292D21"/>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4748"/>
    <w:rsid w:val="002F57E7"/>
    <w:rsid w:val="002F798B"/>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0E8C"/>
    <w:rsid w:val="004D207B"/>
    <w:rsid w:val="004D224F"/>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3323"/>
    <w:rsid w:val="00655121"/>
    <w:rsid w:val="00656175"/>
    <w:rsid w:val="00660572"/>
    <w:rsid w:val="00661CF8"/>
    <w:rsid w:val="006621B9"/>
    <w:rsid w:val="00664BFA"/>
    <w:rsid w:val="00681668"/>
    <w:rsid w:val="006819A4"/>
    <w:rsid w:val="00685036"/>
    <w:rsid w:val="00687E51"/>
    <w:rsid w:val="0069081D"/>
    <w:rsid w:val="006909A9"/>
    <w:rsid w:val="00692BAF"/>
    <w:rsid w:val="00692C0F"/>
    <w:rsid w:val="00695978"/>
    <w:rsid w:val="00696326"/>
    <w:rsid w:val="006A0A7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07AF"/>
    <w:rsid w:val="006D2E1E"/>
    <w:rsid w:val="006D437B"/>
    <w:rsid w:val="006D468C"/>
    <w:rsid w:val="006D487E"/>
    <w:rsid w:val="006E09B3"/>
    <w:rsid w:val="006E28CD"/>
    <w:rsid w:val="006E57D1"/>
    <w:rsid w:val="006F2E08"/>
    <w:rsid w:val="006F443D"/>
    <w:rsid w:val="00701B95"/>
    <w:rsid w:val="00703EE5"/>
    <w:rsid w:val="00706A9F"/>
    <w:rsid w:val="00707206"/>
    <w:rsid w:val="0071067F"/>
    <w:rsid w:val="00711675"/>
    <w:rsid w:val="00711F19"/>
    <w:rsid w:val="007148E4"/>
    <w:rsid w:val="00715A6F"/>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70F"/>
    <w:rsid w:val="00785AB4"/>
    <w:rsid w:val="00790364"/>
    <w:rsid w:val="007955A3"/>
    <w:rsid w:val="007957FF"/>
    <w:rsid w:val="0079795D"/>
    <w:rsid w:val="007A56F5"/>
    <w:rsid w:val="007A7BE0"/>
    <w:rsid w:val="007B181D"/>
    <w:rsid w:val="007B7559"/>
    <w:rsid w:val="007C0E18"/>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0D3D"/>
    <w:rsid w:val="00801E54"/>
    <w:rsid w:val="008020EA"/>
    <w:rsid w:val="0080530B"/>
    <w:rsid w:val="008105BA"/>
    <w:rsid w:val="00812AEE"/>
    <w:rsid w:val="008165E7"/>
    <w:rsid w:val="0081766C"/>
    <w:rsid w:val="00817BD5"/>
    <w:rsid w:val="00822C34"/>
    <w:rsid w:val="008230B0"/>
    <w:rsid w:val="0082325F"/>
    <w:rsid w:val="0082596B"/>
    <w:rsid w:val="00825F05"/>
    <w:rsid w:val="00825F8D"/>
    <w:rsid w:val="0082635A"/>
    <w:rsid w:val="00831890"/>
    <w:rsid w:val="00832D57"/>
    <w:rsid w:val="00833FA6"/>
    <w:rsid w:val="00836110"/>
    <w:rsid w:val="0083799C"/>
    <w:rsid w:val="00844B2A"/>
    <w:rsid w:val="008472B6"/>
    <w:rsid w:val="00847B08"/>
    <w:rsid w:val="00852426"/>
    <w:rsid w:val="00852FD0"/>
    <w:rsid w:val="008559F5"/>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4CC7"/>
    <w:rsid w:val="008E77C3"/>
    <w:rsid w:val="008E7880"/>
    <w:rsid w:val="008F311F"/>
    <w:rsid w:val="008F3BD2"/>
    <w:rsid w:val="008F3C49"/>
    <w:rsid w:val="008F5B58"/>
    <w:rsid w:val="00900A97"/>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378A5"/>
    <w:rsid w:val="00A40D88"/>
    <w:rsid w:val="00A40EF3"/>
    <w:rsid w:val="00A425CF"/>
    <w:rsid w:val="00A4328E"/>
    <w:rsid w:val="00A46354"/>
    <w:rsid w:val="00A468CE"/>
    <w:rsid w:val="00A4785C"/>
    <w:rsid w:val="00A47F34"/>
    <w:rsid w:val="00A50243"/>
    <w:rsid w:val="00A50ED0"/>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B2AC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70A1"/>
    <w:rsid w:val="00C47E3E"/>
    <w:rsid w:val="00C50A52"/>
    <w:rsid w:val="00C55B8C"/>
    <w:rsid w:val="00C57BCD"/>
    <w:rsid w:val="00C619D5"/>
    <w:rsid w:val="00C63AD4"/>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8C8"/>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321B"/>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205D"/>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5A9F-D287-4A1A-B460-7DBA8044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2137</Words>
  <Characters>12610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2020-01-09T16:06:00Z</cp:lastPrinted>
  <dcterms:created xsi:type="dcterms:W3CDTF">2020-01-21T08:46:00Z</dcterms:created>
  <dcterms:modified xsi:type="dcterms:W3CDTF">2020-01-21T08:46:00Z</dcterms:modified>
</cp:coreProperties>
</file>