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-768212</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072A50"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LISTOPAD</w:t>
      </w:r>
      <w:r w:rsidR="00D232D6">
        <w:rPr>
          <w:rFonts w:ascii="Tahoma" w:hAnsi="Tahoma" w:cs="Tahoma"/>
          <w:b/>
          <w:color w:val="000000" w:themeColor="text1"/>
          <w:sz w:val="32"/>
          <w:szCs w:val="20"/>
        </w:rPr>
        <w:t xml:space="preserve"> </w:t>
      </w:r>
      <w:r w:rsidR="00247A69">
        <w:rPr>
          <w:rFonts w:ascii="Tahoma" w:hAnsi="Tahoma" w:cs="Tahoma"/>
          <w:b/>
          <w:color w:val="000000" w:themeColor="text1"/>
          <w:sz w:val="32"/>
          <w:szCs w:val="20"/>
        </w:rPr>
        <w:t>2019</w:t>
      </w:r>
    </w:p>
    <w:p w:rsidR="00C20B2E" w:rsidRDefault="00C20B2E" w:rsidP="009B2451">
      <w:pPr>
        <w:pStyle w:val="Bezmezer"/>
        <w:spacing w:line="360" w:lineRule="auto"/>
        <w:jc w:val="center"/>
        <w:rPr>
          <w:rFonts w:ascii="Tahoma" w:hAnsi="Tahoma" w:cs="Tahoma"/>
          <w:b/>
          <w:color w:val="000000" w:themeColor="text1"/>
          <w:sz w:val="20"/>
          <w:szCs w:val="20"/>
        </w:rPr>
      </w:pPr>
    </w:p>
    <w:p w:rsidR="00BC309F" w:rsidRPr="00BC309F" w:rsidRDefault="00BC309F" w:rsidP="009B2451">
      <w:pPr>
        <w:pStyle w:val="Bezmezer"/>
        <w:spacing w:line="360" w:lineRule="auto"/>
        <w:jc w:val="center"/>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852426" w:rsidRDefault="00072A50" w:rsidP="00BC309F">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Nařízení vlády č. 321/2019, o úpravě náhrady za ztrátu na výdělku po skončení pracovní neschopnosti vzniklé pracovním úrazem nebo nemocí z povolání a o úpravě náhrady nákladů na výživu pozůstalých podle pracovněprávních předpisů</w:t>
      </w:r>
    </w:p>
    <w:p w:rsidR="00852426" w:rsidRPr="00721B7D" w:rsidRDefault="00C20B2E" w:rsidP="00C20B2E">
      <w:pPr>
        <w:pStyle w:val="Bezmezer"/>
        <w:spacing w:line="360" w:lineRule="auto"/>
        <w:ind w:left="1070"/>
        <w:jc w:val="both"/>
        <w:rPr>
          <w:rFonts w:ascii="Tahoma" w:hAnsi="Tahoma" w:cs="Tahoma"/>
          <w:color w:val="000000" w:themeColor="text1"/>
          <w:sz w:val="20"/>
          <w:szCs w:val="20"/>
        </w:rPr>
      </w:pPr>
      <w:r w:rsidRPr="00721B7D">
        <w:rPr>
          <w:rFonts w:ascii="Tahoma" w:hAnsi="Tahoma" w:cs="Tahoma"/>
          <w:color w:val="000000" w:themeColor="text1"/>
          <w:sz w:val="20"/>
          <w:szCs w:val="20"/>
        </w:rPr>
        <w:t xml:space="preserve"> </w:t>
      </w:r>
    </w:p>
    <w:p w:rsidR="00661CF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0B6E81" w:rsidRDefault="000B6E81"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Výstupy</w:t>
      </w:r>
    </w:p>
    <w:p w:rsidR="00072A50" w:rsidRDefault="00C20B2E" w:rsidP="00BC309F">
      <w:pPr>
        <w:pStyle w:val="Bezmezer"/>
        <w:numPr>
          <w:ilvl w:val="0"/>
          <w:numId w:val="2"/>
        </w:numPr>
        <w:spacing w:line="360" w:lineRule="auto"/>
        <w:jc w:val="both"/>
        <w:rPr>
          <w:rFonts w:ascii="Tahoma" w:hAnsi="Tahoma" w:cs="Tahoma"/>
          <w:color w:val="000000" w:themeColor="text1"/>
          <w:sz w:val="20"/>
          <w:szCs w:val="20"/>
        </w:rPr>
      </w:pPr>
      <w:r w:rsidRPr="00C20B2E">
        <w:rPr>
          <w:rFonts w:ascii="Tahoma" w:hAnsi="Tahoma" w:cs="Tahoma"/>
          <w:color w:val="000000" w:themeColor="text1"/>
          <w:sz w:val="20"/>
          <w:szCs w:val="20"/>
        </w:rPr>
        <w:t>Návrh zákona, kterým se mění zákon č. 111/1994 Sb., o silniční dopravě, ve znění pozdějších předpisů, a další související zákony</w:t>
      </w:r>
    </w:p>
    <w:p w:rsidR="00C20B2E" w:rsidRPr="00C20B2E" w:rsidRDefault="00C20B2E" w:rsidP="00BC309F">
      <w:pPr>
        <w:pStyle w:val="Bezmezer"/>
        <w:numPr>
          <w:ilvl w:val="0"/>
          <w:numId w:val="2"/>
        </w:numPr>
        <w:spacing w:line="360" w:lineRule="auto"/>
        <w:jc w:val="both"/>
        <w:rPr>
          <w:rFonts w:ascii="Tahoma" w:hAnsi="Tahoma" w:cs="Tahoma"/>
          <w:color w:val="000000" w:themeColor="text1"/>
          <w:sz w:val="20"/>
          <w:szCs w:val="20"/>
        </w:rPr>
      </w:pPr>
      <w:r w:rsidRPr="00C20B2E">
        <w:rPr>
          <w:rFonts w:ascii="Tahoma" w:hAnsi="Tahoma" w:cs="Tahoma"/>
          <w:color w:val="000000" w:themeColor="text1"/>
          <w:sz w:val="20"/>
          <w:szCs w:val="20"/>
        </w:rPr>
        <w:t>Návrh zákona, kterým se zrušuje zákonné opatření Senátu č. 340/2013 Sb., o dani z nabytí nemovitých věcí</w:t>
      </w:r>
    </w:p>
    <w:p w:rsidR="00C20B2E" w:rsidRDefault="00C20B2E" w:rsidP="00BC309F">
      <w:pPr>
        <w:pStyle w:val="Bezmezer"/>
        <w:numPr>
          <w:ilvl w:val="0"/>
          <w:numId w:val="2"/>
        </w:numPr>
        <w:spacing w:line="360" w:lineRule="auto"/>
        <w:jc w:val="both"/>
        <w:rPr>
          <w:rFonts w:ascii="Tahoma" w:hAnsi="Tahoma" w:cs="Tahoma"/>
          <w:color w:val="000000" w:themeColor="text1"/>
          <w:sz w:val="20"/>
          <w:szCs w:val="20"/>
        </w:rPr>
      </w:pPr>
      <w:r w:rsidRPr="00C20B2E">
        <w:rPr>
          <w:rFonts w:ascii="Tahoma" w:hAnsi="Tahoma" w:cs="Tahoma"/>
          <w:color w:val="000000" w:themeColor="text1"/>
          <w:sz w:val="20"/>
          <w:szCs w:val="20"/>
        </w:rPr>
        <w:t>Návrh nařízení vlády, kterým se mění nařízení vlády č. 172/2016 Sb., o stanovení finančních limitů a částek pro účely zákona o zadávání veřejných zakázek</w:t>
      </w:r>
    </w:p>
    <w:p w:rsidR="00072A50" w:rsidRPr="006621B9" w:rsidRDefault="006621B9" w:rsidP="006621B9">
      <w:pPr>
        <w:pStyle w:val="Bezmezer"/>
        <w:numPr>
          <w:ilvl w:val="0"/>
          <w:numId w:val="2"/>
        </w:numPr>
        <w:spacing w:line="360" w:lineRule="auto"/>
        <w:jc w:val="both"/>
        <w:rPr>
          <w:rFonts w:ascii="Tahoma" w:hAnsi="Tahoma" w:cs="Tahoma"/>
          <w:color w:val="000000" w:themeColor="text1"/>
          <w:sz w:val="20"/>
          <w:szCs w:val="20"/>
        </w:rPr>
      </w:pPr>
      <w:r w:rsidRPr="006621B9">
        <w:rPr>
          <w:rFonts w:ascii="Tahoma" w:hAnsi="Tahoma" w:cs="Tahoma"/>
          <w:color w:val="000000" w:themeColor="text1"/>
          <w:sz w:val="20"/>
          <w:szCs w:val="20"/>
        </w:rPr>
        <w:t>Návrh novely</w:t>
      </w:r>
      <w:r>
        <w:rPr>
          <w:rFonts w:ascii="Tahoma" w:hAnsi="Tahoma" w:cs="Tahoma"/>
          <w:color w:val="000000" w:themeColor="text1"/>
          <w:sz w:val="20"/>
          <w:szCs w:val="20"/>
        </w:rPr>
        <w:t xml:space="preserve"> zákona č. 90/2012 Sb.,</w:t>
      </w:r>
      <w:r w:rsidRPr="006621B9">
        <w:rPr>
          <w:rFonts w:ascii="Tahoma" w:hAnsi="Tahoma" w:cs="Tahoma"/>
          <w:color w:val="000000" w:themeColor="text1"/>
          <w:sz w:val="20"/>
          <w:szCs w:val="20"/>
        </w:rPr>
        <w:t xml:space="preserve"> o obchodních korporacích</w:t>
      </w:r>
    </w:p>
    <w:p w:rsidR="00852426" w:rsidRPr="001C645F" w:rsidRDefault="00852426" w:rsidP="00852426">
      <w:pPr>
        <w:pStyle w:val="Bezmezer"/>
        <w:spacing w:line="360" w:lineRule="auto"/>
        <w:ind w:left="644"/>
        <w:jc w:val="both"/>
        <w:rPr>
          <w:rFonts w:ascii="Tahoma" w:hAnsi="Tahoma" w:cs="Tahoma"/>
          <w:color w:val="000000" w:themeColor="text1"/>
          <w:sz w:val="20"/>
          <w:szCs w:val="20"/>
        </w:rPr>
      </w:pPr>
    </w:p>
    <w:p w:rsidR="004A3DCA" w:rsidRDefault="004A3DCA"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Zadání</w:t>
      </w:r>
    </w:p>
    <w:p w:rsidR="00F83248" w:rsidRDefault="00C20B2E" w:rsidP="00BC309F">
      <w:pPr>
        <w:pStyle w:val="Bezmezer"/>
        <w:numPr>
          <w:ilvl w:val="0"/>
          <w:numId w:val="2"/>
        </w:numPr>
        <w:spacing w:line="360" w:lineRule="auto"/>
        <w:jc w:val="both"/>
        <w:rPr>
          <w:rFonts w:ascii="Tahoma" w:hAnsi="Tahoma" w:cs="Tahoma"/>
          <w:color w:val="000000" w:themeColor="text1"/>
          <w:sz w:val="20"/>
          <w:szCs w:val="20"/>
        </w:rPr>
      </w:pPr>
      <w:r w:rsidRPr="00C20B2E">
        <w:rPr>
          <w:rFonts w:ascii="Tahoma" w:hAnsi="Tahoma" w:cs="Tahoma"/>
          <w:color w:val="000000" w:themeColor="text1"/>
          <w:sz w:val="20"/>
          <w:szCs w:val="20"/>
        </w:rPr>
        <w:t>Návrh vyhlášky, kterou se mění vyhláška č. 408/2015 Sb., o Pravidlech trhu s elektřinou, ve znění vyhlášky č. 127/2017 Sb.</w:t>
      </w:r>
    </w:p>
    <w:p w:rsidR="00233EF7" w:rsidRDefault="00233EF7" w:rsidP="00233EF7">
      <w:pPr>
        <w:pStyle w:val="Bezmezer"/>
        <w:numPr>
          <w:ilvl w:val="0"/>
          <w:numId w:val="2"/>
        </w:numPr>
        <w:spacing w:line="360" w:lineRule="auto"/>
        <w:jc w:val="both"/>
        <w:rPr>
          <w:rFonts w:ascii="Tahoma" w:hAnsi="Tahoma" w:cs="Tahoma"/>
          <w:color w:val="000000" w:themeColor="text1"/>
          <w:sz w:val="20"/>
          <w:szCs w:val="20"/>
        </w:rPr>
      </w:pPr>
      <w:r w:rsidRPr="00233EF7">
        <w:rPr>
          <w:rFonts w:ascii="Tahoma" w:hAnsi="Tahoma" w:cs="Tahoma"/>
          <w:color w:val="000000" w:themeColor="text1"/>
          <w:sz w:val="20"/>
          <w:szCs w:val="20"/>
        </w:rPr>
        <w:t>Návrh nařízení vlády, kterým se mění nařízení vlády č. 361/2007 Sb., kterým se stanoví podmínky ochrany zdraví při práci, ve znění pozdějších předpisů</w:t>
      </w:r>
    </w:p>
    <w:p w:rsidR="00D64EA6" w:rsidRDefault="00D64EA6" w:rsidP="00BC309F">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Návrh nového stavebního zákona</w:t>
      </w:r>
    </w:p>
    <w:p w:rsidR="006621B9" w:rsidRPr="00CB2B4C" w:rsidRDefault="006621B9" w:rsidP="008E4CC7">
      <w:pPr>
        <w:pStyle w:val="Bezmezer"/>
        <w:spacing w:line="360" w:lineRule="auto"/>
        <w:ind w:left="1070"/>
        <w:jc w:val="both"/>
        <w:rPr>
          <w:rFonts w:ascii="Tahoma" w:hAnsi="Tahoma" w:cs="Tahoma"/>
          <w:color w:val="000000" w:themeColor="text1"/>
          <w:sz w:val="20"/>
          <w:szCs w:val="20"/>
        </w:rPr>
      </w:pPr>
    </w:p>
    <w:p w:rsidR="00BF15EC" w:rsidRPr="00E23EF9" w:rsidRDefault="00E23EF9"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III</w:t>
      </w:r>
      <w:r w:rsidR="00661CF8" w:rsidRPr="00E23EF9">
        <w:rPr>
          <w:rFonts w:ascii="Tahoma" w:hAnsi="Tahoma" w:cs="Tahoma"/>
          <w:b/>
          <w:color w:val="000000" w:themeColor="text1"/>
          <w:sz w:val="24"/>
          <w:szCs w:val="20"/>
        </w:rPr>
        <w:t>. Aktuální judikatura</w:t>
      </w:r>
      <w:r w:rsidR="00161BEA" w:rsidRPr="00E23EF9">
        <w:rPr>
          <w:rFonts w:ascii="Tahoma" w:hAnsi="Tahoma" w:cs="Tahoma"/>
          <w:b/>
          <w:color w:val="000000" w:themeColor="text1"/>
          <w:sz w:val="24"/>
          <w:szCs w:val="20"/>
        </w:rPr>
        <w:t xml:space="preserve"> a stanoviska</w:t>
      </w:r>
    </w:p>
    <w:p w:rsidR="004062C8" w:rsidRDefault="00C20B2E" w:rsidP="00C20B2E">
      <w:pPr>
        <w:pStyle w:val="Bezmezer"/>
        <w:numPr>
          <w:ilvl w:val="0"/>
          <w:numId w:val="2"/>
        </w:numPr>
        <w:spacing w:line="360" w:lineRule="auto"/>
        <w:jc w:val="both"/>
        <w:rPr>
          <w:rFonts w:ascii="Tahoma" w:hAnsi="Tahoma" w:cs="Tahoma"/>
          <w:color w:val="000000" w:themeColor="text1"/>
          <w:sz w:val="20"/>
          <w:szCs w:val="20"/>
        </w:rPr>
      </w:pPr>
      <w:r w:rsidRPr="00C20B2E">
        <w:rPr>
          <w:rFonts w:ascii="Tahoma" w:hAnsi="Tahoma" w:cs="Tahoma"/>
          <w:color w:val="000000" w:themeColor="text1"/>
          <w:sz w:val="20"/>
          <w:szCs w:val="20"/>
        </w:rPr>
        <w:t>Trestní postih jako krajní opatření</w:t>
      </w:r>
    </w:p>
    <w:p w:rsidR="00C20B2E" w:rsidRDefault="00C20B2E" w:rsidP="00C20B2E">
      <w:pPr>
        <w:pStyle w:val="Bezmezer"/>
        <w:numPr>
          <w:ilvl w:val="0"/>
          <w:numId w:val="2"/>
        </w:numPr>
        <w:spacing w:line="360" w:lineRule="auto"/>
        <w:jc w:val="both"/>
        <w:rPr>
          <w:rFonts w:ascii="Tahoma" w:hAnsi="Tahoma" w:cs="Tahoma"/>
          <w:color w:val="000000" w:themeColor="text1"/>
          <w:sz w:val="20"/>
          <w:szCs w:val="20"/>
        </w:rPr>
      </w:pPr>
      <w:r w:rsidRPr="00C20B2E">
        <w:rPr>
          <w:rFonts w:ascii="Tahoma" w:hAnsi="Tahoma" w:cs="Tahoma"/>
          <w:color w:val="000000" w:themeColor="text1"/>
          <w:sz w:val="20"/>
          <w:szCs w:val="20"/>
        </w:rPr>
        <w:t>Podání podnětu k Úřadu pro ochranu hospodářské soutěže nesmí být zpoplatněno</w:t>
      </w:r>
    </w:p>
    <w:p w:rsidR="00C20B2E" w:rsidRDefault="00C20B2E" w:rsidP="00C20B2E">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Překročení zástupčího oprávnění uvedeného v obchodním rejstříku</w:t>
      </w:r>
    </w:p>
    <w:p w:rsidR="00145C1F" w:rsidRDefault="00145C1F" w:rsidP="00C20B2E">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Odložení úhrady kupní ceny po splnění výjimky</w:t>
      </w:r>
    </w:p>
    <w:p w:rsidR="00C20B2E" w:rsidRDefault="00D64EA6" w:rsidP="00C20B2E">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lastRenderedPageBreak/>
        <w:t>Plnění</w:t>
      </w:r>
      <w:r w:rsidR="00C20B2E">
        <w:rPr>
          <w:rFonts w:ascii="Tahoma" w:hAnsi="Tahoma" w:cs="Tahoma"/>
          <w:color w:val="000000" w:themeColor="text1"/>
          <w:sz w:val="20"/>
          <w:szCs w:val="20"/>
        </w:rPr>
        <w:t xml:space="preserve"> smlouvy o provozu elektronického mýtného </w:t>
      </w:r>
    </w:p>
    <w:p w:rsidR="00BC309F" w:rsidRDefault="00BC309F" w:rsidP="00BC309F">
      <w:pPr>
        <w:pStyle w:val="Bezmezer"/>
        <w:numPr>
          <w:ilvl w:val="0"/>
          <w:numId w:val="2"/>
        </w:numPr>
        <w:spacing w:line="360" w:lineRule="auto"/>
        <w:jc w:val="both"/>
        <w:rPr>
          <w:rFonts w:ascii="Tahoma" w:hAnsi="Tahoma" w:cs="Tahoma"/>
          <w:color w:val="000000" w:themeColor="text1"/>
          <w:sz w:val="20"/>
          <w:szCs w:val="20"/>
        </w:rPr>
      </w:pPr>
      <w:r w:rsidRPr="00BC309F">
        <w:rPr>
          <w:rFonts w:ascii="Tahoma" w:hAnsi="Tahoma" w:cs="Tahoma"/>
          <w:color w:val="000000" w:themeColor="text1"/>
          <w:sz w:val="20"/>
          <w:szCs w:val="20"/>
        </w:rPr>
        <w:t>Povinnost zaměstnance nastoupit do práce k výzvě zaměstnavatele i za trvání sporu o neplatnost výpovědi pro nadbytečnost</w:t>
      </w:r>
    </w:p>
    <w:p w:rsidR="00F83248" w:rsidRDefault="00F83248" w:rsidP="00BD3E76">
      <w:pPr>
        <w:pStyle w:val="Bezmezer"/>
        <w:spacing w:line="360" w:lineRule="auto"/>
        <w:ind w:left="786"/>
        <w:jc w:val="both"/>
        <w:rPr>
          <w:rFonts w:ascii="Tahoma" w:hAnsi="Tahoma" w:cs="Tahoma"/>
          <w:color w:val="000000" w:themeColor="text1"/>
          <w:sz w:val="20"/>
          <w:szCs w:val="20"/>
        </w:rPr>
      </w:pPr>
    </w:p>
    <w:p w:rsidR="006621B9" w:rsidRDefault="006621B9" w:rsidP="00BD3E76">
      <w:pPr>
        <w:pStyle w:val="Bezmezer"/>
        <w:spacing w:line="360" w:lineRule="auto"/>
        <w:ind w:left="78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12462E" w:rsidRDefault="0012462E" w:rsidP="0012462E">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12462E" w:rsidRDefault="006D07AF" w:rsidP="006D07A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6D07AF">
        <w:rPr>
          <w:rStyle w:val="Hypertextovodkaz"/>
          <w:rFonts w:ascii="Tahoma" w:eastAsia="Times New Roman" w:hAnsi="Tahoma" w:cs="Tahoma"/>
          <w:b/>
          <w:bCs/>
          <w:color w:val="000000" w:themeColor="text1"/>
          <w:kern w:val="36"/>
          <w:sz w:val="24"/>
          <w:szCs w:val="24"/>
          <w:u w:val="none"/>
          <w:lang w:eastAsia="cs-CZ"/>
        </w:rPr>
        <w:t>Nařízení vlády č. 321/2019, o úpravě náhrady za ztrátu na výdělku po skončení pracovní neschopnosti vzniklé pracovním úrazem nebo nemocí z povolání a o úpravě náhrady nákladů na výživu pozůstalých podle pracovněprávních předpisů</w:t>
      </w:r>
      <w:r w:rsidR="00D86790">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12462E" w:rsidRDefault="0012462E" w:rsidP="0012462E">
      <w:pPr>
        <w:pStyle w:val="Bezmezer"/>
        <w:spacing w:line="360" w:lineRule="auto"/>
        <w:ind w:left="360"/>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s účinností od </w:t>
      </w:r>
      <w:r w:rsidR="006D07AF">
        <w:rPr>
          <w:rStyle w:val="Hypertextovodkaz"/>
          <w:rFonts w:ascii="Tahoma" w:eastAsia="Times New Roman" w:hAnsi="Tahoma" w:cs="Tahoma"/>
          <w:bCs/>
          <w:color w:val="000000" w:themeColor="text1"/>
          <w:kern w:val="36"/>
          <w:sz w:val="20"/>
          <w:szCs w:val="20"/>
          <w:u w:val="none"/>
          <w:lang w:eastAsia="cs-CZ"/>
        </w:rPr>
        <w:t>1. 1. 2020</w:t>
      </w:r>
    </w:p>
    <w:p w:rsidR="0012462E" w:rsidRDefault="0012462E" w:rsidP="0012462E">
      <w:pPr>
        <w:pStyle w:val="Bezmezer"/>
        <w:spacing w:line="360" w:lineRule="auto"/>
        <w:ind w:left="360"/>
        <w:jc w:val="right"/>
        <w:rPr>
          <w:rStyle w:val="Hypertextovodkaz"/>
          <w:rFonts w:ascii="Tahoma" w:eastAsia="Times New Roman" w:hAnsi="Tahoma" w:cs="Tahoma"/>
          <w:bCs/>
          <w:color w:val="000000" w:themeColor="text1"/>
          <w:kern w:val="36"/>
          <w:sz w:val="20"/>
          <w:szCs w:val="20"/>
          <w:u w:val="none"/>
          <w:lang w:eastAsia="cs-CZ"/>
        </w:rPr>
      </w:pPr>
    </w:p>
    <w:p w:rsidR="00904456" w:rsidRDefault="004D224F" w:rsidP="004D224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Vláda svým nařízením č. 312/2019 Sb. upravila pro rok 2020 </w:t>
      </w:r>
      <w:r w:rsidRPr="004D224F">
        <w:rPr>
          <w:rStyle w:val="Hypertextovodkaz"/>
          <w:rFonts w:ascii="Tahoma" w:eastAsia="Times New Roman" w:hAnsi="Tahoma" w:cs="Tahoma"/>
          <w:bCs/>
          <w:color w:val="000000" w:themeColor="text1"/>
          <w:kern w:val="36"/>
          <w:sz w:val="20"/>
          <w:szCs w:val="20"/>
          <w:u w:val="none"/>
          <w:lang w:eastAsia="cs-CZ"/>
        </w:rPr>
        <w:t>náhrady za ztrátu na výdělku po skončení pracovní neschopnosti vzniklé pracovním úrazem nebo nemocí z povolání a o úpravě náhrady nákladů na výživu pozůstalých podle pracovněprávních předpisů</w:t>
      </w:r>
      <w:r>
        <w:rPr>
          <w:rStyle w:val="Hypertextovodkaz"/>
          <w:rFonts w:ascii="Tahoma" w:eastAsia="Times New Roman" w:hAnsi="Tahoma" w:cs="Tahoma"/>
          <w:bCs/>
          <w:color w:val="000000" w:themeColor="text1"/>
          <w:kern w:val="36"/>
          <w:sz w:val="20"/>
          <w:szCs w:val="20"/>
          <w:u w:val="none"/>
          <w:lang w:eastAsia="cs-CZ"/>
        </w:rPr>
        <w:t>.</w:t>
      </w:r>
    </w:p>
    <w:p w:rsidR="004D224F" w:rsidRDefault="004D224F" w:rsidP="004D224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D224F" w:rsidRDefault="004D224F" w:rsidP="008B62F0">
      <w:pPr>
        <w:pStyle w:val="Bezmezer"/>
        <w:jc w:val="both"/>
        <w:rPr>
          <w:rStyle w:val="Hypertextovodkaz"/>
          <w:rFonts w:ascii="Tahoma" w:eastAsia="Times New Roman" w:hAnsi="Tahoma" w:cs="Tahoma"/>
          <w:bCs/>
          <w:color w:val="000000" w:themeColor="text1"/>
          <w:kern w:val="36"/>
          <w:sz w:val="20"/>
          <w:szCs w:val="20"/>
          <w:u w:val="none"/>
          <w:lang w:eastAsia="cs-CZ"/>
        </w:rPr>
      </w:pPr>
    </w:p>
    <w:p w:rsidR="000B6E81" w:rsidRDefault="000B6E81" w:rsidP="000B6E81">
      <w:pPr>
        <w:pStyle w:val="Bezmezer"/>
        <w:numPr>
          <w:ilvl w:val="0"/>
          <w:numId w:val="33"/>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0B6E81"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D8020C" w:rsidRPr="008E4CC7" w:rsidRDefault="00D8020C" w:rsidP="00FB0278">
      <w:pPr>
        <w:pStyle w:val="Bezmezer"/>
        <w:spacing w:line="360" w:lineRule="auto"/>
        <w:rPr>
          <w:rStyle w:val="Hypertextovodkaz"/>
          <w:rFonts w:ascii="Tahoma" w:eastAsia="Times New Roman" w:hAnsi="Tahoma" w:cs="Tahoma"/>
          <w:b/>
          <w:bCs/>
          <w:i/>
          <w:color w:val="000000" w:themeColor="text1"/>
          <w:kern w:val="36"/>
          <w:sz w:val="24"/>
          <w:szCs w:val="24"/>
          <w:u w:val="none"/>
          <w:lang w:eastAsia="cs-CZ"/>
        </w:rPr>
      </w:pPr>
    </w:p>
    <w:p w:rsidR="006A0A7F" w:rsidRDefault="006A0A7F" w:rsidP="006A0A7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6A0A7F">
        <w:rPr>
          <w:rStyle w:val="Hypertextovodkaz"/>
          <w:rFonts w:ascii="Tahoma" w:eastAsia="Times New Roman" w:hAnsi="Tahoma" w:cs="Tahoma"/>
          <w:b/>
          <w:bCs/>
          <w:color w:val="000000" w:themeColor="text1"/>
          <w:kern w:val="36"/>
          <w:sz w:val="24"/>
          <w:szCs w:val="24"/>
          <w:u w:val="none"/>
          <w:lang w:eastAsia="cs-CZ"/>
        </w:rPr>
        <w:t>Návrh zákona, kterým se mění zákon č. 111/1994 Sb., o silniční dopravě, ve znění pozdějších předpisů, a další související zákony</w:t>
      </w:r>
    </w:p>
    <w:p w:rsidR="00101448" w:rsidRPr="006A0A7F" w:rsidRDefault="00D86790" w:rsidP="006A0A7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101448" w:rsidRDefault="006A0A7F" w:rsidP="006A0A7F">
      <w:pPr>
        <w:pStyle w:val="Bezmezer"/>
        <w:spacing w:line="360" w:lineRule="auto"/>
        <w:jc w:val="right"/>
        <w:rPr>
          <w:rFonts w:ascii="Tahoma" w:hAnsi="Tahoma" w:cs="Tahoma"/>
          <w:color w:val="000000" w:themeColor="text1"/>
          <w:sz w:val="20"/>
          <w:szCs w:val="20"/>
        </w:rPr>
      </w:pPr>
      <w:r>
        <w:rPr>
          <w:rFonts w:ascii="Tahoma" w:hAnsi="Tahoma" w:cs="Tahoma"/>
          <w:color w:val="000000" w:themeColor="text1"/>
          <w:sz w:val="20"/>
          <w:szCs w:val="20"/>
        </w:rPr>
        <w:t>Sněmovní tisk 643</w:t>
      </w:r>
    </w:p>
    <w:p w:rsidR="006A0A7F" w:rsidRDefault="006A0A7F" w:rsidP="006A0A7F">
      <w:pPr>
        <w:pStyle w:val="Bezmezer"/>
        <w:spacing w:line="360" w:lineRule="auto"/>
        <w:jc w:val="right"/>
        <w:rPr>
          <w:rFonts w:ascii="Tahoma" w:hAnsi="Tahoma" w:cs="Tahoma"/>
          <w:color w:val="000000" w:themeColor="text1"/>
          <w:sz w:val="20"/>
          <w:szCs w:val="20"/>
        </w:rPr>
      </w:pPr>
      <w:r>
        <w:rPr>
          <w:rFonts w:ascii="Tahoma" w:hAnsi="Tahoma" w:cs="Tahoma"/>
          <w:color w:val="000000" w:themeColor="text1"/>
          <w:sz w:val="20"/>
          <w:szCs w:val="20"/>
        </w:rPr>
        <w:t>Předloženo do Poslanecké sněmovny</w:t>
      </w:r>
    </w:p>
    <w:p w:rsidR="006A0A7F" w:rsidRDefault="006A0A7F" w:rsidP="006A0A7F">
      <w:pPr>
        <w:pStyle w:val="Bezmezer"/>
        <w:spacing w:line="360" w:lineRule="auto"/>
        <w:jc w:val="right"/>
        <w:rPr>
          <w:rFonts w:ascii="Tahoma" w:hAnsi="Tahoma" w:cs="Tahoma"/>
          <w:color w:val="000000" w:themeColor="text1"/>
          <w:sz w:val="20"/>
          <w:szCs w:val="20"/>
        </w:rPr>
      </w:pPr>
    </w:p>
    <w:p w:rsidR="0044547E" w:rsidRPr="0044547E" w:rsidRDefault="0044547E" w:rsidP="0044547E">
      <w:pPr>
        <w:pStyle w:val="Bezmezer"/>
        <w:spacing w:line="360" w:lineRule="auto"/>
        <w:jc w:val="both"/>
        <w:rPr>
          <w:rFonts w:ascii="Tahoma" w:hAnsi="Tahoma" w:cs="Tahoma"/>
          <w:color w:val="000000" w:themeColor="text1"/>
          <w:sz w:val="20"/>
          <w:szCs w:val="20"/>
        </w:rPr>
      </w:pPr>
      <w:r w:rsidRPr="0044547E">
        <w:rPr>
          <w:rFonts w:ascii="Tahoma" w:hAnsi="Tahoma" w:cs="Tahoma"/>
          <w:color w:val="000000" w:themeColor="text1"/>
          <w:sz w:val="20"/>
          <w:szCs w:val="20"/>
        </w:rPr>
        <w:t>Ustanovení obsažená v předloženém návrhu zákona představují v celém rozsahu implementaci předpisů Evropské unie do vnitrostátního právního řádu, popřípadě s touto implementací úzce souvisí.</w:t>
      </w:r>
    </w:p>
    <w:p w:rsidR="0044547E" w:rsidRPr="0044547E" w:rsidRDefault="0044547E" w:rsidP="0044547E">
      <w:pPr>
        <w:pStyle w:val="Bezmezer"/>
        <w:spacing w:line="360" w:lineRule="auto"/>
        <w:jc w:val="both"/>
        <w:rPr>
          <w:rFonts w:ascii="Tahoma" w:hAnsi="Tahoma" w:cs="Tahoma"/>
          <w:color w:val="000000" w:themeColor="text1"/>
          <w:sz w:val="20"/>
          <w:szCs w:val="20"/>
        </w:rPr>
      </w:pPr>
    </w:p>
    <w:p w:rsidR="0044547E" w:rsidRPr="0044547E" w:rsidRDefault="0044547E" w:rsidP="0044547E">
      <w:pPr>
        <w:pStyle w:val="Bezmezer"/>
        <w:spacing w:line="360" w:lineRule="auto"/>
        <w:jc w:val="both"/>
        <w:rPr>
          <w:rFonts w:ascii="Tahoma" w:hAnsi="Tahoma" w:cs="Tahoma"/>
          <w:color w:val="000000" w:themeColor="text1"/>
          <w:sz w:val="20"/>
          <w:szCs w:val="20"/>
        </w:rPr>
      </w:pPr>
      <w:r w:rsidRPr="0044547E">
        <w:rPr>
          <w:rFonts w:ascii="Tahoma" w:hAnsi="Tahoma" w:cs="Tahoma"/>
          <w:color w:val="000000" w:themeColor="text1"/>
          <w:sz w:val="20"/>
          <w:szCs w:val="20"/>
        </w:rPr>
        <w:t>Tematicky lze obsah návrhu zákona rozčlenit do 4 hlavních oblastí:</w:t>
      </w:r>
    </w:p>
    <w:p w:rsidR="0044547E" w:rsidRPr="0044547E" w:rsidRDefault="0044547E" w:rsidP="0044547E">
      <w:pPr>
        <w:pStyle w:val="Bezmezer"/>
        <w:spacing w:line="360" w:lineRule="auto"/>
        <w:jc w:val="both"/>
        <w:rPr>
          <w:rFonts w:ascii="Tahoma" w:hAnsi="Tahoma" w:cs="Tahoma"/>
          <w:color w:val="000000" w:themeColor="text1"/>
          <w:sz w:val="20"/>
          <w:szCs w:val="20"/>
        </w:rPr>
      </w:pPr>
    </w:p>
    <w:p w:rsidR="0044547E" w:rsidRDefault="0044547E" w:rsidP="0044547E">
      <w:pPr>
        <w:pStyle w:val="Bezmezer"/>
        <w:numPr>
          <w:ilvl w:val="0"/>
          <w:numId w:val="42"/>
        </w:numPr>
        <w:spacing w:line="360" w:lineRule="auto"/>
        <w:jc w:val="both"/>
        <w:rPr>
          <w:rFonts w:ascii="Tahoma" w:hAnsi="Tahoma" w:cs="Tahoma"/>
          <w:color w:val="000000" w:themeColor="text1"/>
          <w:sz w:val="20"/>
          <w:szCs w:val="20"/>
        </w:rPr>
      </w:pPr>
      <w:r w:rsidRPr="0044547E">
        <w:rPr>
          <w:rFonts w:ascii="Tahoma" w:hAnsi="Tahoma" w:cs="Tahoma"/>
          <w:color w:val="000000" w:themeColor="text1"/>
          <w:sz w:val="20"/>
          <w:szCs w:val="20"/>
        </w:rPr>
        <w:t xml:space="preserve">požadavky na dobu řízení vozidla, bezpečnostní přestávky a dobu odpočinku a na vedení a uchovávání záznamů o těchto skutečnostech, </w:t>
      </w:r>
    </w:p>
    <w:p w:rsidR="0044547E" w:rsidRDefault="0044547E" w:rsidP="0044547E">
      <w:pPr>
        <w:pStyle w:val="Bezmezer"/>
        <w:numPr>
          <w:ilvl w:val="0"/>
          <w:numId w:val="42"/>
        </w:numPr>
        <w:spacing w:line="360" w:lineRule="auto"/>
        <w:jc w:val="both"/>
        <w:rPr>
          <w:rFonts w:ascii="Tahoma" w:hAnsi="Tahoma" w:cs="Tahoma"/>
          <w:color w:val="000000" w:themeColor="text1"/>
          <w:sz w:val="20"/>
          <w:szCs w:val="20"/>
        </w:rPr>
      </w:pPr>
      <w:r w:rsidRPr="0044547E">
        <w:rPr>
          <w:rFonts w:ascii="Tahoma" w:hAnsi="Tahoma" w:cs="Tahoma"/>
          <w:color w:val="000000" w:themeColor="text1"/>
          <w:sz w:val="20"/>
          <w:szCs w:val="20"/>
        </w:rPr>
        <w:lastRenderedPageBreak/>
        <w:t xml:space="preserve">správní trestání za nedodržení požadavků na dobu řízení vozidla, bezpečnostní přestávky a dobu odpočinku a na vedení a uchovávání záznamů o těchto skutečnostech, </w:t>
      </w:r>
    </w:p>
    <w:p w:rsidR="0044547E" w:rsidRDefault="0044547E" w:rsidP="0044547E">
      <w:pPr>
        <w:pStyle w:val="Bezmezer"/>
        <w:numPr>
          <w:ilvl w:val="0"/>
          <w:numId w:val="42"/>
        </w:numPr>
        <w:spacing w:line="360" w:lineRule="auto"/>
        <w:jc w:val="both"/>
        <w:rPr>
          <w:rFonts w:ascii="Tahoma" w:hAnsi="Tahoma" w:cs="Tahoma"/>
          <w:color w:val="000000" w:themeColor="text1"/>
          <w:sz w:val="20"/>
          <w:szCs w:val="20"/>
        </w:rPr>
      </w:pPr>
      <w:r w:rsidRPr="0044547E">
        <w:rPr>
          <w:rFonts w:ascii="Tahoma" w:hAnsi="Tahoma" w:cs="Tahoma"/>
          <w:color w:val="000000" w:themeColor="text1"/>
          <w:sz w:val="20"/>
          <w:szCs w:val="20"/>
        </w:rPr>
        <w:t xml:space="preserve">vydávání a odevzdávání karet tachografů a vedení příslušného informačního systému, </w:t>
      </w:r>
    </w:p>
    <w:p w:rsidR="006A0A7F" w:rsidRDefault="0044547E" w:rsidP="0044547E">
      <w:pPr>
        <w:pStyle w:val="Bezmezer"/>
        <w:numPr>
          <w:ilvl w:val="0"/>
          <w:numId w:val="42"/>
        </w:numPr>
        <w:spacing w:line="360" w:lineRule="auto"/>
        <w:jc w:val="both"/>
        <w:rPr>
          <w:rFonts w:ascii="Tahoma" w:hAnsi="Tahoma" w:cs="Tahoma"/>
          <w:color w:val="000000" w:themeColor="text1"/>
          <w:sz w:val="20"/>
          <w:szCs w:val="20"/>
        </w:rPr>
      </w:pPr>
      <w:r w:rsidRPr="0044547E">
        <w:rPr>
          <w:rFonts w:ascii="Tahoma" w:hAnsi="Tahoma" w:cs="Tahoma"/>
          <w:color w:val="000000" w:themeColor="text1"/>
          <w:sz w:val="20"/>
          <w:szCs w:val="20"/>
        </w:rPr>
        <w:t>podmínky profesní způsobilosti řidičů vybraných velkých vozidel.</w:t>
      </w:r>
    </w:p>
    <w:p w:rsidR="0044547E" w:rsidRDefault="0044547E" w:rsidP="0044547E">
      <w:pPr>
        <w:pStyle w:val="Bezmezer"/>
        <w:spacing w:line="276" w:lineRule="auto"/>
        <w:jc w:val="both"/>
        <w:rPr>
          <w:rStyle w:val="Hypertextovodkaz"/>
          <w:rFonts w:ascii="Tahoma" w:eastAsia="Times New Roman" w:hAnsi="Tahoma" w:cs="Tahoma"/>
          <w:b/>
          <w:bCs/>
          <w:i/>
          <w:color w:val="000000" w:themeColor="text1"/>
          <w:kern w:val="36"/>
          <w:sz w:val="20"/>
          <w:szCs w:val="20"/>
          <w:u w:val="none"/>
          <w:lang w:eastAsia="cs-CZ"/>
        </w:rPr>
      </w:pPr>
    </w:p>
    <w:p w:rsidR="0044547E" w:rsidRDefault="0044547E" w:rsidP="00A970A5">
      <w:pPr>
        <w:pStyle w:val="Bezmezer"/>
        <w:spacing w:line="360" w:lineRule="auto"/>
        <w:jc w:val="both"/>
        <w:rPr>
          <w:rFonts w:ascii="Tahoma" w:hAnsi="Tahoma" w:cs="Tahoma"/>
          <w:color w:val="000000" w:themeColor="text1"/>
          <w:sz w:val="20"/>
          <w:szCs w:val="20"/>
        </w:rPr>
      </w:pPr>
    </w:p>
    <w:p w:rsidR="00A970A5" w:rsidRDefault="00A970A5" w:rsidP="00A970A5">
      <w:pPr>
        <w:pStyle w:val="Bezmezer"/>
        <w:spacing w:line="360" w:lineRule="auto"/>
        <w:jc w:val="center"/>
        <w:rPr>
          <w:rFonts w:ascii="Tahoma" w:hAnsi="Tahoma" w:cs="Tahoma"/>
          <w:b/>
          <w:color w:val="000000" w:themeColor="text1"/>
          <w:sz w:val="24"/>
          <w:szCs w:val="20"/>
        </w:rPr>
      </w:pPr>
      <w:r w:rsidRPr="00A970A5">
        <w:rPr>
          <w:rFonts w:ascii="Tahoma" w:hAnsi="Tahoma" w:cs="Tahoma"/>
          <w:b/>
          <w:color w:val="000000" w:themeColor="text1"/>
          <w:sz w:val="24"/>
          <w:szCs w:val="20"/>
        </w:rPr>
        <w:t>Návrh zákona, kterým se zrušuje zákonné opatření Senátu č. 340/2013 Sb., o dani z nabytí nemovitých věcí</w:t>
      </w:r>
    </w:p>
    <w:p w:rsidR="0044547E" w:rsidRDefault="00D86790" w:rsidP="00A970A5">
      <w:pPr>
        <w:pStyle w:val="Bezmezer"/>
        <w:spacing w:line="360" w:lineRule="auto"/>
        <w:jc w:val="center"/>
        <w:rPr>
          <w:rFonts w:ascii="Tahoma" w:hAnsi="Tahoma" w:cs="Tahoma"/>
          <w:b/>
          <w:color w:val="000000" w:themeColor="text1"/>
          <w:sz w:val="24"/>
          <w:szCs w:val="20"/>
        </w:rPr>
      </w:pPr>
      <w:r>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A970A5" w:rsidRPr="00A970A5" w:rsidRDefault="00A970A5" w:rsidP="00A970A5">
      <w:pPr>
        <w:pStyle w:val="Bezmezer"/>
        <w:spacing w:line="360" w:lineRule="auto"/>
        <w:jc w:val="right"/>
        <w:rPr>
          <w:rFonts w:ascii="Tahoma" w:hAnsi="Tahoma" w:cs="Tahoma"/>
          <w:color w:val="000000" w:themeColor="text1"/>
          <w:sz w:val="20"/>
          <w:szCs w:val="20"/>
        </w:rPr>
      </w:pPr>
      <w:r w:rsidRPr="00A970A5">
        <w:rPr>
          <w:rFonts w:ascii="Tahoma" w:hAnsi="Tahoma" w:cs="Tahoma"/>
          <w:color w:val="000000" w:themeColor="text1"/>
          <w:sz w:val="20"/>
          <w:szCs w:val="20"/>
        </w:rPr>
        <w:t>Sněmovní tisk 664</w:t>
      </w:r>
    </w:p>
    <w:p w:rsidR="00A970A5" w:rsidRPr="00A970A5" w:rsidRDefault="00A970A5" w:rsidP="00A970A5">
      <w:pPr>
        <w:pStyle w:val="Bezmezer"/>
        <w:spacing w:line="360" w:lineRule="auto"/>
        <w:jc w:val="right"/>
        <w:rPr>
          <w:rFonts w:ascii="Tahoma" w:hAnsi="Tahoma" w:cs="Tahoma"/>
          <w:color w:val="000000" w:themeColor="text1"/>
          <w:sz w:val="20"/>
          <w:szCs w:val="20"/>
        </w:rPr>
      </w:pPr>
      <w:r w:rsidRPr="00A970A5">
        <w:rPr>
          <w:rFonts w:ascii="Tahoma" w:hAnsi="Tahoma" w:cs="Tahoma"/>
          <w:color w:val="000000" w:themeColor="text1"/>
          <w:sz w:val="20"/>
          <w:szCs w:val="20"/>
        </w:rPr>
        <w:t>Předloženo vládě ke stanovisku</w:t>
      </w:r>
    </w:p>
    <w:p w:rsidR="00A970A5" w:rsidRDefault="00A970A5" w:rsidP="008E4CC7">
      <w:pPr>
        <w:pStyle w:val="Bezmezer"/>
        <w:spacing w:line="360" w:lineRule="auto"/>
        <w:jc w:val="both"/>
        <w:rPr>
          <w:rFonts w:ascii="Tahoma" w:hAnsi="Tahoma" w:cs="Tahoma"/>
          <w:color w:val="000000" w:themeColor="text1"/>
          <w:sz w:val="16"/>
          <w:szCs w:val="20"/>
        </w:rPr>
      </w:pPr>
    </w:p>
    <w:p w:rsidR="00101448" w:rsidRPr="00A970A5" w:rsidRDefault="00A970A5" w:rsidP="008E4CC7">
      <w:pPr>
        <w:pStyle w:val="Bezmezer"/>
        <w:spacing w:line="360" w:lineRule="auto"/>
        <w:jc w:val="both"/>
        <w:rPr>
          <w:rFonts w:ascii="Tahoma" w:hAnsi="Tahoma" w:cs="Tahoma"/>
          <w:color w:val="000000" w:themeColor="text1"/>
          <w:sz w:val="20"/>
          <w:szCs w:val="20"/>
        </w:rPr>
      </w:pPr>
      <w:r w:rsidRPr="00A970A5">
        <w:rPr>
          <w:rFonts w:ascii="Tahoma" w:hAnsi="Tahoma" w:cs="Tahoma"/>
          <w:color w:val="000000" w:themeColor="text1"/>
          <w:sz w:val="20"/>
          <w:szCs w:val="20"/>
        </w:rPr>
        <w:t>Skupina poslanců předložila dne 29. 11. 2019Poslanecké sněmovně nevládní návrh zákona, kterým se zrušuje zákonné opatření Senátu č. 340/2013 Sb., o dani z nabytí nemovitých věcí.</w:t>
      </w:r>
    </w:p>
    <w:p w:rsidR="00A970A5" w:rsidRPr="00A970A5" w:rsidRDefault="00A970A5" w:rsidP="008E4CC7">
      <w:pPr>
        <w:pStyle w:val="Bezmezer"/>
        <w:spacing w:line="360" w:lineRule="auto"/>
        <w:jc w:val="both"/>
        <w:rPr>
          <w:rFonts w:ascii="Tahoma" w:hAnsi="Tahoma" w:cs="Tahoma"/>
          <w:color w:val="000000" w:themeColor="text1"/>
          <w:sz w:val="20"/>
          <w:szCs w:val="20"/>
        </w:rPr>
      </w:pPr>
    </w:p>
    <w:p w:rsidR="00A970A5" w:rsidRPr="00A970A5" w:rsidRDefault="00A970A5" w:rsidP="008E4CC7">
      <w:pPr>
        <w:pStyle w:val="Bezmezer"/>
        <w:spacing w:line="360" w:lineRule="auto"/>
        <w:jc w:val="both"/>
        <w:rPr>
          <w:rFonts w:ascii="Tahoma" w:hAnsi="Tahoma" w:cs="Tahoma"/>
          <w:color w:val="000000" w:themeColor="text1"/>
          <w:sz w:val="20"/>
          <w:szCs w:val="20"/>
        </w:rPr>
      </w:pPr>
      <w:r w:rsidRPr="00A970A5">
        <w:rPr>
          <w:rFonts w:ascii="Tahoma" w:hAnsi="Tahoma" w:cs="Tahoma"/>
          <w:color w:val="000000" w:themeColor="text1"/>
          <w:sz w:val="20"/>
          <w:szCs w:val="20"/>
        </w:rPr>
        <w:t>Cílem návrhu zákona je zrušení daně z nabytí nemovitých věcí, a to bez náhrady.</w:t>
      </w:r>
    </w:p>
    <w:p w:rsidR="00A970A5" w:rsidRPr="004D224F" w:rsidRDefault="00A970A5" w:rsidP="00A970A5">
      <w:pPr>
        <w:pStyle w:val="Bezmezer"/>
        <w:spacing w:line="360" w:lineRule="auto"/>
        <w:rPr>
          <w:rFonts w:ascii="Tahoma" w:hAnsi="Tahoma" w:cs="Tahoma"/>
          <w:b/>
          <w:bCs/>
          <w:sz w:val="20"/>
          <w:szCs w:val="20"/>
        </w:rPr>
      </w:pPr>
    </w:p>
    <w:p w:rsidR="00A970A5" w:rsidRDefault="00A970A5" w:rsidP="00A970A5">
      <w:pPr>
        <w:pStyle w:val="Bezmezer"/>
        <w:spacing w:line="360" w:lineRule="auto"/>
        <w:jc w:val="center"/>
        <w:rPr>
          <w:rFonts w:ascii="Tahoma" w:hAnsi="Tahoma" w:cs="Tahoma"/>
          <w:b/>
          <w:color w:val="000000" w:themeColor="text1"/>
          <w:sz w:val="24"/>
          <w:szCs w:val="20"/>
        </w:rPr>
      </w:pPr>
      <w:r w:rsidRPr="00A970A5">
        <w:rPr>
          <w:rFonts w:ascii="Tahoma" w:hAnsi="Tahoma" w:cs="Tahoma"/>
          <w:b/>
          <w:color w:val="000000" w:themeColor="text1"/>
          <w:sz w:val="24"/>
          <w:szCs w:val="20"/>
        </w:rPr>
        <w:t>Návrh nařízení vlády, kterým se mění nařízení vlády č. 172/2016 Sb., o stanovení finančních limitů a částek pro účely zákona o zadávání veřejných zakázek</w:t>
      </w:r>
    </w:p>
    <w:p w:rsidR="00A970A5" w:rsidRDefault="00D86790" w:rsidP="00A970A5">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711675" w:rsidRDefault="00711675" w:rsidP="00711675">
      <w:pPr>
        <w:pStyle w:val="Bezmezer"/>
        <w:spacing w:line="360" w:lineRule="auto"/>
        <w:jc w:val="right"/>
        <w:rPr>
          <w:rFonts w:ascii="Tahoma" w:hAnsi="Tahoma" w:cs="Tahoma"/>
          <w:color w:val="000000" w:themeColor="text1"/>
          <w:sz w:val="20"/>
          <w:szCs w:val="20"/>
        </w:rPr>
      </w:pPr>
      <w:r>
        <w:rPr>
          <w:rFonts w:ascii="Tahoma" w:hAnsi="Tahoma" w:cs="Tahoma"/>
          <w:color w:val="000000" w:themeColor="text1"/>
          <w:sz w:val="20"/>
          <w:szCs w:val="20"/>
        </w:rPr>
        <w:t xml:space="preserve">EKLEP </w:t>
      </w:r>
      <w:r w:rsidRPr="00711675">
        <w:rPr>
          <w:rFonts w:ascii="Tahoma" w:hAnsi="Tahoma" w:cs="Tahoma"/>
          <w:color w:val="000000" w:themeColor="text1"/>
          <w:sz w:val="20"/>
          <w:szCs w:val="20"/>
        </w:rPr>
        <w:t>KORNBHVKKCK3</w:t>
      </w:r>
    </w:p>
    <w:p w:rsidR="00711675" w:rsidRDefault="00711675" w:rsidP="00711675">
      <w:pPr>
        <w:pStyle w:val="Bezmezer"/>
        <w:spacing w:line="360" w:lineRule="auto"/>
        <w:jc w:val="right"/>
        <w:rPr>
          <w:rFonts w:ascii="Tahoma" w:hAnsi="Tahoma" w:cs="Tahoma"/>
          <w:color w:val="000000" w:themeColor="text1"/>
          <w:sz w:val="20"/>
          <w:szCs w:val="20"/>
        </w:rPr>
      </w:pPr>
      <w:r>
        <w:rPr>
          <w:rFonts w:ascii="Tahoma" w:hAnsi="Tahoma" w:cs="Tahoma"/>
          <w:color w:val="000000" w:themeColor="text1"/>
          <w:sz w:val="20"/>
          <w:szCs w:val="20"/>
        </w:rPr>
        <w:t xml:space="preserve">Projednáno vládou </w:t>
      </w:r>
    </w:p>
    <w:p w:rsidR="00711675" w:rsidRDefault="00711675" w:rsidP="00711675">
      <w:pPr>
        <w:pStyle w:val="Bezmezer"/>
        <w:spacing w:line="360" w:lineRule="auto"/>
        <w:jc w:val="right"/>
        <w:rPr>
          <w:rFonts w:ascii="Tahoma" w:hAnsi="Tahoma" w:cs="Tahoma"/>
          <w:color w:val="000000" w:themeColor="text1"/>
          <w:sz w:val="20"/>
          <w:szCs w:val="20"/>
        </w:rPr>
      </w:pPr>
    </w:p>
    <w:p w:rsidR="00A970A5" w:rsidRDefault="00711675" w:rsidP="00711675">
      <w:pPr>
        <w:pStyle w:val="Bezmezer"/>
        <w:spacing w:line="360" w:lineRule="auto"/>
        <w:jc w:val="both"/>
        <w:rPr>
          <w:rFonts w:ascii="Tahoma" w:hAnsi="Tahoma" w:cs="Tahoma"/>
          <w:color w:val="000000" w:themeColor="text1"/>
          <w:sz w:val="20"/>
          <w:szCs w:val="20"/>
        </w:rPr>
      </w:pPr>
      <w:r w:rsidRPr="00711675">
        <w:rPr>
          <w:rFonts w:ascii="Tahoma" w:hAnsi="Tahoma" w:cs="Tahoma"/>
          <w:color w:val="000000" w:themeColor="text1"/>
          <w:sz w:val="20"/>
          <w:szCs w:val="20"/>
        </w:rPr>
        <w:t>Navrhovaná právní úprava má za cíl dát právní řád do souladu s evropskými předpisy, které stanoví výši finančních limitů a částek pro zadávání veřejných zakázek a jejich vyjádření v českých korunách. Tyto finanční limity a částky jsou přepočítávány každé dva roky, proto byla pro jejich stanovení zvolena forma nařízení vlády.</w:t>
      </w:r>
    </w:p>
    <w:p w:rsidR="00145C1F" w:rsidRDefault="00145C1F" w:rsidP="00A81C2D">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6621B9" w:rsidRDefault="006621B9" w:rsidP="006621B9">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r w:rsidRPr="006621B9">
        <w:rPr>
          <w:rStyle w:val="Hypertextovodkaz"/>
          <w:rFonts w:ascii="Tahoma" w:eastAsia="Times New Roman" w:hAnsi="Tahoma" w:cs="Tahoma"/>
          <w:b/>
          <w:bCs/>
          <w:color w:val="000000" w:themeColor="text1"/>
          <w:kern w:val="36"/>
          <w:sz w:val="24"/>
          <w:szCs w:val="20"/>
          <w:u w:val="none"/>
          <w:lang w:eastAsia="cs-CZ"/>
        </w:rPr>
        <w:t>Návrh novely zákona č. 90/2012 Sb., o obchodních korporacích</w:t>
      </w:r>
    </w:p>
    <w:p w:rsidR="00381538" w:rsidRDefault="00D86790" w:rsidP="006621B9">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6621B9" w:rsidRDefault="006621B9" w:rsidP="006621B9">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207</w:t>
      </w:r>
    </w:p>
    <w:p w:rsidR="006621B9" w:rsidRDefault="006621B9" w:rsidP="006621B9">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Postoupeno Senátu</w:t>
      </w:r>
    </w:p>
    <w:p w:rsidR="006621B9" w:rsidRDefault="006621B9" w:rsidP="006621B9">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6621B9" w:rsidRPr="00225A40" w:rsidRDefault="006621B9" w:rsidP="006621B9">
      <w:pPr>
        <w:pStyle w:val="Bezmezer"/>
        <w:spacing w:line="360" w:lineRule="auto"/>
        <w:rPr>
          <w:rFonts w:ascii="Tahoma" w:hAnsi="Tahoma" w:cs="Tahoma"/>
          <w:b/>
          <w:bCs/>
          <w:sz w:val="20"/>
          <w:szCs w:val="20"/>
        </w:rPr>
      </w:pPr>
      <w:r w:rsidRPr="006621B9">
        <w:rPr>
          <w:rFonts w:ascii="Tahoma" w:hAnsi="Tahoma" w:cs="Tahoma"/>
          <w:b/>
          <w:bCs/>
          <w:sz w:val="20"/>
          <w:szCs w:val="20"/>
          <w:highlight w:val="lightGray"/>
        </w:rPr>
        <w:t>Závěr věcné analýzy ze strany OPS:</w:t>
      </w:r>
    </w:p>
    <w:p w:rsidR="006621B9" w:rsidRPr="006621B9" w:rsidRDefault="006621B9" w:rsidP="004D0E8C">
      <w:pPr>
        <w:jc w:val="both"/>
        <w:rPr>
          <w:b/>
        </w:rPr>
      </w:pPr>
      <w:r w:rsidRPr="006621B9">
        <w:rPr>
          <w:b/>
        </w:rPr>
        <w:t>K oblastem je dále uveden podrobnější popis s případným dopadem na ČEPRO.</w:t>
      </w:r>
    </w:p>
    <w:p w:rsidR="006621B9" w:rsidRPr="006621B9" w:rsidRDefault="006621B9" w:rsidP="004D0E8C">
      <w:pPr>
        <w:pStyle w:val="Odstavecseseznamem"/>
        <w:numPr>
          <w:ilvl w:val="0"/>
          <w:numId w:val="45"/>
        </w:numPr>
        <w:jc w:val="both"/>
        <w:rPr>
          <w:b/>
        </w:rPr>
      </w:pPr>
      <w:r w:rsidRPr="006621B9">
        <w:rPr>
          <w:b/>
        </w:rPr>
        <w:lastRenderedPageBreak/>
        <w:t>Možnost rozdělení zisku po celé účetní období</w:t>
      </w:r>
    </w:p>
    <w:p w:rsidR="006621B9" w:rsidRDefault="006621B9" w:rsidP="004D0E8C">
      <w:pPr>
        <w:pStyle w:val="Odstavecseseznamem"/>
        <w:ind w:left="360"/>
        <w:jc w:val="both"/>
      </w:pPr>
      <w:r>
        <w:t xml:space="preserve">Stanoví se výslovně, že i podíl na jiných vlastních zdrojích lze stanovit pouze na základě řádné nebo mimořádné účetní závěrky. Řádná i mimořádná účetní závěrka je způsobilým podkladem pro rozdělení zisku a jiných vlastních zdrojů </w:t>
      </w:r>
      <w:r w:rsidRPr="005F0D20">
        <w:rPr>
          <w:b/>
          <w:i/>
        </w:rPr>
        <w:t>po celé účetní období</w:t>
      </w:r>
      <w:r>
        <w:t xml:space="preserve">  (reakce na rozhodnutí NS ze dne 30.9. 2009, sp . zn. 29 Cdo 4284/2007 tvořící limit (6) měsíců od konce účetního období).</w:t>
      </w:r>
    </w:p>
    <w:p w:rsidR="006621B9" w:rsidRDefault="006621B9" w:rsidP="004D0E8C">
      <w:pPr>
        <w:pStyle w:val="Odstavecseseznamem"/>
        <w:ind w:left="360"/>
        <w:jc w:val="both"/>
      </w:pPr>
    </w:p>
    <w:p w:rsidR="006621B9" w:rsidRDefault="006621B9" w:rsidP="004D0E8C">
      <w:pPr>
        <w:pStyle w:val="Odstavecseseznamem"/>
        <w:ind w:left="360"/>
        <w:jc w:val="both"/>
      </w:pPr>
      <w:r w:rsidRPr="005F0D20">
        <w:rPr>
          <w:b/>
          <w:i/>
        </w:rPr>
        <w:t>Možný dopad</w:t>
      </w:r>
      <w:r>
        <w:t xml:space="preserve"> na ČEPRO a jeho procesy</w:t>
      </w:r>
    </w:p>
    <w:p w:rsidR="006621B9" w:rsidRDefault="006621B9" w:rsidP="004D0E8C">
      <w:pPr>
        <w:pStyle w:val="Odstavecseseznamem"/>
        <w:numPr>
          <w:ilvl w:val="0"/>
          <w:numId w:val="46"/>
        </w:numPr>
        <w:jc w:val="both"/>
      </w:pPr>
      <w:r>
        <w:t xml:space="preserve">Akcionář může rozhodnout rozdělení zisku a jiných vlastních zdrojů i po 30. 6. následujícího roku. </w:t>
      </w:r>
    </w:p>
    <w:p w:rsidR="006621B9" w:rsidRDefault="006621B9" w:rsidP="004D0E8C">
      <w:pPr>
        <w:pStyle w:val="Odstavecseseznamem"/>
        <w:ind w:left="1068"/>
        <w:jc w:val="both"/>
      </w:pPr>
    </w:p>
    <w:p w:rsidR="006621B9" w:rsidRPr="006621B9" w:rsidRDefault="006621B9" w:rsidP="004D0E8C">
      <w:pPr>
        <w:pStyle w:val="Odstavecseseznamem"/>
        <w:numPr>
          <w:ilvl w:val="0"/>
          <w:numId w:val="45"/>
        </w:numPr>
        <w:jc w:val="both"/>
        <w:rPr>
          <w:b/>
        </w:rPr>
      </w:pPr>
      <w:r w:rsidRPr="006621B9">
        <w:rPr>
          <w:b/>
        </w:rPr>
        <w:t xml:space="preserve">Smlouva o výkonu funkce </w:t>
      </w:r>
    </w:p>
    <w:p w:rsidR="006621B9" w:rsidRDefault="006621B9" w:rsidP="004D0E8C">
      <w:pPr>
        <w:pStyle w:val="Odstavecseseznamem"/>
        <w:ind w:left="360"/>
        <w:jc w:val="both"/>
      </w:pPr>
      <w:r>
        <w:t>§ 59 odst. 1 až 5 ZOK</w:t>
      </w:r>
    </w:p>
    <w:p w:rsidR="006621B9" w:rsidRDefault="006621B9" w:rsidP="004D0E8C">
      <w:pPr>
        <w:pStyle w:val="Odstavecseseznamem"/>
        <w:ind w:left="360"/>
        <w:jc w:val="both"/>
      </w:pPr>
      <w:r>
        <w:t xml:space="preserve">Mění se důsledky, které jsou spojeny s neschválením smlouvy o výkonu funkce nejvyšším orgánem (odst.2). Za stávající právní úpravy lze dovozovat, že v takovém případě je smlouva relativně neplatná (§ 48).  Nově neschválení smlouvy o výkonu funkce povede k její </w:t>
      </w:r>
      <w:r w:rsidRPr="009D0C2F">
        <w:rPr>
          <w:b/>
          <w:i/>
        </w:rPr>
        <w:t>neúčinnosti.</w:t>
      </w:r>
    </w:p>
    <w:p w:rsidR="006621B9" w:rsidRDefault="006621B9" w:rsidP="004D0E8C">
      <w:pPr>
        <w:pStyle w:val="Odstavecseseznamem"/>
        <w:ind w:left="360"/>
        <w:jc w:val="both"/>
      </w:pPr>
      <w:r>
        <w:t>Do schválení smlouvy o výkonu funkce tak bude výkon funkce bezplatný (ledaže půjde o situaci</w:t>
      </w:r>
    </w:p>
    <w:p w:rsidR="006621B9" w:rsidRDefault="006621B9" w:rsidP="004D0E8C">
      <w:pPr>
        <w:pStyle w:val="Odstavecseseznamem"/>
        <w:ind w:left="360"/>
        <w:jc w:val="both"/>
      </w:pPr>
      <w:r>
        <w:t xml:space="preserve">podle odstavce 4). Na uvedené reaguje nově vkládaná poslední věta, která dispozitivně stanoví, že smlouva je </w:t>
      </w:r>
      <w:r w:rsidRPr="009D0C2F">
        <w:rPr>
          <w:b/>
          <w:i/>
        </w:rPr>
        <w:t>účinná ode dne jejího uzavření, resp. ode dne vzniku funkce, v závislosti na tom, který z těchto dnů nastal později</w:t>
      </w:r>
      <w:r>
        <w:t>.</w:t>
      </w:r>
    </w:p>
    <w:p w:rsidR="006621B9" w:rsidRDefault="006621B9" w:rsidP="004D0E8C">
      <w:pPr>
        <w:pStyle w:val="Odstavecseseznamem"/>
        <w:ind w:left="360"/>
        <w:jc w:val="both"/>
      </w:pPr>
      <w:r>
        <w:t xml:space="preserve">Současně se schválením smlouvy o výkonu funkce tak nejvyšší orgán </w:t>
      </w:r>
      <w:r w:rsidRPr="009D0C2F">
        <w:rPr>
          <w:b/>
          <w:i/>
        </w:rPr>
        <w:t>i se zpětnou účinností</w:t>
      </w:r>
      <w:r>
        <w:rPr>
          <w:b/>
          <w:i/>
        </w:rPr>
        <w:t xml:space="preserve"> </w:t>
      </w:r>
      <w:r>
        <w:t>schválí a přizná odměnu za výkon funkce do schválení smlouvy o výkonu funkce. Nejvyšší orgán již nebude muset přijímat dvě usnesení (jedno, kterým schválí smlouvu o výkonu funkce a druhé,</w:t>
      </w:r>
    </w:p>
    <w:p w:rsidR="006621B9" w:rsidRDefault="006621B9" w:rsidP="004D0E8C">
      <w:pPr>
        <w:pStyle w:val="Odstavecseseznamem"/>
        <w:ind w:left="360"/>
        <w:jc w:val="both"/>
      </w:pPr>
      <w:r>
        <w:t>kterým přizná odměnu za výkon funkce do dne schválení smlouvy o výkonu funkce).</w:t>
      </w:r>
    </w:p>
    <w:p w:rsidR="006621B9" w:rsidRDefault="006621B9" w:rsidP="004D0E8C">
      <w:pPr>
        <w:pStyle w:val="Odstavecseseznamem"/>
        <w:ind w:left="360"/>
        <w:jc w:val="both"/>
      </w:pPr>
    </w:p>
    <w:p w:rsidR="006621B9" w:rsidRDefault="006621B9" w:rsidP="009D4CF4">
      <w:pPr>
        <w:pStyle w:val="Odstavecseseznamem"/>
        <w:ind w:left="360"/>
        <w:jc w:val="both"/>
      </w:pPr>
      <w:r>
        <w:t xml:space="preserve">V odstavci 4 se mimo jiné stanoví </w:t>
      </w:r>
      <w:r w:rsidRPr="009D0C2F">
        <w:rPr>
          <w:b/>
          <w:i/>
        </w:rPr>
        <w:t>nový nejzazší okamžik pro schválení smlouvy o výkonu funkce</w:t>
      </w:r>
      <w:r>
        <w:t xml:space="preserve">; lhůta bez zbytečného odkladu po vzniku funkce se nahrazuje lhůtou bez zbytečného odkladu po uzavření smlouvy.  Smyslem úpravy je zabránit záměrným prodlevám se schvalováním smlouvy o výkonu funkce ze strany kapitálové společnosti. Od tohoto nejzazšího okamžiku náleží v případě neschválení smlouvy o výkonu funkce členovi voleného orgánu odměna obvyklá. </w:t>
      </w:r>
    </w:p>
    <w:p w:rsidR="006621B9" w:rsidRDefault="006621B9" w:rsidP="009D4CF4">
      <w:pPr>
        <w:pStyle w:val="Odstavecseseznamem"/>
        <w:ind w:left="360"/>
        <w:jc w:val="both"/>
      </w:pPr>
    </w:p>
    <w:p w:rsidR="006621B9" w:rsidRDefault="006621B9" w:rsidP="009D4CF4">
      <w:pPr>
        <w:pStyle w:val="Odstavecseseznamem"/>
        <w:ind w:left="360"/>
        <w:jc w:val="both"/>
      </w:pPr>
      <w:r>
        <w:t>Nový odstavec 5 zavádí nové obecné pravidlo, podle něhož platí, že je-li zde rozpor mezi</w:t>
      </w:r>
    </w:p>
    <w:p w:rsidR="006621B9" w:rsidRDefault="006621B9" w:rsidP="009D4CF4">
      <w:pPr>
        <w:pStyle w:val="Odstavecseseznamem"/>
        <w:ind w:left="360"/>
        <w:jc w:val="both"/>
      </w:pPr>
      <w:r>
        <w:t>společenskou smlouvou a smlouvou o výkonu funkce, uplatní se ujednání společenské smlouvy (není-li schválena smlouva o výkonu funkce většinou potřebnou pro jednorázový průlom stanov).</w:t>
      </w:r>
    </w:p>
    <w:p w:rsidR="006621B9" w:rsidRDefault="006621B9" w:rsidP="009D4CF4">
      <w:pPr>
        <w:pStyle w:val="Odstavecseseznamem"/>
        <w:ind w:left="360"/>
        <w:jc w:val="both"/>
      </w:pPr>
      <w:r>
        <w:t>V opačném případě by mohlo dojít ke snadnému obcházení vůle společníků prostřednictvím</w:t>
      </w:r>
    </w:p>
    <w:p w:rsidR="006621B9" w:rsidRDefault="006621B9" w:rsidP="009D4CF4">
      <w:pPr>
        <w:pStyle w:val="Odstavecseseznamem"/>
        <w:ind w:left="360"/>
        <w:jc w:val="both"/>
      </w:pPr>
      <w:r>
        <w:t>odchylné smluvní úpravy. Tím není dotčena možnost vyjednat si ve smlouvě o výkonu funkce</w:t>
      </w:r>
    </w:p>
    <w:p w:rsidR="006621B9" w:rsidRDefault="006621B9" w:rsidP="009D4CF4">
      <w:pPr>
        <w:pStyle w:val="Odstavecseseznamem"/>
        <w:ind w:left="360"/>
        <w:jc w:val="both"/>
      </w:pPr>
      <w:r>
        <w:t>výhodnější podmínky; taková smlouva o výkonu funkce však musí být schválena většinou</w:t>
      </w:r>
    </w:p>
    <w:p w:rsidR="006621B9" w:rsidRDefault="006621B9" w:rsidP="009D4CF4">
      <w:pPr>
        <w:pStyle w:val="Odstavecseseznamem"/>
        <w:ind w:left="360"/>
        <w:jc w:val="both"/>
      </w:pPr>
      <w:r>
        <w:t>vyžadovanou pro změnu stanov (notářský zápis se v tomto případě nevyžaduje).</w:t>
      </w:r>
    </w:p>
    <w:p w:rsidR="006621B9" w:rsidRDefault="006621B9" w:rsidP="004D0E8C">
      <w:pPr>
        <w:pStyle w:val="Odstavecseseznamem"/>
        <w:ind w:left="360"/>
        <w:jc w:val="both"/>
      </w:pPr>
    </w:p>
    <w:p w:rsidR="006621B9" w:rsidRDefault="006621B9" w:rsidP="004D0E8C">
      <w:pPr>
        <w:pStyle w:val="Odstavecseseznamem"/>
        <w:ind w:left="360"/>
        <w:jc w:val="both"/>
      </w:pPr>
      <w:r w:rsidRPr="005F0D20">
        <w:rPr>
          <w:b/>
          <w:i/>
        </w:rPr>
        <w:t>Možný dopad</w:t>
      </w:r>
      <w:r>
        <w:t xml:space="preserve"> na ČEPRO a jeho procesy</w:t>
      </w:r>
    </w:p>
    <w:p w:rsidR="006621B9" w:rsidRDefault="006621B9" w:rsidP="004D0E8C">
      <w:pPr>
        <w:pStyle w:val="Odstavecseseznamem"/>
        <w:numPr>
          <w:ilvl w:val="0"/>
          <w:numId w:val="46"/>
        </w:numPr>
        <w:jc w:val="both"/>
      </w:pPr>
      <w:r>
        <w:t>Proces schvalování smlouvy o výkonu funkce akcionářem ČEPRO.</w:t>
      </w:r>
    </w:p>
    <w:p w:rsidR="006621B9" w:rsidRDefault="006621B9" w:rsidP="004D0E8C">
      <w:pPr>
        <w:pStyle w:val="Odstavecseseznamem"/>
        <w:ind w:left="360"/>
        <w:jc w:val="both"/>
      </w:pPr>
    </w:p>
    <w:p w:rsidR="006621B9" w:rsidRPr="006621B9" w:rsidRDefault="006621B9" w:rsidP="004D0E8C">
      <w:pPr>
        <w:pStyle w:val="Odstavecseseznamem"/>
        <w:numPr>
          <w:ilvl w:val="0"/>
          <w:numId w:val="45"/>
        </w:numPr>
        <w:jc w:val="both"/>
        <w:rPr>
          <w:b/>
        </w:rPr>
      </w:pPr>
      <w:r w:rsidRPr="006621B9">
        <w:rPr>
          <w:b/>
        </w:rPr>
        <w:t>Odstoupení z funkce</w:t>
      </w:r>
    </w:p>
    <w:p w:rsidR="006621B9" w:rsidRDefault="006621B9" w:rsidP="004D0E8C">
      <w:pPr>
        <w:pStyle w:val="Odstavecseseznamem"/>
        <w:ind w:left="360"/>
        <w:jc w:val="both"/>
      </w:pPr>
      <w:r>
        <w:t>§ 58 (přesunuto z § 59 odst. 5) ZOK</w:t>
      </w:r>
    </w:p>
    <w:p w:rsidR="006621B9" w:rsidRDefault="006621B9" w:rsidP="004D0E8C">
      <w:pPr>
        <w:pStyle w:val="Odstavecseseznamem"/>
        <w:ind w:left="360"/>
        <w:jc w:val="both"/>
      </w:pPr>
      <w:r>
        <w:t>Opouští se koncept nevhodné doby pro odstoupení. Lhůta, ve které funkce skončí prodloužena z 1 měsíce na 2 měsíců.</w:t>
      </w:r>
    </w:p>
    <w:p w:rsidR="006621B9" w:rsidRDefault="006621B9" w:rsidP="004D0E8C">
      <w:pPr>
        <w:pStyle w:val="Odstavecseseznamem"/>
        <w:ind w:left="360"/>
        <w:jc w:val="both"/>
      </w:pPr>
    </w:p>
    <w:p w:rsidR="006621B9" w:rsidRDefault="006621B9" w:rsidP="004D0E8C">
      <w:pPr>
        <w:pStyle w:val="Odstavecseseznamem"/>
        <w:ind w:left="360"/>
        <w:jc w:val="both"/>
      </w:pPr>
      <w:r>
        <w:t>Nově upraveno, kterým orgánům má být rezignace doručena;  umožněna korekce ze strany společenské smlouvy.</w:t>
      </w:r>
    </w:p>
    <w:p w:rsidR="006621B9" w:rsidRDefault="006621B9" w:rsidP="004D0E8C">
      <w:pPr>
        <w:pStyle w:val="Odstavecseseznamem"/>
        <w:ind w:left="360"/>
        <w:jc w:val="both"/>
        <w:rPr>
          <w:b/>
          <w:i/>
        </w:rPr>
      </w:pPr>
    </w:p>
    <w:p w:rsidR="006621B9" w:rsidRDefault="006621B9" w:rsidP="004D0E8C">
      <w:pPr>
        <w:pStyle w:val="Odstavecseseznamem"/>
        <w:ind w:left="360"/>
        <w:jc w:val="both"/>
      </w:pPr>
      <w:r w:rsidRPr="005F0D20">
        <w:rPr>
          <w:b/>
          <w:i/>
        </w:rPr>
        <w:t>Možný dopad</w:t>
      </w:r>
      <w:r>
        <w:t xml:space="preserve"> na ČEPRO a jeho procesy</w:t>
      </w:r>
    </w:p>
    <w:p w:rsidR="006621B9" w:rsidRDefault="006621B9" w:rsidP="004D0E8C">
      <w:pPr>
        <w:pStyle w:val="Odstavecseseznamem"/>
        <w:numPr>
          <w:ilvl w:val="0"/>
          <w:numId w:val="46"/>
        </w:numPr>
        <w:jc w:val="both"/>
      </w:pPr>
      <w:r>
        <w:t>Proces odstoupení z funkce členů volených orgánů.</w:t>
      </w:r>
    </w:p>
    <w:p w:rsidR="006621B9" w:rsidRPr="006621B9" w:rsidRDefault="006621B9" w:rsidP="004D0E8C">
      <w:pPr>
        <w:pStyle w:val="Odstavecseseznamem"/>
        <w:ind w:left="360"/>
        <w:jc w:val="both"/>
        <w:rPr>
          <w:b/>
        </w:rPr>
      </w:pPr>
    </w:p>
    <w:p w:rsidR="006621B9" w:rsidRPr="006621B9" w:rsidRDefault="006621B9" w:rsidP="004D0E8C">
      <w:pPr>
        <w:pStyle w:val="Odstavecseseznamem"/>
        <w:numPr>
          <w:ilvl w:val="0"/>
          <w:numId w:val="45"/>
        </w:numPr>
        <w:jc w:val="both"/>
        <w:rPr>
          <w:b/>
        </w:rPr>
      </w:pPr>
      <w:r w:rsidRPr="006621B9">
        <w:rPr>
          <w:b/>
        </w:rPr>
        <w:t xml:space="preserve">Vyloučení člena statutárního orgánu a zvláštní povinnosti při úpadku obchodní korporace </w:t>
      </w:r>
    </w:p>
    <w:p w:rsidR="006621B9" w:rsidRDefault="006621B9" w:rsidP="004D0E8C">
      <w:pPr>
        <w:ind w:left="360"/>
        <w:jc w:val="both"/>
      </w:pPr>
      <w:r>
        <w:t xml:space="preserve">Korekce důvodů pro vyloučení (postačí opakované nebo závazné porušení povinností) </w:t>
      </w:r>
    </w:p>
    <w:p w:rsidR="006621B9" w:rsidRDefault="006621B9" w:rsidP="004D0E8C">
      <w:pPr>
        <w:ind w:left="360"/>
        <w:jc w:val="both"/>
      </w:pPr>
      <w:r>
        <w:t xml:space="preserve">Změna koncepce důsledků úpadku obchodní korporace. </w:t>
      </w:r>
    </w:p>
    <w:p w:rsidR="006621B9" w:rsidRDefault="006621B9" w:rsidP="004D0E8C">
      <w:pPr>
        <w:ind w:left="360"/>
        <w:jc w:val="both"/>
      </w:pPr>
      <w:r>
        <w:t xml:space="preserve">Na základě rozhodnutí soudu je statutární orgán povinen  </w:t>
      </w:r>
    </w:p>
    <w:p w:rsidR="006621B9" w:rsidRDefault="006621B9" w:rsidP="004D0E8C">
      <w:pPr>
        <w:ind w:left="360"/>
        <w:jc w:val="both"/>
      </w:pPr>
      <w:r>
        <w:t>a) vrátit prospěch ze smlouvy o výkonu funkce (až 2 roky na zpět)</w:t>
      </w:r>
    </w:p>
    <w:p w:rsidR="006621B9" w:rsidRDefault="006621B9" w:rsidP="004D0E8C">
      <w:pPr>
        <w:ind w:left="360"/>
        <w:jc w:val="both"/>
      </w:pPr>
      <w:r>
        <w:t>b) poskytnout do majetkové podstaty plnění až do výše rozdílu mezi souhrnem dluhů a hodnotou majetku.</w:t>
      </w:r>
    </w:p>
    <w:p w:rsidR="006621B9" w:rsidRDefault="006621B9" w:rsidP="004D0E8C">
      <w:pPr>
        <w:ind w:left="360"/>
        <w:jc w:val="both"/>
      </w:pPr>
      <w:r>
        <w:t xml:space="preserve">Případné spory jsou vedeny jako incidenční spory. </w:t>
      </w:r>
    </w:p>
    <w:p w:rsidR="006621B9" w:rsidRDefault="006621B9" w:rsidP="004D0E8C">
      <w:pPr>
        <w:pStyle w:val="Odstavecseseznamem"/>
        <w:ind w:left="360"/>
        <w:jc w:val="both"/>
      </w:pPr>
      <w:r w:rsidRPr="005F0D20">
        <w:rPr>
          <w:b/>
          <w:i/>
        </w:rPr>
        <w:t>Možný dopad</w:t>
      </w:r>
      <w:r>
        <w:t xml:space="preserve"> na ČEPRO a jeho procesy</w:t>
      </w:r>
    </w:p>
    <w:p w:rsidR="006621B9" w:rsidRDefault="006621B9" w:rsidP="004D0E8C">
      <w:pPr>
        <w:pStyle w:val="Odstavecseseznamem"/>
        <w:numPr>
          <w:ilvl w:val="0"/>
          <w:numId w:val="46"/>
        </w:numPr>
        <w:jc w:val="both"/>
      </w:pPr>
      <w:r>
        <w:t xml:space="preserve">Proces vymáhání pohledávek – prostředek pro zvýšení tlaku na dlužníky. </w:t>
      </w:r>
    </w:p>
    <w:p w:rsidR="006621B9" w:rsidRDefault="006621B9" w:rsidP="004D0E8C">
      <w:pPr>
        <w:pStyle w:val="Odstavecseseznamem"/>
        <w:ind w:left="360"/>
        <w:jc w:val="both"/>
      </w:pPr>
    </w:p>
    <w:p w:rsidR="006621B9" w:rsidRPr="006621B9" w:rsidRDefault="006621B9" w:rsidP="004D0E8C">
      <w:pPr>
        <w:pStyle w:val="Odstavecseseznamem"/>
        <w:numPr>
          <w:ilvl w:val="0"/>
          <w:numId w:val="45"/>
        </w:numPr>
        <w:jc w:val="both"/>
        <w:rPr>
          <w:b/>
        </w:rPr>
      </w:pPr>
      <w:r w:rsidRPr="006621B9">
        <w:rPr>
          <w:b/>
        </w:rPr>
        <w:t>Zprávy o vztazích</w:t>
      </w:r>
    </w:p>
    <w:p w:rsidR="006621B9" w:rsidRDefault="006621B9" w:rsidP="004D0E8C">
      <w:pPr>
        <w:pStyle w:val="Odstavecseseznamem"/>
        <w:ind w:left="360"/>
        <w:jc w:val="both"/>
      </w:pPr>
      <w:r>
        <w:t>§ 82 odst. 2 ZOK</w:t>
      </w:r>
    </w:p>
    <w:p w:rsidR="006621B9" w:rsidRDefault="006621B9" w:rsidP="004D0E8C">
      <w:pPr>
        <w:pStyle w:val="Odstavecseseznamem"/>
        <w:ind w:left="360"/>
        <w:jc w:val="both"/>
      </w:pPr>
      <w:r>
        <w:t>Stanoveno účetního období, k němuž se vztahuje hodnota majetku, který přesahuje 10% vlastního kapitálu.</w:t>
      </w:r>
    </w:p>
    <w:p w:rsidR="006621B9" w:rsidRDefault="006621B9" w:rsidP="004D0E8C">
      <w:pPr>
        <w:pStyle w:val="Odstavecseseznamem"/>
        <w:ind w:left="360"/>
        <w:jc w:val="both"/>
      </w:pPr>
      <w:r>
        <w:t xml:space="preserve"> </w:t>
      </w:r>
    </w:p>
    <w:p w:rsidR="006621B9" w:rsidRDefault="006621B9" w:rsidP="004D0E8C">
      <w:pPr>
        <w:pStyle w:val="Odstavecseseznamem"/>
        <w:ind w:left="360"/>
        <w:jc w:val="both"/>
      </w:pPr>
      <w:r>
        <w:t xml:space="preserve">§ 82 odst. 5 a 6 ZOK </w:t>
      </w:r>
    </w:p>
    <w:p w:rsidR="006621B9" w:rsidRDefault="006621B9" w:rsidP="004D0E8C">
      <w:pPr>
        <w:pStyle w:val="Odstavecseseznamem"/>
        <w:ind w:left="360"/>
        <w:jc w:val="both"/>
      </w:pPr>
      <w:r>
        <w:t>Doplnění úpravy zprávy o vztazích. Ve zprávě o vztazích není nutné uvádět informace, které podléhají ochraně nebo utajení podle zvláštního předpisu. Je však nutné uvést důvod, pro jaký se dané informace neudávají.</w:t>
      </w:r>
    </w:p>
    <w:p w:rsidR="006621B9" w:rsidRDefault="006621B9" w:rsidP="004D0E8C">
      <w:pPr>
        <w:pStyle w:val="Odstavecseseznamem"/>
        <w:ind w:left="360"/>
        <w:jc w:val="both"/>
      </w:pPr>
      <w:r>
        <w:t xml:space="preserve">Obchodní tajemství se uvádí v přiměřené míře zobecnění, které odpovídá účelu zprávy o vztazích  </w:t>
      </w:r>
    </w:p>
    <w:p w:rsidR="006621B9" w:rsidRDefault="006621B9" w:rsidP="004D0E8C">
      <w:pPr>
        <w:pStyle w:val="Odstavecseseznamem"/>
        <w:ind w:left="360"/>
        <w:jc w:val="both"/>
      </w:pPr>
    </w:p>
    <w:p w:rsidR="006621B9" w:rsidRDefault="006621B9" w:rsidP="004D0E8C">
      <w:pPr>
        <w:pStyle w:val="Odstavecseseznamem"/>
        <w:ind w:left="360"/>
        <w:jc w:val="both"/>
      </w:pPr>
      <w:r>
        <w:t>§ 83 odst. 4 ZOK</w:t>
      </w:r>
    </w:p>
    <w:p w:rsidR="006621B9" w:rsidRDefault="006621B9" w:rsidP="004D0E8C">
      <w:pPr>
        <w:pStyle w:val="Odstavecseseznamem"/>
        <w:ind w:left="360"/>
        <w:jc w:val="both"/>
      </w:pPr>
      <w:r>
        <w:t xml:space="preserve">Dochází k ověření zprávy o vztazích ze strany auditora. </w:t>
      </w:r>
    </w:p>
    <w:p w:rsidR="006621B9" w:rsidRDefault="006621B9" w:rsidP="004D0E8C">
      <w:pPr>
        <w:pStyle w:val="Odstavecseseznamem"/>
        <w:ind w:left="360"/>
        <w:jc w:val="both"/>
      </w:pPr>
    </w:p>
    <w:p w:rsidR="006621B9" w:rsidRDefault="006621B9" w:rsidP="004D0E8C">
      <w:pPr>
        <w:pStyle w:val="Odstavecseseznamem"/>
        <w:ind w:left="360"/>
        <w:jc w:val="both"/>
      </w:pPr>
      <w:r w:rsidRPr="005F0D20">
        <w:rPr>
          <w:b/>
          <w:i/>
        </w:rPr>
        <w:t>Možný dopad</w:t>
      </w:r>
      <w:r>
        <w:t xml:space="preserve"> na ČEPRO a jeho procesy</w:t>
      </w:r>
    </w:p>
    <w:p w:rsidR="006621B9" w:rsidRDefault="006621B9" w:rsidP="004D0E8C">
      <w:pPr>
        <w:pStyle w:val="Odstavecseseznamem"/>
        <w:numPr>
          <w:ilvl w:val="0"/>
          <w:numId w:val="46"/>
        </w:numPr>
        <w:jc w:val="both"/>
      </w:pPr>
      <w:r>
        <w:t>Proces zpracování zprávy o vztazích</w:t>
      </w:r>
    </w:p>
    <w:p w:rsidR="006621B9" w:rsidRDefault="006621B9" w:rsidP="004D0E8C">
      <w:pPr>
        <w:pStyle w:val="Odstavecseseznamem"/>
        <w:ind w:left="360"/>
        <w:jc w:val="both"/>
      </w:pPr>
      <w:r>
        <w:t xml:space="preserve">  </w:t>
      </w:r>
    </w:p>
    <w:p w:rsidR="006621B9" w:rsidRPr="006621B9" w:rsidRDefault="006621B9" w:rsidP="004D0E8C">
      <w:pPr>
        <w:pStyle w:val="Odstavecseseznamem"/>
        <w:numPr>
          <w:ilvl w:val="0"/>
          <w:numId w:val="45"/>
        </w:numPr>
        <w:jc w:val="both"/>
        <w:rPr>
          <w:b/>
        </w:rPr>
      </w:pPr>
      <w:r w:rsidRPr="006621B9">
        <w:rPr>
          <w:b/>
        </w:rPr>
        <w:t>Práva spojená s akcií</w:t>
      </w:r>
    </w:p>
    <w:p w:rsidR="006621B9" w:rsidRDefault="006621B9" w:rsidP="004D0E8C">
      <w:pPr>
        <w:pStyle w:val="Odstavecseseznamem"/>
        <w:ind w:left="360"/>
        <w:jc w:val="both"/>
      </w:pPr>
      <w:r>
        <w:t xml:space="preserve">§ 276 ZOK </w:t>
      </w:r>
    </w:p>
    <w:p w:rsidR="006621B9" w:rsidRDefault="006621B9" w:rsidP="004D0E8C">
      <w:pPr>
        <w:pStyle w:val="Odstavecseseznamem"/>
        <w:ind w:left="360"/>
        <w:jc w:val="both"/>
      </w:pPr>
      <w:r>
        <w:t xml:space="preserve">Opouští se zákonné rozlišování mezi kmenovými akciemi a akciemi se zvláštními právy. Za stávající právní úpravy není zřejmé, zda jakákoli odchylka od zákonné úpravy, byť by byla spojena se všemi akciemi, představuje „zvláštní právo“, či jde stále o akcii kmenovou. </w:t>
      </w:r>
    </w:p>
    <w:p w:rsidR="006621B9" w:rsidRDefault="006621B9" w:rsidP="004D0E8C">
      <w:pPr>
        <w:pStyle w:val="Odstavecseseznamem"/>
        <w:ind w:left="360"/>
        <w:jc w:val="both"/>
      </w:pPr>
      <w:r>
        <w:lastRenderedPageBreak/>
        <w:t>Nově se o různé druhy akcií jedná až v okamžiku, kdy stanovy připouští vznik různých druhů akcií, tedy alespoň dva různé.</w:t>
      </w:r>
    </w:p>
    <w:p w:rsidR="006621B9" w:rsidRDefault="006621B9" w:rsidP="004D0E8C">
      <w:pPr>
        <w:pStyle w:val="Odstavecseseznamem"/>
        <w:ind w:left="360"/>
        <w:jc w:val="both"/>
      </w:pPr>
    </w:p>
    <w:p w:rsidR="006621B9" w:rsidRDefault="006621B9" w:rsidP="004D0E8C">
      <w:pPr>
        <w:pStyle w:val="Odstavecseseznamem"/>
        <w:ind w:left="360"/>
        <w:jc w:val="both"/>
      </w:pPr>
      <w:r>
        <w:t>Výslovně se uvádí, že je možné vydat i takové akcie, se kterými nebude spojeno právo na podíl na zisku, právo na podíl na likvidačním zůstatku nebo hlasovací právo, vždy však musí být zachováno alespoň jedno z nich. Zákon nicméně nestanoví, že alespoň jedno z práv vyjmenovaných v odstavci 2 musí být spojeno s akcií v plném rozsahu.</w:t>
      </w:r>
    </w:p>
    <w:p w:rsidR="006621B9" w:rsidRDefault="006621B9" w:rsidP="004D0E8C">
      <w:pPr>
        <w:pStyle w:val="Odstavecseseznamem"/>
        <w:ind w:left="360"/>
        <w:jc w:val="both"/>
      </w:pPr>
    </w:p>
    <w:p w:rsidR="006621B9" w:rsidRDefault="006621B9" w:rsidP="004D0E8C">
      <w:pPr>
        <w:pStyle w:val="Odstavecseseznamem"/>
        <w:ind w:left="360"/>
        <w:jc w:val="both"/>
      </w:pPr>
      <w:r>
        <w:t>V rámci zákonných mantinelů je možné upravit ve stanovách a vydat různé druhy</w:t>
      </w:r>
    </w:p>
    <w:p w:rsidR="006621B9" w:rsidRDefault="006621B9" w:rsidP="004D0E8C">
      <w:pPr>
        <w:pStyle w:val="Odstavecseseznamem"/>
        <w:ind w:left="360"/>
        <w:jc w:val="both"/>
      </w:pPr>
      <w:r>
        <w:t>akcií.</w:t>
      </w:r>
    </w:p>
    <w:p w:rsidR="006621B9" w:rsidRDefault="006621B9" w:rsidP="004D0E8C">
      <w:pPr>
        <w:pStyle w:val="Odstavecseseznamem"/>
        <w:ind w:left="360"/>
        <w:jc w:val="both"/>
      </w:pPr>
    </w:p>
    <w:p w:rsidR="006621B9" w:rsidRDefault="006621B9" w:rsidP="004D0E8C">
      <w:pPr>
        <w:pStyle w:val="Odstavecseseznamem"/>
        <w:ind w:left="360"/>
        <w:jc w:val="both"/>
      </w:pPr>
      <w:r>
        <w:t>Zákaz vydávání tzv. úrokových akcií, tj. akcií, s nimiž je spojeno právo na určitý úrok</w:t>
      </w:r>
    </w:p>
    <w:p w:rsidR="006621B9" w:rsidRDefault="006621B9" w:rsidP="004D0E8C">
      <w:pPr>
        <w:pStyle w:val="Odstavecseseznamem"/>
        <w:ind w:left="360"/>
        <w:jc w:val="both"/>
      </w:pPr>
      <w:r>
        <w:t>bez ohledu na hospodářské výsledky společnosti, zůstává zachován (odstavec 5).</w:t>
      </w:r>
    </w:p>
    <w:p w:rsidR="006621B9" w:rsidRDefault="006621B9" w:rsidP="004D0E8C">
      <w:pPr>
        <w:pStyle w:val="Odstavecseseznamem"/>
        <w:ind w:left="360"/>
        <w:jc w:val="both"/>
      </w:pPr>
    </w:p>
    <w:p w:rsidR="006621B9" w:rsidRDefault="006621B9" w:rsidP="004D0E8C">
      <w:pPr>
        <w:pStyle w:val="Odstavecseseznamem"/>
        <w:ind w:left="360"/>
        <w:jc w:val="both"/>
      </w:pPr>
      <w:r>
        <w:t>Se změnou ZOK spojená změna OZ stanovuje na jisto, že se hromadná akcie nemusí označovat číselné označení (§524 odst. 1 OZ).</w:t>
      </w:r>
    </w:p>
    <w:p w:rsidR="006621B9" w:rsidRDefault="006621B9" w:rsidP="004D0E8C">
      <w:pPr>
        <w:pStyle w:val="Odstavecseseznamem"/>
        <w:ind w:left="360"/>
        <w:jc w:val="both"/>
        <w:rPr>
          <w:b/>
          <w:i/>
        </w:rPr>
      </w:pPr>
    </w:p>
    <w:p w:rsidR="006621B9" w:rsidRDefault="006621B9" w:rsidP="004D0E8C">
      <w:pPr>
        <w:pStyle w:val="Odstavecseseznamem"/>
        <w:ind w:left="360"/>
        <w:jc w:val="both"/>
      </w:pPr>
      <w:r w:rsidRPr="005F0D20">
        <w:rPr>
          <w:b/>
          <w:i/>
        </w:rPr>
        <w:t>Možný dopad</w:t>
      </w:r>
      <w:r>
        <w:t xml:space="preserve"> na ČEPRO a jeho procesy</w:t>
      </w:r>
    </w:p>
    <w:p w:rsidR="006621B9" w:rsidRDefault="006621B9" w:rsidP="004D0E8C">
      <w:pPr>
        <w:pStyle w:val="Odstavecseseznamem"/>
        <w:numPr>
          <w:ilvl w:val="0"/>
          <w:numId w:val="46"/>
        </w:numPr>
        <w:jc w:val="both"/>
      </w:pPr>
      <w:r>
        <w:t>Úprava v OR vztahující se k označení akcií</w:t>
      </w:r>
    </w:p>
    <w:p w:rsidR="006621B9" w:rsidRDefault="006621B9" w:rsidP="004D0E8C">
      <w:pPr>
        <w:pStyle w:val="Odstavecseseznamem"/>
        <w:numPr>
          <w:ilvl w:val="0"/>
          <w:numId w:val="46"/>
        </w:numPr>
        <w:jc w:val="both"/>
      </w:pPr>
      <w:r>
        <w:t>Další případný dopad je odvislý od případného rozhodnutí akcionáře, jaké má mít společnost ČEPRO druhy akcií</w:t>
      </w:r>
    </w:p>
    <w:p w:rsidR="006621B9" w:rsidRDefault="006621B9" w:rsidP="004D0E8C">
      <w:pPr>
        <w:pStyle w:val="Odstavecseseznamem"/>
        <w:ind w:left="360"/>
        <w:jc w:val="both"/>
      </w:pPr>
    </w:p>
    <w:p w:rsidR="006621B9" w:rsidRPr="006621B9" w:rsidRDefault="006621B9" w:rsidP="004D0E8C">
      <w:pPr>
        <w:pStyle w:val="Odstavecseseznamem"/>
        <w:numPr>
          <w:ilvl w:val="0"/>
          <w:numId w:val="45"/>
        </w:numPr>
        <w:jc w:val="both"/>
        <w:rPr>
          <w:b/>
        </w:rPr>
      </w:pPr>
      <w:r w:rsidRPr="006621B9">
        <w:rPr>
          <w:b/>
        </w:rPr>
        <w:t>Podíl na zisku a jiných vlastních zdrojích</w:t>
      </w:r>
    </w:p>
    <w:p w:rsidR="006621B9" w:rsidRDefault="006621B9" w:rsidP="004D0E8C">
      <w:pPr>
        <w:pStyle w:val="Odstavecseseznamem"/>
        <w:ind w:left="360"/>
        <w:jc w:val="both"/>
      </w:pPr>
      <w:r>
        <w:t>Novým nadpisem skupiny ustanovení a úpravami v jednotlivých ustanoveních § 348 až § 352 se staví najisto, že tato pravidla se vztahují i na podíl na jiných vlastních zdrojích.</w:t>
      </w:r>
    </w:p>
    <w:p w:rsidR="006621B9" w:rsidRDefault="006621B9" w:rsidP="004D0E8C">
      <w:pPr>
        <w:pStyle w:val="Odstavecseseznamem"/>
        <w:ind w:left="360"/>
        <w:jc w:val="both"/>
      </w:pPr>
      <w:r>
        <w:t xml:space="preserve">Tato změna se projevuje napříč zněním ZOK. </w:t>
      </w:r>
    </w:p>
    <w:p w:rsidR="006621B9" w:rsidRDefault="006621B9" w:rsidP="004D0E8C">
      <w:pPr>
        <w:pStyle w:val="Odstavecseseznamem"/>
        <w:ind w:left="360"/>
        <w:jc w:val="both"/>
      </w:pPr>
      <w:r>
        <w:t xml:space="preserve">Podíl na zisku ani jiných vlastních zdrojích se </w:t>
      </w:r>
    </w:p>
    <w:p w:rsidR="006621B9" w:rsidRDefault="006621B9" w:rsidP="004D0E8C">
      <w:pPr>
        <w:pStyle w:val="Odstavecseseznamem"/>
        <w:numPr>
          <w:ilvl w:val="0"/>
          <w:numId w:val="47"/>
        </w:numPr>
        <w:ind w:left="1134"/>
        <w:jc w:val="both"/>
      </w:pPr>
      <w:r>
        <w:t>u a.s. v případě jeho přijetí v dobré víře nevrací (§348 odst. 3 ZOK);</w:t>
      </w:r>
    </w:p>
    <w:p w:rsidR="006621B9" w:rsidRDefault="006621B9" w:rsidP="004D0E8C">
      <w:pPr>
        <w:pStyle w:val="Odstavecseseznamem"/>
        <w:numPr>
          <w:ilvl w:val="0"/>
          <w:numId w:val="47"/>
        </w:numPr>
        <w:ind w:left="1134"/>
        <w:jc w:val="both"/>
      </w:pPr>
      <w:r>
        <w:t>vyplácí bezhotovostně na náklady a nebezpečí společnosti (§ 349 ZOK)</w:t>
      </w:r>
    </w:p>
    <w:p w:rsidR="006621B9" w:rsidRDefault="006621B9" w:rsidP="004D0E8C">
      <w:pPr>
        <w:pStyle w:val="Odstavecseseznamem"/>
        <w:numPr>
          <w:ilvl w:val="0"/>
          <w:numId w:val="47"/>
        </w:numPr>
        <w:ind w:left="1134"/>
        <w:jc w:val="both"/>
      </w:pPr>
      <w:r>
        <w:t xml:space="preserve">je možné vyplatit jiným osobám, než jsou akcionáři za předpokladu, že usnesení o „implementaci“ možnosti  2/3 většiny a usnesení rozhodnutí většiny ¾ většiny každého druhu akcií (superkvalifikovaná většina).   </w:t>
      </w:r>
    </w:p>
    <w:p w:rsidR="006621B9" w:rsidRDefault="006621B9" w:rsidP="004D0E8C">
      <w:pPr>
        <w:pStyle w:val="Odstavecseseznamem"/>
        <w:ind w:left="360"/>
        <w:jc w:val="both"/>
      </w:pPr>
    </w:p>
    <w:p w:rsidR="006621B9" w:rsidRDefault="006621B9" w:rsidP="004D0E8C">
      <w:pPr>
        <w:pStyle w:val="Odstavecseseznamem"/>
        <w:ind w:left="360"/>
        <w:jc w:val="both"/>
      </w:pPr>
      <w:r w:rsidRPr="005F0D20">
        <w:rPr>
          <w:b/>
          <w:i/>
        </w:rPr>
        <w:t>Možný dopad</w:t>
      </w:r>
      <w:r>
        <w:t xml:space="preserve"> na ČEPRO a jeho procesy</w:t>
      </w:r>
    </w:p>
    <w:p w:rsidR="006621B9" w:rsidRDefault="006621B9" w:rsidP="004D0E8C">
      <w:pPr>
        <w:pStyle w:val="Odstavecseseznamem"/>
        <w:numPr>
          <w:ilvl w:val="0"/>
          <w:numId w:val="46"/>
        </w:numPr>
        <w:jc w:val="both"/>
      </w:pPr>
      <w:r>
        <w:t xml:space="preserve">Proces vyplácení podílu na zisku a jiných vlastních zdrojích (např. možnost vyplácení podílu na zisku do sociálního fondu nebo poskytování tantiém) </w:t>
      </w:r>
    </w:p>
    <w:p w:rsidR="006621B9" w:rsidRDefault="006621B9" w:rsidP="004D0E8C">
      <w:pPr>
        <w:pStyle w:val="Odstavecseseznamem"/>
        <w:ind w:left="360"/>
        <w:jc w:val="both"/>
      </w:pPr>
    </w:p>
    <w:p w:rsidR="006621B9" w:rsidRPr="00825F05" w:rsidRDefault="006621B9" w:rsidP="004D0E8C">
      <w:pPr>
        <w:pStyle w:val="Odstavecseseznamem"/>
        <w:numPr>
          <w:ilvl w:val="0"/>
          <w:numId w:val="45"/>
        </w:numPr>
        <w:jc w:val="both"/>
        <w:rPr>
          <w:b/>
        </w:rPr>
      </w:pPr>
      <w:r w:rsidRPr="00825F05">
        <w:rPr>
          <w:b/>
        </w:rPr>
        <w:t>Změna definice „převodních“ a „zastavujících“ jednání podléhající schválení VH</w:t>
      </w:r>
    </w:p>
    <w:p w:rsidR="006621B9" w:rsidRDefault="006621B9" w:rsidP="004D0E8C">
      <w:pPr>
        <w:pStyle w:val="Odstavecseseznamem"/>
        <w:ind w:left="360"/>
        <w:jc w:val="both"/>
      </w:pPr>
      <w:r>
        <w:t>§ 421 odst. 2 písm. m) ZOK</w:t>
      </w:r>
    </w:p>
    <w:p w:rsidR="006621B9" w:rsidRDefault="006621B9" w:rsidP="004D0E8C">
      <w:pPr>
        <w:pStyle w:val="Odstavecseseznamem"/>
        <w:ind w:left="360"/>
        <w:jc w:val="both"/>
      </w:pPr>
      <w:r>
        <w:t xml:space="preserve">Vedle převodu či zastavení závodu či jeho části podléhá schválení VH také převod či zastavení takového </w:t>
      </w:r>
      <w:r>
        <w:rPr>
          <w:b/>
        </w:rPr>
        <w:t>jmění (tedy i dluhů),</w:t>
      </w:r>
      <w:r>
        <w:t xml:space="preserve"> které by znamenala podstatnou </w:t>
      </w:r>
      <w:r w:rsidRPr="00F853A4">
        <w:rPr>
          <w:b/>
        </w:rPr>
        <w:t>změnu skutečného předmětu podnikání</w:t>
      </w:r>
      <w:r>
        <w:rPr>
          <w:b/>
        </w:rPr>
        <w:t xml:space="preserve"> nebo činnosti společnosti. Aplikuje se jak na nabývající, tak pozbývající společnost.</w:t>
      </w:r>
    </w:p>
    <w:p w:rsidR="006621B9" w:rsidRDefault="006621B9" w:rsidP="004D0E8C">
      <w:pPr>
        <w:pStyle w:val="Odstavecseseznamem"/>
        <w:ind w:left="360"/>
        <w:jc w:val="both"/>
      </w:pPr>
      <w:r>
        <w:t>Zákonodárce se přiklonil k materiálnímu pojetí, tedy zvýšené ochraně akcionáře.</w:t>
      </w:r>
    </w:p>
    <w:p w:rsidR="006621B9" w:rsidRDefault="006621B9" w:rsidP="004D0E8C">
      <w:pPr>
        <w:pStyle w:val="Odstavecseseznamem"/>
        <w:ind w:left="360"/>
        <w:jc w:val="both"/>
        <w:rPr>
          <w:b/>
          <w:i/>
        </w:rPr>
      </w:pPr>
    </w:p>
    <w:p w:rsidR="006621B9" w:rsidRDefault="006621B9" w:rsidP="004D0E8C">
      <w:pPr>
        <w:pStyle w:val="Odstavecseseznamem"/>
        <w:ind w:left="360"/>
        <w:jc w:val="both"/>
      </w:pPr>
      <w:r>
        <w:rPr>
          <w:b/>
          <w:i/>
        </w:rPr>
        <w:t>Možného</w:t>
      </w:r>
      <w:r w:rsidRPr="005F0D20">
        <w:rPr>
          <w:b/>
          <w:i/>
        </w:rPr>
        <w:t xml:space="preserve"> dopad</w:t>
      </w:r>
      <w:r w:rsidRPr="00F853A4">
        <w:rPr>
          <w:b/>
          <w:i/>
        </w:rPr>
        <w:t>y</w:t>
      </w:r>
      <w:r>
        <w:t xml:space="preserve"> na ČEPRO a jeho procesy:</w:t>
      </w:r>
    </w:p>
    <w:p w:rsidR="006621B9" w:rsidRPr="00F853A4" w:rsidRDefault="006621B9" w:rsidP="004D0E8C">
      <w:pPr>
        <w:pStyle w:val="Odstavecseseznamem"/>
        <w:numPr>
          <w:ilvl w:val="0"/>
          <w:numId w:val="46"/>
        </w:numPr>
        <w:jc w:val="both"/>
      </w:pPr>
      <w:r>
        <w:rPr>
          <w:i/>
        </w:rPr>
        <w:lastRenderedPageBreak/>
        <w:t>Důraz na přesnou dikci předmětu podnikání/činnosti společnosti</w:t>
      </w:r>
    </w:p>
    <w:p w:rsidR="006621B9" w:rsidRDefault="006621B9" w:rsidP="004D0E8C">
      <w:pPr>
        <w:pStyle w:val="Odstavecseseznamem"/>
        <w:numPr>
          <w:ilvl w:val="0"/>
          <w:numId w:val="46"/>
        </w:numPr>
        <w:jc w:val="both"/>
      </w:pPr>
      <w:r>
        <w:rPr>
          <w:i/>
        </w:rPr>
        <w:t xml:space="preserve">Zvýšená kontrola při akvizičním procesu ČS, jelikož u malých společností může i jedna ČS představovat podstatnou změnu předmětu podnikání.    </w:t>
      </w:r>
    </w:p>
    <w:p w:rsidR="006621B9" w:rsidRDefault="006621B9" w:rsidP="004D0E8C">
      <w:pPr>
        <w:pStyle w:val="Odstavecseseznamem"/>
        <w:ind w:left="360"/>
        <w:jc w:val="both"/>
      </w:pPr>
    </w:p>
    <w:p w:rsidR="006621B9" w:rsidRPr="00825F05" w:rsidRDefault="006621B9" w:rsidP="004D0E8C">
      <w:pPr>
        <w:pStyle w:val="Odstavecseseznamem"/>
        <w:numPr>
          <w:ilvl w:val="0"/>
          <w:numId w:val="45"/>
        </w:numPr>
        <w:jc w:val="both"/>
        <w:rPr>
          <w:b/>
        </w:rPr>
      </w:pPr>
      <w:r w:rsidRPr="00825F05">
        <w:rPr>
          <w:b/>
        </w:rPr>
        <w:t xml:space="preserve">Působnost VH – udělování strategických pokynů  </w:t>
      </w:r>
    </w:p>
    <w:p w:rsidR="006621B9" w:rsidRDefault="006621B9" w:rsidP="004D0E8C">
      <w:pPr>
        <w:pStyle w:val="Odstavecseseznamem"/>
        <w:ind w:left="360"/>
        <w:jc w:val="both"/>
      </w:pPr>
      <w:r>
        <w:t xml:space="preserve">Dochází k oddělení obchodního vedení a strategického vedení Je umožněno udělovat pokynů do strategického vedení. (§ 435 odst. 3 ZOK) </w:t>
      </w:r>
    </w:p>
    <w:p w:rsidR="006621B9" w:rsidRDefault="006621B9" w:rsidP="004D0E8C">
      <w:pPr>
        <w:pStyle w:val="Odstavecseseznamem"/>
        <w:ind w:left="360"/>
        <w:jc w:val="both"/>
      </w:pPr>
    </w:p>
    <w:p w:rsidR="006621B9" w:rsidRDefault="006621B9" w:rsidP="004D0E8C">
      <w:pPr>
        <w:pStyle w:val="Odstavecseseznamem"/>
        <w:ind w:left="360"/>
        <w:jc w:val="both"/>
      </w:pPr>
      <w:r>
        <w:rPr>
          <w:b/>
          <w:i/>
        </w:rPr>
        <w:t>Možného</w:t>
      </w:r>
      <w:r w:rsidRPr="005F0D20">
        <w:rPr>
          <w:b/>
          <w:i/>
        </w:rPr>
        <w:t xml:space="preserve"> dopad</w:t>
      </w:r>
      <w:r>
        <w:t xml:space="preserve"> na ČEPRO a jeho procesy:</w:t>
      </w:r>
    </w:p>
    <w:p w:rsidR="006621B9" w:rsidRDefault="006621B9" w:rsidP="004D0E8C">
      <w:pPr>
        <w:pStyle w:val="Odstavecseseznamem"/>
        <w:numPr>
          <w:ilvl w:val="0"/>
          <w:numId w:val="46"/>
        </w:numPr>
        <w:jc w:val="both"/>
      </w:pPr>
      <w:r w:rsidRPr="00554D66">
        <w:rPr>
          <w:i/>
        </w:rPr>
        <w:t xml:space="preserve">Proces strategického rozhodování </w:t>
      </w:r>
      <w:r>
        <w:rPr>
          <w:i/>
        </w:rPr>
        <w:t xml:space="preserve">- VH, resp. akcionář je oprávněn udělovat pokyny do strategického vedení představenstvu společnosti (např. rozšířit síť ČS) </w:t>
      </w:r>
      <w:r>
        <w:rPr>
          <w:b/>
          <w:i/>
        </w:rPr>
        <w:t xml:space="preserve"> </w:t>
      </w:r>
    </w:p>
    <w:p w:rsidR="006621B9" w:rsidRDefault="006621B9" w:rsidP="004D0E8C">
      <w:pPr>
        <w:pStyle w:val="Odstavecseseznamem"/>
        <w:ind w:left="360"/>
        <w:jc w:val="both"/>
      </w:pPr>
    </w:p>
    <w:p w:rsidR="006621B9" w:rsidRPr="00825F05" w:rsidRDefault="006621B9" w:rsidP="004D0E8C">
      <w:pPr>
        <w:pStyle w:val="Odstavecseseznamem"/>
        <w:numPr>
          <w:ilvl w:val="0"/>
          <w:numId w:val="45"/>
        </w:numPr>
        <w:jc w:val="both"/>
        <w:rPr>
          <w:b/>
        </w:rPr>
      </w:pPr>
      <w:r w:rsidRPr="00825F05">
        <w:rPr>
          <w:b/>
        </w:rPr>
        <w:t xml:space="preserve">Zákaz konkurence </w:t>
      </w:r>
    </w:p>
    <w:p w:rsidR="006621B9" w:rsidRDefault="006621B9" w:rsidP="004D0E8C">
      <w:pPr>
        <w:pStyle w:val="Odstavecseseznamem"/>
        <w:ind w:left="360"/>
        <w:jc w:val="both"/>
      </w:pPr>
      <w:r>
        <w:t>Odchylky od zákazu konkurence je možné stanovit pouze ve stanovách. Zákaz konkurence je tak dispozitivní.  Stejná úprava se uplatní i u DR a SRO.</w:t>
      </w:r>
    </w:p>
    <w:p w:rsidR="006621B9" w:rsidRDefault="006621B9" w:rsidP="004D0E8C">
      <w:pPr>
        <w:pStyle w:val="Odstavecseseznamem"/>
        <w:ind w:left="360"/>
        <w:jc w:val="both"/>
      </w:pPr>
    </w:p>
    <w:p w:rsidR="006621B9" w:rsidRDefault="006621B9" w:rsidP="004D0E8C">
      <w:pPr>
        <w:pStyle w:val="Odstavecseseznamem"/>
        <w:ind w:left="360"/>
        <w:jc w:val="both"/>
      </w:pPr>
      <w:r>
        <w:rPr>
          <w:b/>
          <w:i/>
        </w:rPr>
        <w:t>Možného</w:t>
      </w:r>
      <w:r w:rsidRPr="005F0D20">
        <w:rPr>
          <w:b/>
          <w:i/>
        </w:rPr>
        <w:t xml:space="preserve"> dopad</w:t>
      </w:r>
      <w:r>
        <w:t xml:space="preserve"> na ČEPRO a jeho procesy:</w:t>
      </w:r>
    </w:p>
    <w:p w:rsidR="006621B9" w:rsidRDefault="006621B9" w:rsidP="004D0E8C">
      <w:pPr>
        <w:pStyle w:val="Odstavecseseznamem"/>
        <w:numPr>
          <w:ilvl w:val="0"/>
          <w:numId w:val="46"/>
        </w:numPr>
        <w:jc w:val="both"/>
      </w:pPr>
      <w:r>
        <w:t xml:space="preserve">v případě vzniku situace naplňující stav konkurence je nutné změnit stanovy společnosti, případně v předstihu stanovit ve stanovách způsob odstraní zákazu konkurence a/nebo případů, který stanovy za zákaz konkurence nepovažují (např. účast v jiných společnostech ovládaných Českou republikou). </w:t>
      </w:r>
    </w:p>
    <w:p w:rsidR="006621B9" w:rsidRPr="009D4CF4" w:rsidRDefault="006621B9" w:rsidP="004D0E8C">
      <w:pPr>
        <w:pStyle w:val="Odstavecseseznamem"/>
        <w:ind w:left="360"/>
        <w:jc w:val="both"/>
        <w:rPr>
          <w:b/>
        </w:rPr>
      </w:pPr>
    </w:p>
    <w:p w:rsidR="006621B9" w:rsidRPr="009D4CF4" w:rsidRDefault="006621B9" w:rsidP="004D0E8C">
      <w:pPr>
        <w:pStyle w:val="Odstavecseseznamem"/>
        <w:numPr>
          <w:ilvl w:val="0"/>
          <w:numId w:val="45"/>
        </w:numPr>
        <w:jc w:val="both"/>
        <w:rPr>
          <w:b/>
        </w:rPr>
      </w:pPr>
      <w:r w:rsidRPr="009D4CF4">
        <w:rPr>
          <w:b/>
        </w:rPr>
        <w:t xml:space="preserve">Povinná kodeterminace </w:t>
      </w:r>
    </w:p>
    <w:p w:rsidR="006621B9" w:rsidRDefault="006621B9" w:rsidP="004D0E8C">
      <w:pPr>
        <w:pStyle w:val="Odstavecseseznamem"/>
        <w:ind w:left="360"/>
        <w:jc w:val="both"/>
      </w:pPr>
      <w:r>
        <w:t>Upravuje se podrobněji kodeterminace.  Návrat k úpravě v obchodním zákoníku.</w:t>
      </w:r>
    </w:p>
    <w:p w:rsidR="006621B9" w:rsidRDefault="006621B9" w:rsidP="004D0E8C">
      <w:pPr>
        <w:pStyle w:val="Odstavecseseznamem"/>
        <w:numPr>
          <w:ilvl w:val="2"/>
          <w:numId w:val="48"/>
        </w:numPr>
        <w:jc w:val="both"/>
      </w:pPr>
      <w:r>
        <w:t>zpřesňuje okamžik, který je rozhodný pro určení, zda má společnost více než 500 zaměstnanců (první de účetního období, ve kterém má být do funkce ustanoven člen DR) .</w:t>
      </w:r>
    </w:p>
    <w:p w:rsidR="006621B9" w:rsidRDefault="006621B9" w:rsidP="004D0E8C">
      <w:pPr>
        <w:pStyle w:val="Odstavecseseznamem"/>
        <w:numPr>
          <w:ilvl w:val="2"/>
          <w:numId w:val="48"/>
        </w:numPr>
        <w:jc w:val="both"/>
      </w:pPr>
      <w:r>
        <w:t xml:space="preserve">Přímo zakotvuje ponechání podrobnější úpravy voleb/odvolání na volebním řádu </w:t>
      </w:r>
    </w:p>
    <w:p w:rsidR="006621B9" w:rsidRDefault="006621B9" w:rsidP="004D0E8C">
      <w:pPr>
        <w:pStyle w:val="Odstavecseseznamem"/>
        <w:ind w:left="360"/>
        <w:jc w:val="both"/>
      </w:pPr>
      <w:r w:rsidRPr="005F0D20">
        <w:rPr>
          <w:b/>
          <w:i/>
        </w:rPr>
        <w:t>Možný dopad</w:t>
      </w:r>
      <w:r>
        <w:t xml:space="preserve"> na ČEPRO a jeho procesy</w:t>
      </w:r>
    </w:p>
    <w:p w:rsidR="006621B9" w:rsidRDefault="006621B9" w:rsidP="004D0E8C">
      <w:pPr>
        <w:pStyle w:val="Odstavecseseznamem"/>
        <w:numPr>
          <w:ilvl w:val="0"/>
          <w:numId w:val="46"/>
        </w:numPr>
        <w:jc w:val="both"/>
      </w:pPr>
      <w:r>
        <w:t>Proces volby zástupce zaměstnanců v DR</w:t>
      </w:r>
    </w:p>
    <w:p w:rsidR="006621B9" w:rsidRDefault="006621B9" w:rsidP="004D0E8C">
      <w:pPr>
        <w:jc w:val="both"/>
      </w:pPr>
      <w:r>
        <w:t>Doba na reflektování případných dopadů na procesy ČEPRO, a.s. je shodná s legisvakanční lhůtou, tedy do 1.1.2021</w:t>
      </w:r>
      <w:r w:rsidR="00825F05">
        <w:t>.</w:t>
      </w:r>
      <w:r>
        <w:t xml:space="preserve">   </w:t>
      </w:r>
    </w:p>
    <w:p w:rsidR="006621B9" w:rsidRDefault="006621B9" w:rsidP="00825F05">
      <w:pPr>
        <w:jc w:val="both"/>
      </w:pPr>
      <w:r>
        <w:t xml:space="preserve"> </w:t>
      </w:r>
    </w:p>
    <w:p w:rsidR="009D4CF4" w:rsidRDefault="009D4CF4" w:rsidP="00825F05">
      <w:pPr>
        <w:jc w:val="both"/>
      </w:pPr>
    </w:p>
    <w:p w:rsidR="009D4CF4" w:rsidRDefault="009D4CF4" w:rsidP="00825F05">
      <w:pPr>
        <w:jc w:val="both"/>
      </w:pPr>
    </w:p>
    <w:p w:rsidR="009D4CF4" w:rsidRDefault="009D4CF4" w:rsidP="00825F05">
      <w:pPr>
        <w:jc w:val="both"/>
      </w:pPr>
    </w:p>
    <w:p w:rsidR="009D4CF4" w:rsidRDefault="009D4CF4" w:rsidP="00825F05">
      <w:pPr>
        <w:jc w:val="both"/>
      </w:pPr>
    </w:p>
    <w:p w:rsidR="009D4CF4" w:rsidRDefault="009D4CF4" w:rsidP="00825F05">
      <w:pPr>
        <w:jc w:val="both"/>
      </w:pPr>
    </w:p>
    <w:p w:rsidR="009D4CF4" w:rsidRPr="006621B9" w:rsidRDefault="009D4CF4" w:rsidP="00825F05">
      <w:pPr>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E23EF9">
      <w:pPr>
        <w:pStyle w:val="Bezmezer"/>
        <w:numPr>
          <w:ilvl w:val="0"/>
          <w:numId w:val="3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lastRenderedPageBreak/>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A81C2D" w:rsidP="008E4CC7">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81C2D">
        <w:rPr>
          <w:rStyle w:val="Hypertextovodkaz"/>
          <w:rFonts w:ascii="Tahoma" w:eastAsia="Times New Roman" w:hAnsi="Tahoma" w:cs="Tahoma"/>
          <w:b/>
          <w:bCs/>
          <w:color w:val="000000" w:themeColor="text1"/>
          <w:kern w:val="36"/>
          <w:sz w:val="24"/>
          <w:szCs w:val="24"/>
          <w:u w:val="none"/>
          <w:lang w:eastAsia="cs-CZ"/>
        </w:rPr>
        <w:t>Návrh vyhlášky, kterou se mění vyhláška č. 408/2015 Sb., o Pravidlech trhu s elektřinou, ve znění vyhlášky č. 127/2017 Sb.</w:t>
      </w:r>
      <w:r w:rsidR="00D86790">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D232D6" w:rsidRDefault="00A81C2D"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A81C2D">
        <w:rPr>
          <w:rStyle w:val="Hypertextovodkaz"/>
          <w:rFonts w:ascii="Tahoma" w:eastAsia="Times New Roman" w:hAnsi="Tahoma" w:cs="Tahoma"/>
          <w:bCs/>
          <w:color w:val="000000" w:themeColor="text1"/>
          <w:kern w:val="36"/>
          <w:sz w:val="20"/>
          <w:szCs w:val="20"/>
          <w:u w:val="none"/>
          <w:lang w:eastAsia="cs-CZ"/>
        </w:rPr>
        <w:t>KORNBJ3LGM5T</w:t>
      </w:r>
    </w:p>
    <w:p w:rsidR="00E7078F" w:rsidRDefault="00A81C2D"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045263" w:rsidRDefault="00045263"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7957FF" w:rsidRDefault="0087193D" w:rsidP="00BD3E7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87193D">
        <w:rPr>
          <w:rStyle w:val="Hypertextovodkaz"/>
          <w:rFonts w:ascii="Tahoma" w:eastAsia="Times New Roman" w:hAnsi="Tahoma" w:cs="Tahoma"/>
          <w:bCs/>
          <w:color w:val="000000" w:themeColor="text1"/>
          <w:kern w:val="36"/>
          <w:sz w:val="20"/>
          <w:szCs w:val="20"/>
          <w:u w:val="none"/>
          <w:lang w:eastAsia="cs-CZ"/>
        </w:rPr>
        <w:t>Návrh úpravy vyhlášky o Pravidlech trhu s elektřinou je převážně postaven na úpravách postupů, které primárně souvisí s registrací odběrných a předávacích míst a zajištěním regulační energie pro řešení stavů nerovnováhy a redispečinku. Úpravy ohledně registrace odběrných a předávacích míst vyplývají z nových požadavků energetického zákona, které nabydou účinnosti dnem 1. ledna 2020 (§ 24 odst. 10 písm. y), § 25 odst. 11 písm. l) energetického zákona). Úpravy pravidel pro zajištění regulační energie reagují na nově zavedená pravidla v přímo použitelném právním předpise (čl. 19 nařízení Komise (EU) 2017/2195 ze dne 23. listopadu 2017, kterým se stanoví rámcový pokyn pro obchodní zajišťování výkonové rovnováhy v elektroenergetice).</w:t>
      </w:r>
    </w:p>
    <w:p w:rsidR="0087193D" w:rsidRPr="00C34DBF" w:rsidRDefault="0087193D" w:rsidP="00BD3E7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33EF7" w:rsidRDefault="00233EF7" w:rsidP="00233EF7">
      <w:pPr>
        <w:spacing w:after="0" w:line="240" w:lineRule="auto"/>
        <w:jc w:val="center"/>
        <w:rPr>
          <w:rFonts w:ascii="Tahoma" w:eastAsia="Times New Roman" w:hAnsi="Tahoma" w:cs="Tahoma"/>
          <w:b/>
          <w:color w:val="303030"/>
          <w:sz w:val="24"/>
          <w:szCs w:val="24"/>
          <w:lang w:eastAsia="cs-CZ"/>
        </w:rPr>
      </w:pPr>
      <w:r w:rsidRPr="00233EF7">
        <w:rPr>
          <w:rFonts w:ascii="Tahoma" w:eastAsia="Times New Roman" w:hAnsi="Tahoma" w:cs="Tahoma"/>
          <w:b/>
          <w:color w:val="303030"/>
          <w:sz w:val="24"/>
          <w:szCs w:val="24"/>
          <w:lang w:eastAsia="cs-CZ"/>
        </w:rPr>
        <w:br/>
        <w:t>Návrh nařízení vlády, kterým se mění nařízení vlády č. 361/2007 Sb., kterým se stanoví podmínky ochrany zdraví při práci, ve znění pozdějších předpisů</w:t>
      </w:r>
    </w:p>
    <w:p w:rsidR="00233EF7" w:rsidRPr="00233EF7" w:rsidRDefault="00D86790" w:rsidP="00233EF7">
      <w:pPr>
        <w:spacing w:after="0" w:line="240" w:lineRule="auto"/>
        <w:jc w:val="center"/>
        <w:rPr>
          <w:rFonts w:ascii="Tahoma" w:eastAsia="Times New Roman" w:hAnsi="Tahoma" w:cs="Tahoma"/>
          <w:b/>
          <w:color w:val="303030"/>
          <w:sz w:val="24"/>
          <w:szCs w:val="24"/>
          <w:lang w:eastAsia="cs-CZ"/>
        </w:rPr>
      </w:pPr>
      <w:r>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233EF7" w:rsidRDefault="00233EF7" w:rsidP="00233EF7">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233EF7">
        <w:rPr>
          <w:rStyle w:val="Hypertextovodkaz"/>
          <w:rFonts w:ascii="Tahoma" w:eastAsia="Times New Roman" w:hAnsi="Tahoma" w:cs="Tahoma"/>
          <w:bCs/>
          <w:color w:val="000000" w:themeColor="text1"/>
          <w:kern w:val="36"/>
          <w:sz w:val="20"/>
          <w:szCs w:val="20"/>
          <w:u w:val="none"/>
          <w:lang w:eastAsia="cs-CZ"/>
        </w:rPr>
        <w:t>ALBSBEVEWMUI</w:t>
      </w:r>
    </w:p>
    <w:p w:rsidR="00233EF7" w:rsidRDefault="00233EF7" w:rsidP="00233EF7">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Předloženo legislativní radě vlády</w:t>
      </w:r>
    </w:p>
    <w:p w:rsidR="00233EF7" w:rsidRDefault="00233EF7" w:rsidP="00233EF7">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233EF7" w:rsidRDefault="00233EF7" w:rsidP="00233EF7">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233EF7">
        <w:rPr>
          <w:rStyle w:val="Hypertextovodkaz"/>
          <w:rFonts w:ascii="Tahoma" w:eastAsia="Times New Roman" w:hAnsi="Tahoma" w:cs="Tahoma"/>
          <w:bCs/>
          <w:color w:val="000000" w:themeColor="text1"/>
          <w:kern w:val="36"/>
          <w:sz w:val="20"/>
          <w:szCs w:val="20"/>
          <w:u w:val="none"/>
          <w:lang w:eastAsia="cs-CZ"/>
        </w:rPr>
        <w:t>Hlavním důvodem novely nařízení vlády je transpozice směrnice Evropského parlamentu a Rady 2017/2398 ze dne 12. prosince 2017, kterou se mění směrnice 2004/37/ES o ochraně zaměstnanců před riziky spojenými s expozicí karcinogenům nebo mutagenům při práci a směrnice Evropského parlamentu a Rady 2019/130 ze dne 16. ledna 2019, kterou se mění směrnice 2004/37/ES o ochraně zaměstnanců před riziky spojenými s expozicí karcinogenům nebo mutagenům při práci. Novelou jsou též navrženy úpravy v národní části předpisu, které převážně vycházejí z komplikací a nedostatků v praxi.</w:t>
      </w:r>
    </w:p>
    <w:p w:rsidR="009D4CF4" w:rsidRDefault="009D4CF4" w:rsidP="00233EF7">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D4CF4" w:rsidRDefault="009D4CF4" w:rsidP="00233EF7">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D4CF4" w:rsidRDefault="009D4CF4" w:rsidP="00233EF7">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33EF7" w:rsidRDefault="00233EF7" w:rsidP="00233EF7">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64EA6" w:rsidRDefault="00D64EA6" w:rsidP="00D64EA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81C2D">
        <w:rPr>
          <w:rStyle w:val="Hypertextovodkaz"/>
          <w:rFonts w:ascii="Tahoma" w:eastAsia="Times New Roman" w:hAnsi="Tahoma" w:cs="Tahoma"/>
          <w:b/>
          <w:bCs/>
          <w:color w:val="000000" w:themeColor="text1"/>
          <w:kern w:val="36"/>
          <w:sz w:val="24"/>
          <w:szCs w:val="24"/>
          <w:u w:val="none"/>
          <w:lang w:eastAsia="cs-CZ"/>
        </w:rPr>
        <w:lastRenderedPageBreak/>
        <w:t xml:space="preserve">Návrh </w:t>
      </w:r>
      <w:r>
        <w:rPr>
          <w:rStyle w:val="Hypertextovodkaz"/>
          <w:rFonts w:ascii="Tahoma" w:eastAsia="Times New Roman" w:hAnsi="Tahoma" w:cs="Tahoma"/>
          <w:b/>
          <w:bCs/>
          <w:color w:val="000000" w:themeColor="text1"/>
          <w:kern w:val="36"/>
          <w:sz w:val="24"/>
          <w:szCs w:val="24"/>
          <w:u w:val="none"/>
          <w:lang w:eastAsia="cs-CZ"/>
        </w:rPr>
        <w:t>nového stavebního zákona</w:t>
      </w:r>
      <w:r w:rsidR="00D86790">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D64EA6" w:rsidRDefault="00D64EA6" w:rsidP="00D64EA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EKLEP</w:t>
      </w:r>
      <w:r w:rsidRPr="00D64EA6">
        <w:t xml:space="preserve"> </w:t>
      </w:r>
      <w:r w:rsidRPr="00D64EA6">
        <w:rPr>
          <w:rStyle w:val="Hypertextovodkaz"/>
          <w:rFonts w:ascii="Tahoma" w:eastAsia="Times New Roman" w:hAnsi="Tahoma" w:cs="Tahoma"/>
          <w:bCs/>
          <w:color w:val="000000" w:themeColor="text1"/>
          <w:kern w:val="36"/>
          <w:sz w:val="20"/>
          <w:szCs w:val="20"/>
          <w:u w:val="none"/>
          <w:lang w:eastAsia="cs-CZ"/>
        </w:rPr>
        <w:t>KORNBJ9HX8DA</w:t>
      </w:r>
    </w:p>
    <w:p w:rsidR="00D64EA6" w:rsidRDefault="00D64EA6" w:rsidP="00D64EA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D64EA6" w:rsidRDefault="00D64EA6" w:rsidP="00D64EA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D64EA6" w:rsidRDefault="00D64EA6" w:rsidP="00D64EA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64EA6">
        <w:rPr>
          <w:rStyle w:val="Hypertextovodkaz"/>
          <w:rFonts w:ascii="Tahoma" w:eastAsia="Times New Roman" w:hAnsi="Tahoma" w:cs="Tahoma"/>
          <w:bCs/>
          <w:color w:val="000000" w:themeColor="text1"/>
          <w:kern w:val="36"/>
          <w:sz w:val="20"/>
          <w:szCs w:val="20"/>
          <w:u w:val="none"/>
          <w:lang w:eastAsia="cs-CZ"/>
        </w:rPr>
        <w:t>Nový stavební zákon zavádí novou soustavu státní stavební správy, upravuje zřízení informačních systémů státní stavební správy, v rámci územního plánování mění formu územně plánovací dokumentace na právní předpis (nařízení vlády a obecně závazné vyhlášky obce a kraje), stanoví pouze jeden typ řízení o povolení stavby a zavádí nový institut automaticky vygenerovaného rozhodnutí, upravuje speciality v soudním přezkumu stavebních rozhodnutí.</w:t>
      </w:r>
    </w:p>
    <w:p w:rsidR="00D64EA6" w:rsidRDefault="00D64EA6" w:rsidP="00D64EA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64EA6" w:rsidRDefault="00D64EA6" w:rsidP="00D64EA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 se aktuálně podílí na připomínkování předloženého návrhu zákona prostřednictvím ČAPPO.</w:t>
      </w:r>
    </w:p>
    <w:p w:rsidR="00D64EA6" w:rsidRPr="00C34DBF" w:rsidRDefault="00D64EA6" w:rsidP="00D64EA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64EA6" w:rsidRDefault="00D64EA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392A6A" w:rsidRPr="0028797B" w:rsidRDefault="00392A6A" w:rsidP="00E23EF9">
      <w:pPr>
        <w:pStyle w:val="Bezmezer"/>
        <w:numPr>
          <w:ilvl w:val="0"/>
          <w:numId w:val="38"/>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D232D6" w:rsidRPr="00E23EF9" w:rsidRDefault="0087193D" w:rsidP="00A60274">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7193D">
        <w:rPr>
          <w:rStyle w:val="Hypertextovodkaz"/>
          <w:rFonts w:ascii="Tahoma" w:eastAsia="Times New Roman" w:hAnsi="Tahoma" w:cs="Tahoma"/>
          <w:b/>
          <w:bCs/>
          <w:color w:val="000000" w:themeColor="text1"/>
          <w:kern w:val="36"/>
          <w:sz w:val="24"/>
          <w:szCs w:val="24"/>
          <w:u w:val="none"/>
          <w:lang w:eastAsia="cs-CZ"/>
        </w:rPr>
        <w:t>Trestní postih jako krajní opatření</w:t>
      </w:r>
      <w:r w:rsidR="00D86790">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344168" w:rsidRPr="00E23EF9" w:rsidRDefault="0087193D" w:rsidP="0034416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Ústavní soud </w:t>
      </w:r>
      <w:r w:rsidRPr="0087193D">
        <w:rPr>
          <w:rStyle w:val="Hypertextovodkaz"/>
          <w:rFonts w:ascii="Tahoma" w:eastAsia="Times New Roman" w:hAnsi="Tahoma" w:cs="Tahoma"/>
          <w:bCs/>
          <w:color w:val="000000" w:themeColor="text1"/>
          <w:kern w:val="36"/>
          <w:sz w:val="20"/>
          <w:szCs w:val="20"/>
          <w:u w:val="none"/>
          <w:lang w:eastAsia="cs-CZ"/>
        </w:rPr>
        <w:t>sp. zn. II. ÚS 6 98/19</w:t>
      </w:r>
    </w:p>
    <w:p w:rsidR="0087193D" w:rsidRDefault="0087193D" w:rsidP="0087193D">
      <w:pPr>
        <w:pStyle w:val="Normlnweb"/>
        <w:shd w:val="clear" w:color="auto" w:fill="FFFFFF"/>
        <w:spacing w:before="0" w:beforeAutospacing="0" w:after="158" w:afterAutospacing="0"/>
        <w:jc w:val="both"/>
        <w:rPr>
          <w:rFonts w:ascii="Arial" w:hAnsi="Arial" w:cs="Arial"/>
          <w:color w:val="666666"/>
          <w:sz w:val="23"/>
          <w:szCs w:val="23"/>
        </w:rPr>
      </w:pPr>
    </w:p>
    <w:p w:rsidR="0087193D" w:rsidRPr="0087193D" w:rsidRDefault="0087193D" w:rsidP="00145C1F">
      <w:pPr>
        <w:pStyle w:val="Normlnweb"/>
        <w:shd w:val="clear" w:color="auto" w:fill="FFFFFF"/>
        <w:spacing w:before="0" w:beforeAutospacing="0" w:after="158" w:afterAutospacing="0" w:line="360" w:lineRule="auto"/>
        <w:jc w:val="both"/>
        <w:rPr>
          <w:rFonts w:ascii="Tahoma" w:hAnsi="Tahoma" w:cs="Tahoma"/>
          <w:color w:val="000000" w:themeColor="text1"/>
          <w:sz w:val="20"/>
          <w:szCs w:val="20"/>
        </w:rPr>
      </w:pPr>
      <w:r w:rsidRPr="0087193D">
        <w:rPr>
          <w:rFonts w:ascii="Tahoma" w:hAnsi="Tahoma" w:cs="Tahoma"/>
          <w:color w:val="000000" w:themeColor="text1"/>
          <w:sz w:val="20"/>
          <w:szCs w:val="20"/>
        </w:rPr>
        <w:t>Ústavní soud vyhověl ústavní stížnosti a zrušil rozhodnutí obecných soudů, které uznaly stěžovatele vinným ze spáchání přečinu povinnosti při správě cizího majetku. Trestného činu se měl stěžovatel v postavení náměstka ministra financí dopustit iniciací a zadáním dvou veřejných zakázek v celkové ceně 1 464 399,18 Kč, jejichž předmětem bylo zpracování právních analýz týkajících se postupu ministerstva financí po vyhlášení nálezu Ústavního soudu o regulaci hazardu a následným uzavřením smluv s Institutem kontroly, o. p. s., a advokátní kanceláří Weil, Gotshal &amp; Manges, s. r. o. jako zpracovateli těchto analýz. Zadání zakázky pro Institut kontroly, o. p. s., stěžovatel odůvodnil tím, že se bude podílet zpracováním analýzy na přípravě zahájení správních řízení směřujících ke zrušení povolení k provozování interaktivních videoloterijních terminálů. Uvedená advokátní kancelář měla zpracovat analýzu týkající se možných mezinárodních arbitráží. Obecné soudy dospěly k závěru, že obě veřejné zakázky byly zadány zcela neúčelně a nadbytečně.</w:t>
      </w:r>
    </w:p>
    <w:p w:rsidR="0087193D" w:rsidRPr="0087193D" w:rsidRDefault="0087193D" w:rsidP="00145C1F">
      <w:pPr>
        <w:pStyle w:val="Normlnweb"/>
        <w:shd w:val="clear" w:color="auto" w:fill="FFFFFF"/>
        <w:spacing w:before="0" w:beforeAutospacing="0" w:after="158" w:afterAutospacing="0" w:line="360" w:lineRule="auto"/>
        <w:jc w:val="both"/>
        <w:rPr>
          <w:rFonts w:ascii="Tahoma" w:hAnsi="Tahoma" w:cs="Tahoma"/>
          <w:color w:val="000000" w:themeColor="text1"/>
          <w:sz w:val="20"/>
          <w:szCs w:val="20"/>
        </w:rPr>
      </w:pPr>
      <w:r w:rsidRPr="0087193D">
        <w:rPr>
          <w:rFonts w:ascii="Tahoma" w:hAnsi="Tahoma" w:cs="Tahoma"/>
          <w:color w:val="000000" w:themeColor="text1"/>
          <w:sz w:val="20"/>
          <w:szCs w:val="20"/>
        </w:rPr>
        <w:t>Stěžovatel namítal, že zadání analýz bylo v souladu s požadavkem péče řádného hospodáře (řídil se rčením „dvakrát měř, jednou řež“), a nebylo tedy protiprávní. Soudy se podle něj nedostatečně zabývaly naplněním subjektivní stránky trestného činu, tedy úmyslem, a neprovedly ani důkaz předmětnými právními analýzami, s nimiž se vůbec neseznámily.</w:t>
      </w:r>
    </w:p>
    <w:p w:rsidR="0087193D" w:rsidRPr="0087193D" w:rsidRDefault="0087193D" w:rsidP="00145C1F">
      <w:pPr>
        <w:pStyle w:val="Normlnweb"/>
        <w:shd w:val="clear" w:color="auto" w:fill="FFFFFF"/>
        <w:spacing w:before="0" w:beforeAutospacing="0" w:after="158" w:afterAutospacing="0" w:line="360" w:lineRule="auto"/>
        <w:jc w:val="both"/>
        <w:rPr>
          <w:rFonts w:ascii="Tahoma" w:hAnsi="Tahoma" w:cs="Tahoma"/>
          <w:color w:val="000000" w:themeColor="text1"/>
          <w:sz w:val="20"/>
          <w:szCs w:val="20"/>
        </w:rPr>
      </w:pPr>
      <w:r w:rsidRPr="0087193D">
        <w:rPr>
          <w:rFonts w:ascii="Tahoma" w:hAnsi="Tahoma" w:cs="Tahoma"/>
          <w:color w:val="000000" w:themeColor="text1"/>
          <w:sz w:val="20"/>
          <w:szCs w:val="20"/>
        </w:rPr>
        <w:lastRenderedPageBreak/>
        <w:t>Ústavní soud dospěl k závěru, že v daném případě došlo k extrémnímu nesouladu mezi skutkovými zjištěními plynoucími z provedeného dokazování a vyvozenými právními závěry (porušení zásady</w:t>
      </w:r>
      <w:r w:rsidRPr="0087193D">
        <w:rPr>
          <w:rStyle w:val="Zvraznn"/>
          <w:rFonts w:ascii="Tahoma" w:hAnsi="Tahoma" w:cs="Tahoma"/>
          <w:color w:val="000000" w:themeColor="text1"/>
          <w:sz w:val="20"/>
          <w:szCs w:val="20"/>
        </w:rPr>
        <w:t> in dubio pro reo</w:t>
      </w:r>
      <w:r w:rsidRPr="0087193D">
        <w:rPr>
          <w:rFonts w:ascii="Tahoma" w:hAnsi="Tahoma" w:cs="Tahoma"/>
          <w:color w:val="000000" w:themeColor="text1"/>
          <w:sz w:val="20"/>
          <w:szCs w:val="20"/>
        </w:rPr>
        <w:t>) a současně nebyl důsledně respektován princip trestněprávní represe coby krajního prostředku (</w:t>
      </w:r>
      <w:r w:rsidRPr="0087193D">
        <w:rPr>
          <w:rStyle w:val="Zvraznn"/>
          <w:rFonts w:ascii="Tahoma" w:hAnsi="Tahoma" w:cs="Tahoma"/>
          <w:color w:val="000000" w:themeColor="text1"/>
          <w:sz w:val="20"/>
          <w:szCs w:val="20"/>
        </w:rPr>
        <w:t>ultima ratio</w:t>
      </w:r>
      <w:r w:rsidRPr="0087193D">
        <w:rPr>
          <w:rFonts w:ascii="Tahoma" w:hAnsi="Tahoma" w:cs="Tahoma"/>
          <w:color w:val="000000" w:themeColor="text1"/>
          <w:sz w:val="20"/>
          <w:szCs w:val="20"/>
        </w:rPr>
        <w:t>). Obecné soudy při hodnocení důkazů nezohlednily některé podstatné okolnosti daného případu. Z provedených důkazů totiž vyplývá několik možných skutkových verzí případu, z nichž některé nasvědčují nevině stěžovatele, a jiné zase podporují závěr o jeho vině. Obecné soudy však tyto rozpory náležitě nevyhodnotily a přiklonily se k verzi o vině stěžovatele, aniž by ovšem svůj závěr přesvědčivě odůvodnily.</w:t>
      </w:r>
    </w:p>
    <w:p w:rsidR="0087193D" w:rsidRPr="0087193D" w:rsidRDefault="0087193D" w:rsidP="00145C1F">
      <w:pPr>
        <w:pStyle w:val="Normlnweb"/>
        <w:shd w:val="clear" w:color="auto" w:fill="FFFFFF"/>
        <w:spacing w:before="0" w:beforeAutospacing="0" w:after="158" w:afterAutospacing="0" w:line="360" w:lineRule="auto"/>
        <w:jc w:val="both"/>
        <w:rPr>
          <w:rFonts w:ascii="Tahoma" w:hAnsi="Tahoma" w:cs="Tahoma"/>
          <w:color w:val="000000" w:themeColor="text1"/>
          <w:sz w:val="20"/>
          <w:szCs w:val="20"/>
        </w:rPr>
      </w:pPr>
      <w:r w:rsidRPr="0087193D">
        <w:rPr>
          <w:rFonts w:ascii="Tahoma" w:hAnsi="Tahoma" w:cs="Tahoma"/>
          <w:color w:val="000000" w:themeColor="text1"/>
          <w:sz w:val="20"/>
          <w:szCs w:val="20"/>
        </w:rPr>
        <w:t>Jakkoliv Ústavní soud nepopírá, že v daném případě lze pochybovat o racionalitě a hospodárnosti počínání stěžovatele, je třeba je hodnotit jednak v tehdejším „dobovém“ kontextu (viz zejména ministrem financí zdůrazněný pokyn vyžadovat externí stanoviska s ohledem na čerstvé kauzy na jiném ministerstvu) a jednak s přihlédnutím k zásadě dovozování trestní odpovědnosti jako </w:t>
      </w:r>
      <w:r w:rsidRPr="0087193D">
        <w:rPr>
          <w:rStyle w:val="Zvraznn"/>
          <w:rFonts w:ascii="Tahoma" w:hAnsi="Tahoma" w:cs="Tahoma"/>
          <w:color w:val="000000" w:themeColor="text1"/>
          <w:sz w:val="20"/>
          <w:szCs w:val="20"/>
        </w:rPr>
        <w:t>ultima ratio</w:t>
      </w:r>
      <w:r w:rsidRPr="0087193D">
        <w:rPr>
          <w:rFonts w:ascii="Tahoma" w:hAnsi="Tahoma" w:cs="Tahoma"/>
          <w:color w:val="000000" w:themeColor="text1"/>
          <w:sz w:val="20"/>
          <w:szCs w:val="20"/>
        </w:rPr>
        <w:t xml:space="preserve">. </w:t>
      </w:r>
      <w:r w:rsidRPr="0087193D">
        <w:rPr>
          <w:rFonts w:ascii="Tahoma" w:hAnsi="Tahoma" w:cs="Tahoma"/>
          <w:b/>
          <w:color w:val="000000" w:themeColor="text1"/>
          <w:sz w:val="20"/>
          <w:szCs w:val="20"/>
        </w:rPr>
        <w:t>Jinak řečeno, ne každé neracionální či nehospodárné jednání je nutně i jednáním, které by mělo být postiženo trestněprávními nástroji. Pokud by totiž tato zásada neplatila, pak by mohla nastat i situace, kdy by každý vedoucí pracovník byl příslovečně „jednou nohou ve vězení“, což by reálně mohlo vést k alibismu, nerozhodnosti a ke zlidovění rčení, podle kterého „kdo nic nedělá, ani nic nezkazí.“</w:t>
      </w:r>
      <w:r w:rsidRPr="0087193D">
        <w:rPr>
          <w:rFonts w:ascii="Tahoma" w:hAnsi="Tahoma" w:cs="Tahoma"/>
          <w:color w:val="000000" w:themeColor="text1"/>
          <w:sz w:val="20"/>
          <w:szCs w:val="20"/>
        </w:rPr>
        <w:t xml:space="preserve"> Od vedoucích pracovníků se přitom očekává pravý opak: invence, kreativita a schopnost nést za svoje rozhodnutí i odpovědnost, která však má být vedena v trestněprávní rovině teprve v krajním případě, po vyloučení možnosti postihů jiných (správních, pracovněprávních či civilněprávních).</w:t>
      </w:r>
    </w:p>
    <w:p w:rsidR="00447E10" w:rsidRPr="008E4CC7" w:rsidRDefault="00447E10" w:rsidP="00525598">
      <w:pPr>
        <w:pStyle w:val="Bezmezer"/>
        <w:spacing w:line="360" w:lineRule="auto"/>
        <w:jc w:val="center"/>
        <w:rPr>
          <w:rStyle w:val="Hypertextovodkaz"/>
          <w:rFonts w:ascii="Tahoma" w:eastAsia="Times New Roman" w:hAnsi="Tahoma" w:cs="Tahoma"/>
          <w:b/>
          <w:bCs/>
          <w:color w:val="000000" w:themeColor="text1"/>
          <w:kern w:val="36"/>
          <w:sz w:val="24"/>
          <w:szCs w:val="24"/>
          <w:highlight w:val="yellow"/>
          <w:u w:val="none"/>
          <w:lang w:eastAsia="cs-CZ"/>
        </w:rPr>
      </w:pPr>
    </w:p>
    <w:p w:rsidR="008A38F7" w:rsidRPr="00E23EF9" w:rsidRDefault="008A38F7" w:rsidP="008A38F7">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A38F7">
        <w:rPr>
          <w:rStyle w:val="Hypertextovodkaz"/>
          <w:rFonts w:ascii="Tahoma" w:eastAsia="Times New Roman" w:hAnsi="Tahoma" w:cs="Tahoma"/>
          <w:b/>
          <w:bCs/>
          <w:color w:val="000000" w:themeColor="text1"/>
          <w:kern w:val="36"/>
          <w:sz w:val="24"/>
          <w:szCs w:val="24"/>
          <w:u w:val="none"/>
          <w:lang w:eastAsia="cs-CZ"/>
        </w:rPr>
        <w:t>Podání podnětu k Úřadu pro ochranu hospodářské soutěže nesmí být zpoplatněno</w:t>
      </w:r>
      <w:r w:rsidR="00D86790">
        <w:rPr>
          <w:rStyle w:val="Hypertextovodkaz"/>
          <w:rFonts w:ascii="Tahoma" w:eastAsia="Times New Roman" w:hAnsi="Tahoma" w:cs="Tahoma"/>
          <w:b/>
          <w:bCs/>
          <w:color w:val="000000" w:themeColor="text1"/>
          <w:kern w:val="36"/>
          <w:sz w:val="24"/>
          <w:szCs w:val="24"/>
          <w:u w:val="none"/>
          <w:lang w:eastAsia="cs-CZ"/>
        </w:rPr>
        <w:pict>
          <v:rect id="_x0000_i1034" style="width:0;height:1.5pt" o:hralign="center" o:hrstd="t" o:hr="t" fillcolor="#a0a0a0" stroked="f"/>
        </w:pict>
      </w:r>
    </w:p>
    <w:p w:rsidR="008A38F7" w:rsidRDefault="008A38F7" w:rsidP="008A38F7">
      <w:pPr>
        <w:pStyle w:val="Normlnweb"/>
        <w:shd w:val="clear" w:color="auto" w:fill="FFFFFF"/>
        <w:spacing w:before="0" w:beforeAutospacing="0" w:after="158" w:afterAutospacing="0"/>
        <w:jc w:val="right"/>
        <w:rPr>
          <w:rStyle w:val="Hypertextovodkaz"/>
          <w:rFonts w:ascii="Tahoma" w:hAnsi="Tahoma" w:cs="Tahoma"/>
          <w:bCs/>
          <w:color w:val="000000" w:themeColor="text1"/>
          <w:kern w:val="36"/>
          <w:sz w:val="20"/>
          <w:szCs w:val="20"/>
          <w:u w:val="none"/>
        </w:rPr>
      </w:pPr>
      <w:r>
        <w:rPr>
          <w:rStyle w:val="Hypertextovodkaz"/>
          <w:rFonts w:ascii="Tahoma" w:hAnsi="Tahoma" w:cs="Tahoma"/>
          <w:bCs/>
          <w:color w:val="000000" w:themeColor="text1"/>
          <w:kern w:val="36"/>
          <w:sz w:val="20"/>
          <w:szCs w:val="20"/>
          <w:u w:val="none"/>
        </w:rPr>
        <w:t>Nález</w:t>
      </w:r>
      <w:r w:rsidRPr="008A38F7">
        <w:rPr>
          <w:rStyle w:val="Hypertextovodkaz"/>
          <w:rFonts w:ascii="Tahoma" w:hAnsi="Tahoma" w:cs="Tahoma"/>
          <w:bCs/>
          <w:color w:val="000000" w:themeColor="text1"/>
          <w:kern w:val="36"/>
          <w:sz w:val="20"/>
          <w:szCs w:val="20"/>
          <w:u w:val="none"/>
        </w:rPr>
        <w:t xml:space="preserve"> Ústavního soudu sp. zn. Pl. ÚS 7/19</w:t>
      </w:r>
    </w:p>
    <w:p w:rsidR="008A38F7" w:rsidRDefault="008A38F7" w:rsidP="008A38F7">
      <w:pPr>
        <w:pStyle w:val="Normlnweb"/>
        <w:shd w:val="clear" w:color="auto" w:fill="FFFFFF"/>
        <w:spacing w:before="0" w:beforeAutospacing="0" w:after="158" w:afterAutospacing="0"/>
        <w:jc w:val="right"/>
        <w:rPr>
          <w:rStyle w:val="Hypertextovodkaz"/>
          <w:rFonts w:ascii="Tahoma" w:hAnsi="Tahoma" w:cs="Tahoma"/>
          <w:bCs/>
          <w:color w:val="000000" w:themeColor="text1"/>
          <w:kern w:val="36"/>
          <w:sz w:val="20"/>
          <w:szCs w:val="20"/>
          <w:u w:val="none"/>
        </w:rPr>
      </w:pPr>
    </w:p>
    <w:p w:rsidR="008A38F7" w:rsidRPr="00145C1F" w:rsidRDefault="008A38F7" w:rsidP="00225A40">
      <w:pPr>
        <w:pStyle w:val="Normlnweb"/>
        <w:shd w:val="clear" w:color="auto" w:fill="FFFFFF"/>
        <w:spacing w:after="158" w:line="360" w:lineRule="auto"/>
        <w:jc w:val="both"/>
        <w:rPr>
          <w:rFonts w:ascii="Tahoma" w:hAnsi="Tahoma" w:cs="Tahoma"/>
          <w:color w:val="000000" w:themeColor="text1"/>
          <w:sz w:val="20"/>
          <w:szCs w:val="20"/>
        </w:rPr>
      </w:pPr>
      <w:r w:rsidRPr="00145C1F">
        <w:rPr>
          <w:rFonts w:ascii="Tahoma" w:hAnsi="Tahoma" w:cs="Tahoma"/>
          <w:color w:val="000000" w:themeColor="text1"/>
          <w:sz w:val="20"/>
          <w:szCs w:val="20"/>
        </w:rPr>
        <w:t xml:space="preserve">Plénum Ústavního soudu zrušilo ke dni vyhlášení nálezu ve Sbírce zákonů § 259 zákona č. 134/2016 Sb., o zadávání veřejných zakázek, neboť toto ustanovení shledalo neústavním. </w:t>
      </w:r>
    </w:p>
    <w:p w:rsidR="008A38F7" w:rsidRDefault="00145C1F" w:rsidP="00225A40">
      <w:pPr>
        <w:pStyle w:val="Normlnweb"/>
        <w:shd w:val="clear" w:color="auto" w:fill="FFFFFF"/>
        <w:spacing w:before="0" w:beforeAutospacing="0" w:after="158" w:afterAutospacing="0" w:line="360" w:lineRule="auto"/>
        <w:jc w:val="both"/>
        <w:rPr>
          <w:rFonts w:ascii="Tahoma" w:hAnsi="Tahoma" w:cs="Tahoma"/>
          <w:color w:val="000000" w:themeColor="text1"/>
          <w:sz w:val="20"/>
          <w:szCs w:val="20"/>
        </w:rPr>
      </w:pPr>
      <w:r w:rsidRPr="00145C1F">
        <w:rPr>
          <w:rFonts w:ascii="Tahoma" w:hAnsi="Tahoma" w:cs="Tahoma"/>
          <w:color w:val="000000" w:themeColor="text1"/>
          <w:sz w:val="20"/>
          <w:szCs w:val="20"/>
        </w:rPr>
        <w:t>Napadené ustanovení stanovovalo</w:t>
      </w:r>
      <w:r w:rsidR="008A38F7" w:rsidRPr="00145C1F">
        <w:rPr>
          <w:rFonts w:ascii="Tahoma" w:hAnsi="Tahoma" w:cs="Tahoma"/>
          <w:color w:val="000000" w:themeColor="text1"/>
          <w:sz w:val="20"/>
          <w:szCs w:val="20"/>
        </w:rPr>
        <w:t xml:space="preserve"> poplatkovou povinnost ve výši 10 000 Kč za podání podnětu ÚOHS k zahájení správního řízení z moci úřední za každou veřejnou zakázku, ve vztahu k níž je v podnětu uvedeno pochybení. V případě nezaplacení poplatku se podnět nevyřizuje, poplatek se nevrací a osvobození od poplatku ani prodloužení lhůty pro zaplacení není přípustné.</w:t>
      </w:r>
    </w:p>
    <w:p w:rsidR="00225A40" w:rsidRDefault="00225A40" w:rsidP="008A38F7">
      <w:pPr>
        <w:pStyle w:val="Normlnweb"/>
        <w:shd w:val="clear" w:color="auto" w:fill="FFFFFF"/>
        <w:spacing w:before="0" w:beforeAutospacing="0" w:after="158" w:afterAutospacing="0"/>
        <w:jc w:val="both"/>
        <w:rPr>
          <w:rFonts w:ascii="Tahoma" w:hAnsi="Tahoma" w:cs="Tahoma"/>
          <w:color w:val="000000" w:themeColor="text1"/>
          <w:sz w:val="20"/>
          <w:szCs w:val="20"/>
        </w:rPr>
      </w:pPr>
    </w:p>
    <w:p w:rsidR="00225A40" w:rsidRDefault="00225A40" w:rsidP="008A38F7">
      <w:pPr>
        <w:pStyle w:val="Normlnweb"/>
        <w:shd w:val="clear" w:color="auto" w:fill="FFFFFF"/>
        <w:spacing w:before="0" w:beforeAutospacing="0" w:after="158" w:afterAutospacing="0"/>
        <w:jc w:val="both"/>
        <w:rPr>
          <w:rFonts w:ascii="Tahoma" w:hAnsi="Tahoma" w:cs="Tahoma"/>
          <w:color w:val="000000" w:themeColor="text1"/>
          <w:sz w:val="20"/>
          <w:szCs w:val="20"/>
        </w:rPr>
      </w:pPr>
    </w:p>
    <w:p w:rsidR="00225A40" w:rsidRDefault="00225A40" w:rsidP="008A38F7">
      <w:pPr>
        <w:pStyle w:val="Normlnweb"/>
        <w:shd w:val="clear" w:color="auto" w:fill="FFFFFF"/>
        <w:spacing w:before="0" w:beforeAutospacing="0" w:after="158" w:afterAutospacing="0"/>
        <w:jc w:val="both"/>
        <w:rPr>
          <w:rFonts w:ascii="Tahoma" w:hAnsi="Tahoma" w:cs="Tahoma"/>
          <w:color w:val="000000" w:themeColor="text1"/>
          <w:sz w:val="20"/>
          <w:szCs w:val="20"/>
        </w:rPr>
      </w:pPr>
    </w:p>
    <w:p w:rsidR="00225A40" w:rsidRDefault="00225A40" w:rsidP="008A38F7">
      <w:pPr>
        <w:pStyle w:val="Normlnweb"/>
        <w:shd w:val="clear" w:color="auto" w:fill="FFFFFF"/>
        <w:spacing w:before="0" w:beforeAutospacing="0" w:after="158" w:afterAutospacing="0"/>
        <w:jc w:val="both"/>
        <w:rPr>
          <w:rFonts w:ascii="Tahoma" w:hAnsi="Tahoma" w:cs="Tahoma"/>
          <w:color w:val="000000" w:themeColor="text1"/>
          <w:sz w:val="20"/>
          <w:szCs w:val="20"/>
        </w:rPr>
      </w:pPr>
    </w:p>
    <w:p w:rsidR="00145C1F" w:rsidRPr="00E23EF9" w:rsidRDefault="00145C1F" w:rsidP="00145C1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145C1F">
        <w:rPr>
          <w:rStyle w:val="Hypertextovodkaz"/>
          <w:rFonts w:ascii="Tahoma" w:eastAsia="Times New Roman" w:hAnsi="Tahoma" w:cs="Tahoma"/>
          <w:b/>
          <w:bCs/>
          <w:color w:val="000000" w:themeColor="text1"/>
          <w:kern w:val="36"/>
          <w:sz w:val="24"/>
          <w:szCs w:val="24"/>
          <w:u w:val="none"/>
          <w:lang w:eastAsia="cs-CZ"/>
        </w:rPr>
        <w:t>Překročení zástupčího oprávnění uvedeného v obchodním rejstříku</w:t>
      </w:r>
      <w:r w:rsidR="00D86790">
        <w:rPr>
          <w:rStyle w:val="Hypertextovodkaz"/>
          <w:rFonts w:ascii="Tahoma" w:eastAsia="Times New Roman" w:hAnsi="Tahoma" w:cs="Tahoma"/>
          <w:b/>
          <w:bCs/>
          <w:color w:val="000000" w:themeColor="text1"/>
          <w:kern w:val="36"/>
          <w:sz w:val="24"/>
          <w:szCs w:val="24"/>
          <w:u w:val="none"/>
          <w:lang w:eastAsia="cs-CZ"/>
        </w:rPr>
        <w:pict>
          <v:rect id="_x0000_i1035" style="width:0;height:1.5pt" o:hralign="center" o:hrstd="t" o:hr="t" fillcolor="#a0a0a0" stroked="f"/>
        </w:pict>
      </w:r>
    </w:p>
    <w:p w:rsidR="00145C1F" w:rsidRDefault="00145C1F" w:rsidP="00145C1F">
      <w:pPr>
        <w:pStyle w:val="Normlnweb"/>
        <w:shd w:val="clear" w:color="auto" w:fill="FFFFFF"/>
        <w:spacing w:before="0" w:beforeAutospacing="0" w:after="158" w:afterAutospacing="0"/>
        <w:jc w:val="right"/>
        <w:rPr>
          <w:rStyle w:val="Hypertextovodkaz"/>
          <w:rFonts w:ascii="Tahoma" w:hAnsi="Tahoma" w:cs="Tahoma"/>
          <w:bCs/>
          <w:color w:val="000000" w:themeColor="text1"/>
          <w:kern w:val="36"/>
          <w:sz w:val="20"/>
          <w:szCs w:val="20"/>
          <w:u w:val="none"/>
        </w:rPr>
      </w:pPr>
      <w:r>
        <w:rPr>
          <w:rStyle w:val="Hypertextovodkaz"/>
          <w:rFonts w:ascii="Tahoma" w:hAnsi="Tahoma" w:cs="Tahoma"/>
          <w:bCs/>
          <w:color w:val="000000" w:themeColor="text1"/>
          <w:kern w:val="36"/>
          <w:sz w:val="20"/>
          <w:szCs w:val="20"/>
          <w:u w:val="none"/>
        </w:rPr>
        <w:t>Nejvyšší soud sp. zn. 27 Cdo 4593/2017</w:t>
      </w:r>
    </w:p>
    <w:p w:rsidR="00145C1F" w:rsidRDefault="00145C1F" w:rsidP="00145C1F">
      <w:pPr>
        <w:pStyle w:val="Normlnweb"/>
        <w:shd w:val="clear" w:color="auto" w:fill="FFFFFF"/>
        <w:spacing w:before="0" w:beforeAutospacing="0" w:after="158" w:afterAutospacing="0"/>
        <w:jc w:val="both"/>
        <w:rPr>
          <w:rStyle w:val="Hypertextovodkaz"/>
          <w:rFonts w:ascii="Tahoma" w:hAnsi="Tahoma" w:cs="Tahoma"/>
          <w:bCs/>
          <w:color w:val="000000" w:themeColor="text1"/>
          <w:kern w:val="36"/>
          <w:sz w:val="20"/>
          <w:szCs w:val="20"/>
          <w:u w:val="none"/>
        </w:rPr>
      </w:pPr>
    </w:p>
    <w:p w:rsidR="00145C1F" w:rsidRDefault="00145C1F" w:rsidP="00225A40">
      <w:pPr>
        <w:pStyle w:val="Normlnweb"/>
        <w:shd w:val="clear" w:color="auto" w:fill="FFFFFF"/>
        <w:spacing w:before="0" w:beforeAutospacing="0" w:after="158" w:afterAutospacing="0" w:line="360" w:lineRule="auto"/>
        <w:jc w:val="both"/>
        <w:rPr>
          <w:rStyle w:val="Hypertextovodkaz"/>
          <w:rFonts w:ascii="Tahoma" w:hAnsi="Tahoma" w:cs="Tahoma"/>
          <w:bCs/>
          <w:color w:val="000000" w:themeColor="text1"/>
          <w:kern w:val="36"/>
          <w:sz w:val="20"/>
          <w:szCs w:val="20"/>
          <w:u w:val="none"/>
        </w:rPr>
      </w:pPr>
      <w:r>
        <w:rPr>
          <w:rStyle w:val="Hypertextovodkaz"/>
          <w:rFonts w:ascii="Tahoma" w:hAnsi="Tahoma" w:cs="Tahoma"/>
          <w:bCs/>
          <w:color w:val="000000" w:themeColor="text1"/>
          <w:kern w:val="36"/>
          <w:sz w:val="20"/>
          <w:szCs w:val="20"/>
          <w:u w:val="none"/>
        </w:rPr>
        <w:t>Nejvyšší soud ve svém rozhodnutí konstatoval, že pokud člen představenstva směl podle zápisu v obchodním rejstříku zastupovat společnost pouze společně s jiným členem představenstva, ale zastupoval ji sám, jeho právní jednání společnost nezavazuje. Společnost však může toto právní jednání dodatečně schválit za podmínek podle § 440 občanského zákoníku. Pak ji právní jednání zavazuje od počátku.</w:t>
      </w:r>
    </w:p>
    <w:p w:rsidR="00225A40" w:rsidRDefault="00225A40" w:rsidP="00225A40">
      <w:pPr>
        <w:pStyle w:val="Normlnweb"/>
        <w:shd w:val="clear" w:color="auto" w:fill="FFFFFF"/>
        <w:spacing w:before="0" w:beforeAutospacing="0" w:after="158" w:afterAutospacing="0" w:line="360" w:lineRule="auto"/>
        <w:jc w:val="both"/>
        <w:rPr>
          <w:rStyle w:val="Hypertextovodkaz"/>
          <w:rFonts w:ascii="Tahoma" w:hAnsi="Tahoma" w:cs="Tahoma"/>
          <w:bCs/>
          <w:color w:val="000000" w:themeColor="text1"/>
          <w:kern w:val="36"/>
          <w:sz w:val="20"/>
          <w:szCs w:val="20"/>
          <w:u w:val="none"/>
        </w:rPr>
      </w:pPr>
    </w:p>
    <w:p w:rsidR="00145C1F" w:rsidRDefault="00145C1F" w:rsidP="00145C1F">
      <w:pPr>
        <w:pStyle w:val="Normlnweb"/>
        <w:shd w:val="clear" w:color="auto" w:fill="FFFFFF"/>
        <w:spacing w:before="0" w:beforeAutospacing="0" w:after="158" w:afterAutospacing="0"/>
        <w:jc w:val="center"/>
        <w:rPr>
          <w:rStyle w:val="Hypertextovodkaz"/>
          <w:rFonts w:ascii="Tahoma" w:hAnsi="Tahoma" w:cs="Tahoma"/>
          <w:b/>
          <w:bCs/>
          <w:color w:val="000000" w:themeColor="text1"/>
          <w:kern w:val="36"/>
          <w:szCs w:val="20"/>
          <w:u w:val="none"/>
        </w:rPr>
      </w:pPr>
      <w:r w:rsidRPr="00145C1F">
        <w:rPr>
          <w:rStyle w:val="Hypertextovodkaz"/>
          <w:rFonts w:ascii="Tahoma" w:hAnsi="Tahoma" w:cs="Tahoma"/>
          <w:b/>
          <w:bCs/>
          <w:color w:val="000000" w:themeColor="text1"/>
          <w:kern w:val="36"/>
          <w:szCs w:val="20"/>
          <w:u w:val="none"/>
        </w:rPr>
        <w:t>Odložení úhrady kupní ceny po splnění výjimky</w:t>
      </w:r>
    </w:p>
    <w:p w:rsidR="00145C1F" w:rsidRPr="00145C1F" w:rsidRDefault="00D86790" w:rsidP="00145C1F">
      <w:pPr>
        <w:pStyle w:val="Normlnweb"/>
        <w:shd w:val="clear" w:color="auto" w:fill="FFFFFF"/>
        <w:spacing w:before="0" w:beforeAutospacing="0" w:after="158" w:afterAutospacing="0"/>
        <w:jc w:val="center"/>
        <w:rPr>
          <w:rStyle w:val="Hypertextovodkaz"/>
          <w:rFonts w:ascii="Tahoma" w:hAnsi="Tahoma" w:cs="Tahoma"/>
          <w:b/>
          <w:bCs/>
          <w:color w:val="000000" w:themeColor="text1"/>
          <w:kern w:val="36"/>
          <w:szCs w:val="20"/>
          <w:u w:val="none"/>
        </w:rPr>
      </w:pPr>
      <w:r>
        <w:rPr>
          <w:rStyle w:val="Hypertextovodkaz"/>
          <w:rFonts w:ascii="Tahoma" w:hAnsi="Tahoma" w:cs="Tahoma"/>
          <w:b/>
          <w:bCs/>
          <w:color w:val="000000" w:themeColor="text1"/>
          <w:kern w:val="36"/>
          <w:u w:val="none"/>
        </w:rPr>
        <w:pict>
          <v:rect id="_x0000_i1036" style="width:0;height:1.5pt" o:hralign="center" o:hrstd="t" o:hr="t" fillcolor="#a0a0a0" stroked="f"/>
        </w:pict>
      </w:r>
    </w:p>
    <w:p w:rsidR="00145C1F" w:rsidRDefault="00145C1F" w:rsidP="00145C1F">
      <w:pPr>
        <w:pStyle w:val="Normlnweb"/>
        <w:shd w:val="clear" w:color="auto" w:fill="FFFFFF"/>
        <w:spacing w:before="0" w:beforeAutospacing="0" w:after="158" w:afterAutospacing="0"/>
        <w:jc w:val="right"/>
        <w:rPr>
          <w:rFonts w:ascii="Tahoma" w:hAnsi="Tahoma" w:cs="Tahoma"/>
          <w:color w:val="000000" w:themeColor="text1"/>
          <w:sz w:val="20"/>
          <w:szCs w:val="20"/>
        </w:rPr>
      </w:pPr>
      <w:r>
        <w:rPr>
          <w:rFonts w:ascii="Tahoma" w:hAnsi="Tahoma" w:cs="Tahoma"/>
          <w:color w:val="000000" w:themeColor="text1"/>
          <w:sz w:val="20"/>
          <w:szCs w:val="20"/>
        </w:rPr>
        <w:t>Nejvyšší soud sp. zn. 33 Cdo 118/2019</w:t>
      </w:r>
    </w:p>
    <w:p w:rsidR="00145C1F" w:rsidRDefault="00145C1F" w:rsidP="00145C1F">
      <w:pPr>
        <w:pStyle w:val="Normlnweb"/>
        <w:shd w:val="clear" w:color="auto" w:fill="FFFFFF"/>
        <w:spacing w:before="0" w:beforeAutospacing="0" w:after="158" w:afterAutospacing="0"/>
        <w:jc w:val="right"/>
        <w:rPr>
          <w:rFonts w:ascii="Tahoma" w:hAnsi="Tahoma" w:cs="Tahoma"/>
          <w:color w:val="000000" w:themeColor="text1"/>
          <w:sz w:val="20"/>
          <w:szCs w:val="20"/>
        </w:rPr>
      </w:pPr>
    </w:p>
    <w:p w:rsidR="00145C1F" w:rsidRDefault="00145C1F" w:rsidP="00225A40">
      <w:pPr>
        <w:pStyle w:val="Normlnweb"/>
        <w:shd w:val="clear" w:color="auto" w:fill="FFFFFF"/>
        <w:spacing w:before="0" w:beforeAutospacing="0" w:after="158" w:afterAutospacing="0" w:line="360" w:lineRule="auto"/>
        <w:jc w:val="both"/>
        <w:rPr>
          <w:rFonts w:ascii="Tahoma" w:hAnsi="Tahoma" w:cs="Tahoma"/>
          <w:color w:val="000000" w:themeColor="text1"/>
          <w:sz w:val="20"/>
          <w:szCs w:val="20"/>
        </w:rPr>
      </w:pPr>
      <w:r>
        <w:rPr>
          <w:rFonts w:ascii="Tahoma" w:hAnsi="Tahoma" w:cs="Tahoma"/>
          <w:color w:val="000000" w:themeColor="text1"/>
          <w:sz w:val="20"/>
          <w:szCs w:val="20"/>
        </w:rPr>
        <w:t>Nejvyšší soud se zabýval platností ustanovení kupní smlouvy, ve kterém si smluvní strany ujednaly, že kupující není povinen uhradit třetí část kupní ceny, pokud prodávající do 30. 11. 2019 nezajistí zrušení chráněného ložiskového území na předmětu koupě.</w:t>
      </w:r>
    </w:p>
    <w:p w:rsidR="00145C1F" w:rsidRDefault="00145C1F" w:rsidP="00225A40">
      <w:pPr>
        <w:pStyle w:val="Normlnweb"/>
        <w:shd w:val="clear" w:color="auto" w:fill="FFFFFF"/>
        <w:spacing w:before="0" w:beforeAutospacing="0" w:after="158" w:afterAutospacing="0" w:line="360" w:lineRule="auto"/>
        <w:jc w:val="both"/>
        <w:rPr>
          <w:rFonts w:ascii="Tahoma" w:hAnsi="Tahoma" w:cs="Tahoma"/>
          <w:color w:val="000000" w:themeColor="text1"/>
          <w:sz w:val="20"/>
          <w:szCs w:val="20"/>
        </w:rPr>
      </w:pPr>
    </w:p>
    <w:p w:rsidR="00145C1F" w:rsidRDefault="00145C1F" w:rsidP="00225A40">
      <w:pPr>
        <w:pStyle w:val="Normlnweb"/>
        <w:shd w:val="clear" w:color="auto" w:fill="FFFFFF"/>
        <w:spacing w:before="0" w:beforeAutospacing="0" w:after="158" w:afterAutospacing="0" w:line="360" w:lineRule="auto"/>
        <w:jc w:val="both"/>
        <w:rPr>
          <w:rFonts w:ascii="Tahoma" w:hAnsi="Tahoma" w:cs="Tahoma"/>
          <w:color w:val="000000" w:themeColor="text1"/>
          <w:sz w:val="20"/>
          <w:szCs w:val="20"/>
        </w:rPr>
      </w:pPr>
      <w:r>
        <w:rPr>
          <w:rFonts w:ascii="Tahoma" w:hAnsi="Tahoma" w:cs="Tahoma"/>
          <w:color w:val="000000" w:themeColor="text1"/>
          <w:sz w:val="20"/>
          <w:szCs w:val="20"/>
        </w:rPr>
        <w:t>Nejvyšší soud v této věci konstatoval, že zrušení chráněného ložiskového území spadá do pravomoci státního orgánu a tak se smluvní strana nemůže platně zavázat, že zajistí takové zrušení</w:t>
      </w:r>
      <w:r w:rsidR="00080478">
        <w:rPr>
          <w:rFonts w:ascii="Tahoma" w:hAnsi="Tahoma" w:cs="Tahoma"/>
          <w:color w:val="000000" w:themeColor="text1"/>
          <w:sz w:val="20"/>
          <w:szCs w:val="20"/>
        </w:rPr>
        <w:t>. Sjednaná podmínka je tak podmínkou nemožnou, tudíž se k ní nepřihlíží a kupující je povinen třetí splátku kupní ceny uhradit bezpodmínečně.</w:t>
      </w:r>
      <w:r>
        <w:rPr>
          <w:rFonts w:ascii="Tahoma" w:hAnsi="Tahoma" w:cs="Tahoma"/>
          <w:color w:val="000000" w:themeColor="text1"/>
          <w:sz w:val="20"/>
          <w:szCs w:val="20"/>
        </w:rPr>
        <w:t xml:space="preserve"> </w:t>
      </w:r>
    </w:p>
    <w:p w:rsidR="00225A40" w:rsidRDefault="00225A40" w:rsidP="00225A40">
      <w:pPr>
        <w:pStyle w:val="Normlnweb"/>
        <w:shd w:val="clear" w:color="auto" w:fill="FFFFFF"/>
        <w:spacing w:before="0" w:beforeAutospacing="0" w:after="158" w:afterAutospacing="0" w:line="360" w:lineRule="auto"/>
        <w:jc w:val="both"/>
        <w:rPr>
          <w:rFonts w:ascii="Tahoma" w:hAnsi="Tahoma" w:cs="Tahoma"/>
          <w:color w:val="000000" w:themeColor="text1"/>
          <w:sz w:val="20"/>
          <w:szCs w:val="20"/>
        </w:rPr>
      </w:pPr>
    </w:p>
    <w:p w:rsidR="00080478" w:rsidRDefault="0087193D" w:rsidP="00080478">
      <w:pPr>
        <w:pStyle w:val="Bezmezer"/>
        <w:spacing w:line="360" w:lineRule="auto"/>
        <w:jc w:val="center"/>
        <w:rPr>
          <w:rFonts w:ascii="Tahoma" w:hAnsi="Tahoma" w:cs="Tahoma"/>
          <w:b/>
          <w:color w:val="000000" w:themeColor="text1"/>
          <w:sz w:val="24"/>
          <w:szCs w:val="20"/>
        </w:rPr>
      </w:pPr>
      <w:r w:rsidRPr="00080478">
        <w:rPr>
          <w:rFonts w:ascii="Tahoma" w:hAnsi="Tahoma" w:cs="Tahoma"/>
          <w:b/>
          <w:color w:val="000000" w:themeColor="text1"/>
          <w:sz w:val="24"/>
          <w:szCs w:val="20"/>
        </w:rPr>
        <w:t>Pl</w:t>
      </w:r>
      <w:r w:rsidR="00D64EA6">
        <w:rPr>
          <w:rFonts w:ascii="Tahoma" w:hAnsi="Tahoma" w:cs="Tahoma"/>
          <w:b/>
          <w:color w:val="000000" w:themeColor="text1"/>
          <w:sz w:val="24"/>
          <w:szCs w:val="20"/>
        </w:rPr>
        <w:t xml:space="preserve">nění </w:t>
      </w:r>
      <w:r w:rsidRPr="00080478">
        <w:rPr>
          <w:rFonts w:ascii="Tahoma" w:hAnsi="Tahoma" w:cs="Tahoma"/>
          <w:b/>
          <w:color w:val="000000" w:themeColor="text1"/>
          <w:sz w:val="24"/>
          <w:szCs w:val="20"/>
        </w:rPr>
        <w:t>smlouvy o provozu elektronického mýtného</w:t>
      </w:r>
    </w:p>
    <w:p w:rsidR="0087193D" w:rsidRPr="00080478" w:rsidRDefault="00D86790" w:rsidP="00080478">
      <w:pPr>
        <w:pStyle w:val="Bezmezer"/>
        <w:spacing w:line="360" w:lineRule="auto"/>
        <w:jc w:val="center"/>
        <w:rPr>
          <w:rFonts w:ascii="Tahoma" w:hAnsi="Tahoma" w:cs="Tahoma"/>
          <w:b/>
          <w:color w:val="000000" w:themeColor="text1"/>
          <w:sz w:val="24"/>
          <w:szCs w:val="20"/>
        </w:rPr>
      </w:pPr>
      <w:r>
        <w:rPr>
          <w:rStyle w:val="Hypertextovodkaz"/>
          <w:rFonts w:ascii="Tahoma" w:eastAsia="Times New Roman" w:hAnsi="Tahoma" w:cs="Tahoma"/>
          <w:b/>
          <w:bCs/>
          <w:color w:val="000000" w:themeColor="text1"/>
          <w:kern w:val="36"/>
          <w:sz w:val="24"/>
          <w:szCs w:val="24"/>
          <w:u w:val="none"/>
          <w:lang w:eastAsia="cs-CZ"/>
        </w:rPr>
        <w:pict>
          <v:rect id="_x0000_i1037" style="width:0;height:1.5pt" o:hralign="center" o:hrstd="t" o:hr="t" fillcolor="#a0a0a0" stroked="f"/>
        </w:pict>
      </w:r>
    </w:p>
    <w:p w:rsidR="002B245A" w:rsidRDefault="00080478" w:rsidP="0008047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sidRPr="00080478">
        <w:rPr>
          <w:rStyle w:val="Hypertextovodkaz"/>
          <w:rFonts w:ascii="Tahoma" w:eastAsia="Times New Roman" w:hAnsi="Tahoma" w:cs="Tahoma"/>
          <w:bCs/>
          <w:color w:val="000000" w:themeColor="text1"/>
          <w:kern w:val="36"/>
          <w:sz w:val="20"/>
          <w:szCs w:val="24"/>
          <w:u w:val="none"/>
          <w:lang w:eastAsia="cs-CZ"/>
        </w:rPr>
        <w:t>Nejvyšší správní soud sp. zn. 10 As 252/2009</w:t>
      </w:r>
    </w:p>
    <w:p w:rsidR="00225A40" w:rsidRPr="00080478" w:rsidRDefault="00225A40" w:rsidP="00225A40">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80478" w:rsidRPr="00D64EA6" w:rsidRDefault="00D64EA6" w:rsidP="0008047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D64EA6">
        <w:rPr>
          <w:rStyle w:val="Hypertextovodkaz"/>
          <w:rFonts w:ascii="Tahoma" w:eastAsia="Times New Roman" w:hAnsi="Tahoma" w:cs="Tahoma"/>
          <w:bCs/>
          <w:color w:val="000000" w:themeColor="text1"/>
          <w:kern w:val="36"/>
          <w:sz w:val="20"/>
          <w:szCs w:val="24"/>
          <w:u w:val="none"/>
          <w:lang w:eastAsia="cs-CZ"/>
        </w:rPr>
        <w:t>Nejvyšší správní soud rozhodoval ve věci uložení zákazu plnění smlouvy o provozu elektronického mýtného systému, která byla uzavřena dne 20. 9. 2018 mezi Ministerstvem dopravy a společnostmi CzechToll s.r.o. a SkyToll s.r.o.</w:t>
      </w:r>
    </w:p>
    <w:p w:rsidR="00D64EA6" w:rsidRPr="00D64EA6" w:rsidRDefault="00D64EA6" w:rsidP="0008047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64EA6" w:rsidRPr="00D64EA6" w:rsidRDefault="00D64EA6" w:rsidP="0008047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D64EA6">
        <w:rPr>
          <w:rStyle w:val="Hypertextovodkaz"/>
          <w:rFonts w:ascii="Tahoma" w:eastAsia="Times New Roman" w:hAnsi="Tahoma" w:cs="Tahoma"/>
          <w:bCs/>
          <w:color w:val="000000" w:themeColor="text1"/>
          <w:kern w:val="36"/>
          <w:sz w:val="20"/>
          <w:szCs w:val="24"/>
          <w:u w:val="none"/>
          <w:lang w:eastAsia="cs-CZ"/>
        </w:rPr>
        <w:lastRenderedPageBreak/>
        <w:t xml:space="preserve">Nejvyšší správní soud dospěl k závěru, že smlouva byla uzavřena až po zániku předběžného opatření ÚOHS, které její uzavření zakazovalo. </w:t>
      </w:r>
      <w:r w:rsidR="00BC309F">
        <w:rPr>
          <w:rStyle w:val="Hypertextovodkaz"/>
          <w:rFonts w:ascii="Tahoma" w:eastAsia="Times New Roman" w:hAnsi="Tahoma" w:cs="Tahoma"/>
          <w:bCs/>
          <w:color w:val="000000" w:themeColor="text1"/>
          <w:kern w:val="36"/>
          <w:sz w:val="20"/>
          <w:szCs w:val="24"/>
          <w:u w:val="none"/>
          <w:lang w:eastAsia="cs-CZ"/>
        </w:rPr>
        <w:t xml:space="preserve">Společnosti Kapsch již tedy není možné poskytnout ochranu cestou správního soudnictví a Kapsch případně může využít řízení o náhradě škody. </w:t>
      </w:r>
    </w:p>
    <w:p w:rsidR="00080478" w:rsidRDefault="00080478" w:rsidP="00080478">
      <w:pPr>
        <w:pStyle w:val="Bezmezer"/>
        <w:spacing w:line="360" w:lineRule="auto"/>
        <w:jc w:val="both"/>
        <w:rPr>
          <w:rStyle w:val="Hypertextovodkaz"/>
          <w:rFonts w:ascii="Tahoma" w:eastAsia="Times New Roman" w:hAnsi="Tahoma" w:cs="Tahoma"/>
          <w:bCs/>
          <w:color w:val="000000" w:themeColor="text1"/>
          <w:kern w:val="36"/>
          <w:sz w:val="20"/>
          <w:szCs w:val="24"/>
          <w:highlight w:val="yellow"/>
          <w:u w:val="none"/>
          <w:lang w:eastAsia="cs-CZ"/>
        </w:rPr>
      </w:pPr>
    </w:p>
    <w:p w:rsidR="00220107" w:rsidRDefault="00220107" w:rsidP="00BC309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BC309F" w:rsidRDefault="00BC309F" w:rsidP="00BC309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BC309F">
        <w:rPr>
          <w:rStyle w:val="Hypertextovodkaz"/>
          <w:rFonts w:ascii="Tahoma" w:eastAsia="Times New Roman" w:hAnsi="Tahoma" w:cs="Tahoma"/>
          <w:b/>
          <w:bCs/>
          <w:color w:val="000000" w:themeColor="text1"/>
          <w:kern w:val="36"/>
          <w:sz w:val="24"/>
          <w:szCs w:val="24"/>
          <w:u w:val="none"/>
          <w:lang w:eastAsia="cs-CZ"/>
        </w:rPr>
        <w:t>Povinnost zaměstnance nastoupit do práce k výzvě zaměstnavatele i za trvání sporu o neplatnost výpovědi pro nadbytečnost</w:t>
      </w:r>
    </w:p>
    <w:p w:rsidR="00BC309F" w:rsidRDefault="00D86790" w:rsidP="00BC309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8" style="width:0;height:1.5pt" o:hralign="center" o:hrstd="t" o:hr="t" fillcolor="#a0a0a0" stroked="f"/>
        </w:pict>
      </w:r>
    </w:p>
    <w:p w:rsidR="00BC309F" w:rsidRPr="00BC309F" w:rsidRDefault="00BC309F" w:rsidP="00BC309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sidRPr="00BC309F">
        <w:rPr>
          <w:rStyle w:val="Hypertextovodkaz"/>
          <w:rFonts w:ascii="Tahoma" w:eastAsia="Times New Roman" w:hAnsi="Tahoma" w:cs="Tahoma"/>
          <w:bCs/>
          <w:color w:val="000000" w:themeColor="text1"/>
          <w:kern w:val="36"/>
          <w:sz w:val="20"/>
          <w:szCs w:val="24"/>
          <w:u w:val="none"/>
          <w:lang w:eastAsia="cs-CZ"/>
        </w:rPr>
        <w:t>Nejvyšší soud sp. zn. 21 Cdo 862/2018</w:t>
      </w:r>
    </w:p>
    <w:p w:rsidR="00BC309F" w:rsidRDefault="00BC309F" w:rsidP="00BC309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BC309F" w:rsidRDefault="00BC309F" w:rsidP="00BC309F">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BC309F">
        <w:rPr>
          <w:rStyle w:val="Hypertextovodkaz"/>
          <w:rFonts w:ascii="Tahoma" w:eastAsia="Times New Roman" w:hAnsi="Tahoma" w:cs="Tahoma"/>
          <w:bCs/>
          <w:color w:val="000000" w:themeColor="text1"/>
          <w:kern w:val="36"/>
          <w:sz w:val="20"/>
          <w:szCs w:val="24"/>
          <w:u w:val="none"/>
          <w:lang w:eastAsia="cs-CZ"/>
        </w:rPr>
        <w:t>Nejvyšší soud ČR řešil otázku, zda také v případě sporu o neplatnost výpovědi z pracovního poměru dané zaměstnanci pro nadbytečnost podle ust. § 52 písm. c) zákoníku práce může zaměstnavatel v době soudního sporu o neplatnost této výpovědi vyzvat zaměstnance k výkonu práce podle pracovní smlouvy, aniž by to bez dalšího znamenalo neopodstatněnost uplatněného výpovědního důvodu.</w:t>
      </w:r>
    </w:p>
    <w:p w:rsidR="00BC309F" w:rsidRDefault="00BC309F" w:rsidP="00BC309F">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BC309F" w:rsidRPr="00BC309F" w:rsidRDefault="00BC309F" w:rsidP="00BC309F">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BC309F">
        <w:rPr>
          <w:rStyle w:val="Hypertextovodkaz"/>
          <w:rFonts w:ascii="Tahoma" w:eastAsia="Times New Roman" w:hAnsi="Tahoma" w:cs="Tahoma"/>
          <w:bCs/>
          <w:color w:val="000000" w:themeColor="text1"/>
          <w:kern w:val="36"/>
          <w:sz w:val="20"/>
          <w:szCs w:val="24"/>
          <w:u w:val="none"/>
          <w:lang w:eastAsia="cs-CZ"/>
        </w:rPr>
        <w:t xml:space="preserve">Nejvyšší soud ČR proto dospěl k závěru, že také tehdy, dal-li zaměstnavatel zaměstnanci neplatnou výpověď z pracovního poměru </w:t>
      </w:r>
      <w:r>
        <w:rPr>
          <w:rStyle w:val="Hypertextovodkaz"/>
          <w:rFonts w:ascii="Tahoma" w:eastAsia="Times New Roman" w:hAnsi="Tahoma" w:cs="Tahoma"/>
          <w:bCs/>
          <w:color w:val="000000" w:themeColor="text1"/>
          <w:kern w:val="36"/>
          <w:sz w:val="20"/>
          <w:szCs w:val="24"/>
          <w:u w:val="none"/>
          <w:lang w:eastAsia="cs-CZ"/>
        </w:rPr>
        <w:t>pro nadbytečnost</w:t>
      </w:r>
      <w:r w:rsidRPr="00BC309F">
        <w:rPr>
          <w:rStyle w:val="Hypertextovodkaz"/>
          <w:rFonts w:ascii="Tahoma" w:eastAsia="Times New Roman" w:hAnsi="Tahoma" w:cs="Tahoma"/>
          <w:bCs/>
          <w:color w:val="000000" w:themeColor="text1"/>
          <w:kern w:val="36"/>
          <w:sz w:val="20"/>
          <w:szCs w:val="24"/>
          <w:u w:val="none"/>
          <w:lang w:eastAsia="cs-CZ"/>
        </w:rPr>
        <w:t>, může zaměstnavatel zaměstnanci, který platnost rozvázání pracovního poměru neuznává a který trvá na tom, aby ho dále zaměstnával, podle ust. § 69 odst. 1 zákoníku práce (ještě před skončením sporu o neplatnost výpovědi) znovu začít přidělovat práci podle pracovní smlouvy, aniž by to bez dalšího znamenalo neopodstatněnost uplatněného výpovědního důvodu.</w:t>
      </w:r>
      <w:r>
        <w:rPr>
          <w:rStyle w:val="Hypertextovodkaz"/>
          <w:rFonts w:ascii="Tahoma" w:eastAsia="Times New Roman" w:hAnsi="Tahoma" w:cs="Tahoma"/>
          <w:bCs/>
          <w:color w:val="000000" w:themeColor="text1"/>
          <w:kern w:val="36"/>
          <w:sz w:val="20"/>
          <w:szCs w:val="24"/>
          <w:u w:val="none"/>
          <w:lang w:eastAsia="cs-CZ"/>
        </w:rPr>
        <w:t xml:space="preserve"> </w:t>
      </w:r>
      <w:r w:rsidRPr="00BC309F">
        <w:rPr>
          <w:rStyle w:val="Hypertextovodkaz"/>
          <w:rFonts w:ascii="Tahoma" w:eastAsia="Times New Roman" w:hAnsi="Tahoma" w:cs="Tahoma"/>
          <w:bCs/>
          <w:color w:val="000000" w:themeColor="text1"/>
          <w:kern w:val="36"/>
          <w:sz w:val="20"/>
          <w:szCs w:val="24"/>
          <w:u w:val="none"/>
          <w:lang w:eastAsia="cs-CZ"/>
        </w:rPr>
        <w:t>Zaměstnanci nepřísluší výzvu k nástupu do práce hodnotit</w:t>
      </w:r>
      <w:r>
        <w:rPr>
          <w:rStyle w:val="Hypertextovodkaz"/>
          <w:rFonts w:ascii="Tahoma" w:eastAsia="Times New Roman" w:hAnsi="Tahoma" w:cs="Tahoma"/>
          <w:bCs/>
          <w:color w:val="000000" w:themeColor="text1"/>
          <w:kern w:val="36"/>
          <w:sz w:val="20"/>
          <w:szCs w:val="24"/>
          <w:u w:val="none"/>
          <w:lang w:eastAsia="cs-CZ"/>
        </w:rPr>
        <w:t>.</w:t>
      </w:r>
    </w:p>
    <w:p w:rsidR="00BC309F" w:rsidRPr="00BC309F" w:rsidRDefault="00BC309F" w:rsidP="00BC309F">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sectPr w:rsidR="00BC309F" w:rsidRPr="00BC309F"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790" w:rsidRDefault="00D86790" w:rsidP="004F17ED">
      <w:pPr>
        <w:spacing w:after="0" w:line="240" w:lineRule="auto"/>
      </w:pPr>
      <w:r>
        <w:separator/>
      </w:r>
    </w:p>
  </w:endnote>
  <w:endnote w:type="continuationSeparator" w:id="0">
    <w:p w:rsidR="00D86790" w:rsidRDefault="00D86790"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2287C" w:rsidRDefault="00E2287C">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1F495F">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1F495F">
              <w:rPr>
                <w:rFonts w:ascii="Tahoma" w:hAnsi="Tahoma" w:cs="Tahoma"/>
                <w:b/>
                <w:bCs/>
                <w:noProof/>
                <w:sz w:val="16"/>
                <w:szCs w:val="16"/>
              </w:rPr>
              <w:t>12</w:t>
            </w:r>
            <w:r w:rsidRPr="00FB7F36">
              <w:rPr>
                <w:rFonts w:ascii="Tahoma" w:hAnsi="Tahoma" w:cs="Tahoma"/>
                <w:b/>
                <w:bCs/>
                <w:sz w:val="16"/>
                <w:szCs w:val="16"/>
              </w:rPr>
              <w:fldChar w:fldCharType="end"/>
            </w:r>
          </w:p>
        </w:sdtContent>
      </w:sdt>
    </w:sdtContent>
  </w:sdt>
  <w:p w:rsidR="00E2287C" w:rsidRDefault="00E22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790" w:rsidRDefault="00D86790" w:rsidP="004F17ED">
      <w:pPr>
        <w:spacing w:after="0" w:line="240" w:lineRule="auto"/>
      </w:pPr>
      <w:r>
        <w:separator/>
      </w:r>
    </w:p>
  </w:footnote>
  <w:footnote w:type="continuationSeparator" w:id="0">
    <w:p w:rsidR="00D86790" w:rsidRDefault="00D86790"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3">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5">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21F3E5B"/>
    <w:multiLevelType w:val="hybridMultilevel"/>
    <w:tmpl w:val="1F00C260"/>
    <w:lvl w:ilvl="0" w:tplc="AB5458B6">
      <w:start w:val="1"/>
      <w:numFmt w:val="decimal"/>
      <w:lvlText w:val="%1)"/>
      <w:lvlJc w:val="left"/>
      <w:pPr>
        <w:ind w:left="360" w:hanging="360"/>
      </w:pPr>
      <w:rPr>
        <w:rFont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8">
    <w:nsid w:val="27A35FF3"/>
    <w:multiLevelType w:val="hybridMultilevel"/>
    <w:tmpl w:val="6BF06976"/>
    <w:lvl w:ilvl="0" w:tplc="828CC606">
      <w:start w:val="1"/>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nsid w:val="27B57A6C"/>
    <w:multiLevelType w:val="hybridMultilevel"/>
    <w:tmpl w:val="FF3415B4"/>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2">
    <w:nsid w:val="40484290"/>
    <w:multiLevelType w:val="hybridMultilevel"/>
    <w:tmpl w:val="7F321A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0AA78DE"/>
    <w:multiLevelType w:val="hybridMultilevel"/>
    <w:tmpl w:val="50788FA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4553013"/>
    <w:multiLevelType w:val="hybridMultilevel"/>
    <w:tmpl w:val="AE0EF1DC"/>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7C33C7D"/>
    <w:multiLevelType w:val="hybridMultilevel"/>
    <w:tmpl w:val="84763E00"/>
    <w:lvl w:ilvl="0" w:tplc="04050005">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6">
    <w:nsid w:val="47F25847"/>
    <w:multiLevelType w:val="multilevel"/>
    <w:tmpl w:val="73DADD40"/>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7">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9">
    <w:nsid w:val="53570314"/>
    <w:multiLevelType w:val="hybridMultilevel"/>
    <w:tmpl w:val="3A0C4520"/>
    <w:lvl w:ilvl="0" w:tplc="4ACCED7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5086667"/>
    <w:multiLevelType w:val="hybridMultilevel"/>
    <w:tmpl w:val="56880B40"/>
    <w:lvl w:ilvl="0" w:tplc="C97041D8">
      <w:start w:val="13"/>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5B187ECD"/>
    <w:multiLevelType w:val="hybridMultilevel"/>
    <w:tmpl w:val="C19CF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C127375"/>
    <w:multiLevelType w:val="hybridMultilevel"/>
    <w:tmpl w:val="245C3772"/>
    <w:lvl w:ilvl="0" w:tplc="04050019">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0207346"/>
    <w:multiLevelType w:val="hybridMultilevel"/>
    <w:tmpl w:val="40EC2A32"/>
    <w:lvl w:ilvl="0" w:tplc="B086867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nsid w:val="63B317B2"/>
    <w:multiLevelType w:val="hybridMultilevel"/>
    <w:tmpl w:val="229414D6"/>
    <w:lvl w:ilvl="0" w:tplc="FDB6EE4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65A52AB"/>
    <w:multiLevelType w:val="hybridMultilevel"/>
    <w:tmpl w:val="679E8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CAD095C"/>
    <w:multiLevelType w:val="hybridMultilevel"/>
    <w:tmpl w:val="D130C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D5A53A1"/>
    <w:multiLevelType w:val="hybridMultilevel"/>
    <w:tmpl w:val="CC40319A"/>
    <w:lvl w:ilvl="0" w:tplc="3DF42D6C">
      <w:start w:val="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3140C7B"/>
    <w:multiLevelType w:val="hybridMultilevel"/>
    <w:tmpl w:val="A58A29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A2667C7"/>
    <w:multiLevelType w:val="hybridMultilevel"/>
    <w:tmpl w:val="9DB0DAEA"/>
    <w:lvl w:ilvl="0" w:tplc="2988D18C">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E31750F"/>
    <w:multiLevelType w:val="hybridMultilevel"/>
    <w:tmpl w:val="7F321A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7"/>
  </w:num>
  <w:num w:numId="3">
    <w:abstractNumId w:val="21"/>
  </w:num>
  <w:num w:numId="4">
    <w:abstractNumId w:val="11"/>
  </w:num>
  <w:num w:numId="5">
    <w:abstractNumId w:val="10"/>
  </w:num>
  <w:num w:numId="6">
    <w:abstractNumId w:val="14"/>
  </w:num>
  <w:num w:numId="7">
    <w:abstractNumId w:val="42"/>
  </w:num>
  <w:num w:numId="8">
    <w:abstractNumId w:val="13"/>
  </w:num>
  <w:num w:numId="9">
    <w:abstractNumId w:val="47"/>
  </w:num>
  <w:num w:numId="10">
    <w:abstractNumId w:val="34"/>
  </w:num>
  <w:num w:numId="11">
    <w:abstractNumId w:val="41"/>
  </w:num>
  <w:num w:numId="12">
    <w:abstractNumId w:val="38"/>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5"/>
  </w:num>
  <w:num w:numId="24">
    <w:abstractNumId w:val="20"/>
  </w:num>
  <w:num w:numId="25">
    <w:abstractNumId w:val="17"/>
  </w:num>
  <w:num w:numId="26">
    <w:abstractNumId w:val="44"/>
  </w:num>
  <w:num w:numId="27">
    <w:abstractNumId w:val="36"/>
  </w:num>
  <w:num w:numId="28">
    <w:abstractNumId w:val="16"/>
  </w:num>
  <w:num w:numId="29">
    <w:abstractNumId w:val="35"/>
  </w:num>
  <w:num w:numId="30">
    <w:abstractNumId w:val="30"/>
  </w:num>
  <w:num w:numId="31">
    <w:abstractNumId w:val="22"/>
  </w:num>
  <w:num w:numId="32">
    <w:abstractNumId w:val="25"/>
  </w:num>
  <w:num w:numId="33">
    <w:abstractNumId w:val="26"/>
  </w:num>
  <w:num w:numId="34">
    <w:abstractNumId w:val="40"/>
  </w:num>
  <w:num w:numId="35">
    <w:abstractNumId w:val="31"/>
  </w:num>
  <w:num w:numId="36">
    <w:abstractNumId w:val="37"/>
  </w:num>
  <w:num w:numId="37">
    <w:abstractNumId w:val="39"/>
  </w:num>
  <w:num w:numId="38">
    <w:abstractNumId w:val="12"/>
  </w:num>
  <w:num w:numId="39">
    <w:abstractNumId w:val="45"/>
  </w:num>
  <w:num w:numId="40">
    <w:abstractNumId w:val="43"/>
  </w:num>
  <w:num w:numId="41">
    <w:abstractNumId w:val="29"/>
  </w:num>
  <w:num w:numId="42">
    <w:abstractNumId w:val="32"/>
  </w:num>
  <w:num w:numId="43">
    <w:abstractNumId w:val="46"/>
  </w:num>
  <w:num w:numId="44">
    <w:abstractNumId w:val="19"/>
  </w:num>
  <w:num w:numId="45">
    <w:abstractNumId w:val="24"/>
  </w:num>
  <w:num w:numId="46">
    <w:abstractNumId w:val="18"/>
  </w:num>
  <w:num w:numId="47">
    <w:abstractNumId w:val="33"/>
  </w:num>
  <w:num w:numId="48">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E54E9"/>
    <w:rsid w:val="000F2090"/>
    <w:rsid w:val="000F401A"/>
    <w:rsid w:val="000F43FA"/>
    <w:rsid w:val="000F4720"/>
    <w:rsid w:val="000F4B51"/>
    <w:rsid w:val="000F5A9C"/>
    <w:rsid w:val="000F69B8"/>
    <w:rsid w:val="00101448"/>
    <w:rsid w:val="001017A9"/>
    <w:rsid w:val="00101BD3"/>
    <w:rsid w:val="001028D7"/>
    <w:rsid w:val="001049A5"/>
    <w:rsid w:val="00106526"/>
    <w:rsid w:val="001065AE"/>
    <w:rsid w:val="0010675A"/>
    <w:rsid w:val="001109EF"/>
    <w:rsid w:val="001127CE"/>
    <w:rsid w:val="00117697"/>
    <w:rsid w:val="001236D2"/>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5C1F"/>
    <w:rsid w:val="0015004C"/>
    <w:rsid w:val="00150FB7"/>
    <w:rsid w:val="00156C6C"/>
    <w:rsid w:val="00161952"/>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62A6"/>
    <w:rsid w:val="001A6AF4"/>
    <w:rsid w:val="001A7E2C"/>
    <w:rsid w:val="001B5DB3"/>
    <w:rsid w:val="001B609E"/>
    <w:rsid w:val="001B66D4"/>
    <w:rsid w:val="001C27F8"/>
    <w:rsid w:val="001C4A0C"/>
    <w:rsid w:val="001C509B"/>
    <w:rsid w:val="001C580F"/>
    <w:rsid w:val="001C645F"/>
    <w:rsid w:val="001D0703"/>
    <w:rsid w:val="001D070C"/>
    <w:rsid w:val="001D0880"/>
    <w:rsid w:val="001D488C"/>
    <w:rsid w:val="001D4A56"/>
    <w:rsid w:val="001D7CC3"/>
    <w:rsid w:val="001E247A"/>
    <w:rsid w:val="001E257B"/>
    <w:rsid w:val="001E53D1"/>
    <w:rsid w:val="001E6F7D"/>
    <w:rsid w:val="001F16D1"/>
    <w:rsid w:val="001F1F7F"/>
    <w:rsid w:val="001F3948"/>
    <w:rsid w:val="001F495F"/>
    <w:rsid w:val="001F5995"/>
    <w:rsid w:val="001F71A0"/>
    <w:rsid w:val="002028B4"/>
    <w:rsid w:val="00202980"/>
    <w:rsid w:val="00205B69"/>
    <w:rsid w:val="00205D7C"/>
    <w:rsid w:val="00206F98"/>
    <w:rsid w:val="00207B8D"/>
    <w:rsid w:val="00212896"/>
    <w:rsid w:val="00212BC6"/>
    <w:rsid w:val="00214FAB"/>
    <w:rsid w:val="00220107"/>
    <w:rsid w:val="00220138"/>
    <w:rsid w:val="002205E1"/>
    <w:rsid w:val="0022197B"/>
    <w:rsid w:val="00221F51"/>
    <w:rsid w:val="00222868"/>
    <w:rsid w:val="00225A40"/>
    <w:rsid w:val="00233EF7"/>
    <w:rsid w:val="00235322"/>
    <w:rsid w:val="00236086"/>
    <w:rsid w:val="00240477"/>
    <w:rsid w:val="00242580"/>
    <w:rsid w:val="002441B4"/>
    <w:rsid w:val="00247A69"/>
    <w:rsid w:val="0025086C"/>
    <w:rsid w:val="00251C31"/>
    <w:rsid w:val="0025209F"/>
    <w:rsid w:val="00252C33"/>
    <w:rsid w:val="00253343"/>
    <w:rsid w:val="00253681"/>
    <w:rsid w:val="00254879"/>
    <w:rsid w:val="0025643D"/>
    <w:rsid w:val="00257465"/>
    <w:rsid w:val="00257D6C"/>
    <w:rsid w:val="002610C4"/>
    <w:rsid w:val="00263CDC"/>
    <w:rsid w:val="002738A3"/>
    <w:rsid w:val="00276A8C"/>
    <w:rsid w:val="00276F8F"/>
    <w:rsid w:val="00283D2E"/>
    <w:rsid w:val="0028484D"/>
    <w:rsid w:val="0028797B"/>
    <w:rsid w:val="00292D21"/>
    <w:rsid w:val="00296169"/>
    <w:rsid w:val="002A082D"/>
    <w:rsid w:val="002A255B"/>
    <w:rsid w:val="002A2F5C"/>
    <w:rsid w:val="002A3403"/>
    <w:rsid w:val="002A3CA7"/>
    <w:rsid w:val="002A668E"/>
    <w:rsid w:val="002A7232"/>
    <w:rsid w:val="002B0E18"/>
    <w:rsid w:val="002B11D7"/>
    <w:rsid w:val="002B245A"/>
    <w:rsid w:val="002B3FF4"/>
    <w:rsid w:val="002B4CA4"/>
    <w:rsid w:val="002B6A65"/>
    <w:rsid w:val="002B7C80"/>
    <w:rsid w:val="002C0879"/>
    <w:rsid w:val="002C27F8"/>
    <w:rsid w:val="002C594D"/>
    <w:rsid w:val="002D14F8"/>
    <w:rsid w:val="002D1507"/>
    <w:rsid w:val="002D6498"/>
    <w:rsid w:val="002D7924"/>
    <w:rsid w:val="002E0119"/>
    <w:rsid w:val="002E0228"/>
    <w:rsid w:val="002E065A"/>
    <w:rsid w:val="002E0C9E"/>
    <w:rsid w:val="002E1514"/>
    <w:rsid w:val="002E151F"/>
    <w:rsid w:val="002E3FD5"/>
    <w:rsid w:val="002E7FFC"/>
    <w:rsid w:val="002F207D"/>
    <w:rsid w:val="002F57E7"/>
    <w:rsid w:val="002F798B"/>
    <w:rsid w:val="003037DA"/>
    <w:rsid w:val="00304048"/>
    <w:rsid w:val="00305BBB"/>
    <w:rsid w:val="003077D1"/>
    <w:rsid w:val="00310DD6"/>
    <w:rsid w:val="00311B5F"/>
    <w:rsid w:val="00311C47"/>
    <w:rsid w:val="00312C05"/>
    <w:rsid w:val="003131F8"/>
    <w:rsid w:val="00322DF8"/>
    <w:rsid w:val="003238FB"/>
    <w:rsid w:val="003249E2"/>
    <w:rsid w:val="00330B21"/>
    <w:rsid w:val="00333363"/>
    <w:rsid w:val="00335B85"/>
    <w:rsid w:val="00335BB7"/>
    <w:rsid w:val="00343B36"/>
    <w:rsid w:val="00344168"/>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6132"/>
    <w:rsid w:val="00387D2A"/>
    <w:rsid w:val="003902D6"/>
    <w:rsid w:val="003912B4"/>
    <w:rsid w:val="00392A6A"/>
    <w:rsid w:val="00395866"/>
    <w:rsid w:val="003968B1"/>
    <w:rsid w:val="003A43FE"/>
    <w:rsid w:val="003A563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3FDD"/>
    <w:rsid w:val="004242DB"/>
    <w:rsid w:val="00427709"/>
    <w:rsid w:val="004353BF"/>
    <w:rsid w:val="00440048"/>
    <w:rsid w:val="0044093C"/>
    <w:rsid w:val="004450E2"/>
    <w:rsid w:val="0044547E"/>
    <w:rsid w:val="00447E10"/>
    <w:rsid w:val="004515D2"/>
    <w:rsid w:val="004536BC"/>
    <w:rsid w:val="00454762"/>
    <w:rsid w:val="004549DE"/>
    <w:rsid w:val="004559EA"/>
    <w:rsid w:val="0046265B"/>
    <w:rsid w:val="00465991"/>
    <w:rsid w:val="0046696E"/>
    <w:rsid w:val="00466E48"/>
    <w:rsid w:val="0047044D"/>
    <w:rsid w:val="00471191"/>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555E"/>
    <w:rsid w:val="004C0443"/>
    <w:rsid w:val="004C27B8"/>
    <w:rsid w:val="004D0E8C"/>
    <w:rsid w:val="004D207B"/>
    <w:rsid w:val="004D224F"/>
    <w:rsid w:val="004D304C"/>
    <w:rsid w:val="004D65E5"/>
    <w:rsid w:val="004D762B"/>
    <w:rsid w:val="004E0C28"/>
    <w:rsid w:val="004E1900"/>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34670"/>
    <w:rsid w:val="00540EA0"/>
    <w:rsid w:val="00542B36"/>
    <w:rsid w:val="00543D4A"/>
    <w:rsid w:val="00544C49"/>
    <w:rsid w:val="005452C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D0D"/>
    <w:rsid w:val="00595560"/>
    <w:rsid w:val="005A1D02"/>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26608"/>
    <w:rsid w:val="00626DAB"/>
    <w:rsid w:val="0063371D"/>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21B9"/>
    <w:rsid w:val="00664BFA"/>
    <w:rsid w:val="00681668"/>
    <w:rsid w:val="006819A4"/>
    <w:rsid w:val="00685036"/>
    <w:rsid w:val="00687E51"/>
    <w:rsid w:val="0069081D"/>
    <w:rsid w:val="006909A9"/>
    <w:rsid w:val="00692BAF"/>
    <w:rsid w:val="00692C0F"/>
    <w:rsid w:val="00695978"/>
    <w:rsid w:val="006A0A7F"/>
    <w:rsid w:val="006A1F9A"/>
    <w:rsid w:val="006A2727"/>
    <w:rsid w:val="006A4A20"/>
    <w:rsid w:val="006B0435"/>
    <w:rsid w:val="006B099C"/>
    <w:rsid w:val="006B1D5C"/>
    <w:rsid w:val="006B2EB6"/>
    <w:rsid w:val="006B6895"/>
    <w:rsid w:val="006B7EE9"/>
    <w:rsid w:val="006C005F"/>
    <w:rsid w:val="006C459B"/>
    <w:rsid w:val="006C4699"/>
    <w:rsid w:val="006C6DAC"/>
    <w:rsid w:val="006C6F55"/>
    <w:rsid w:val="006C7AF7"/>
    <w:rsid w:val="006D07AF"/>
    <w:rsid w:val="006D2E1E"/>
    <w:rsid w:val="006D437B"/>
    <w:rsid w:val="006D468C"/>
    <w:rsid w:val="006D487E"/>
    <w:rsid w:val="006E09B3"/>
    <w:rsid w:val="006E28CD"/>
    <w:rsid w:val="006E57D1"/>
    <w:rsid w:val="006F2E08"/>
    <w:rsid w:val="006F443D"/>
    <w:rsid w:val="00701B95"/>
    <w:rsid w:val="00703EE5"/>
    <w:rsid w:val="00706A9F"/>
    <w:rsid w:val="00707206"/>
    <w:rsid w:val="0071067F"/>
    <w:rsid w:val="00711675"/>
    <w:rsid w:val="00711F19"/>
    <w:rsid w:val="007148E4"/>
    <w:rsid w:val="00715A6F"/>
    <w:rsid w:val="00721803"/>
    <w:rsid w:val="00721B7D"/>
    <w:rsid w:val="00724B67"/>
    <w:rsid w:val="007250DE"/>
    <w:rsid w:val="0073165C"/>
    <w:rsid w:val="007342F4"/>
    <w:rsid w:val="007413F0"/>
    <w:rsid w:val="00741601"/>
    <w:rsid w:val="00745373"/>
    <w:rsid w:val="007503D0"/>
    <w:rsid w:val="00751E42"/>
    <w:rsid w:val="00760E95"/>
    <w:rsid w:val="00761984"/>
    <w:rsid w:val="00765FD7"/>
    <w:rsid w:val="00773243"/>
    <w:rsid w:val="007767A0"/>
    <w:rsid w:val="00781FFA"/>
    <w:rsid w:val="007825CD"/>
    <w:rsid w:val="00783961"/>
    <w:rsid w:val="00785AB4"/>
    <w:rsid w:val="00790364"/>
    <w:rsid w:val="007955A3"/>
    <w:rsid w:val="007957FF"/>
    <w:rsid w:val="0079795D"/>
    <w:rsid w:val="007A56F5"/>
    <w:rsid w:val="007A7BE0"/>
    <w:rsid w:val="007B7559"/>
    <w:rsid w:val="007C2983"/>
    <w:rsid w:val="007C30AF"/>
    <w:rsid w:val="007C3635"/>
    <w:rsid w:val="007C36DB"/>
    <w:rsid w:val="007C51BB"/>
    <w:rsid w:val="007C520E"/>
    <w:rsid w:val="007D72DA"/>
    <w:rsid w:val="007E053D"/>
    <w:rsid w:val="007E317C"/>
    <w:rsid w:val="007E6A31"/>
    <w:rsid w:val="007E7045"/>
    <w:rsid w:val="007F0254"/>
    <w:rsid w:val="007F09E2"/>
    <w:rsid w:val="007F1D75"/>
    <w:rsid w:val="007F3540"/>
    <w:rsid w:val="008020EA"/>
    <w:rsid w:val="0080530B"/>
    <w:rsid w:val="008105BA"/>
    <w:rsid w:val="00812AEE"/>
    <w:rsid w:val="008165E7"/>
    <w:rsid w:val="0081766C"/>
    <w:rsid w:val="00817BD5"/>
    <w:rsid w:val="00822C34"/>
    <w:rsid w:val="008230B0"/>
    <w:rsid w:val="0082325F"/>
    <w:rsid w:val="0082596B"/>
    <w:rsid w:val="00825F05"/>
    <w:rsid w:val="00825F8D"/>
    <w:rsid w:val="0082635A"/>
    <w:rsid w:val="00831890"/>
    <w:rsid w:val="00832D57"/>
    <w:rsid w:val="00833FA6"/>
    <w:rsid w:val="00836110"/>
    <w:rsid w:val="0083799C"/>
    <w:rsid w:val="00844B2A"/>
    <w:rsid w:val="008472B6"/>
    <w:rsid w:val="00852426"/>
    <w:rsid w:val="00852FD0"/>
    <w:rsid w:val="008559F5"/>
    <w:rsid w:val="00856973"/>
    <w:rsid w:val="0086206B"/>
    <w:rsid w:val="00862B3D"/>
    <w:rsid w:val="00863036"/>
    <w:rsid w:val="00863A2B"/>
    <w:rsid w:val="00863E13"/>
    <w:rsid w:val="008662C9"/>
    <w:rsid w:val="008679EA"/>
    <w:rsid w:val="00867E85"/>
    <w:rsid w:val="0087193D"/>
    <w:rsid w:val="008728CF"/>
    <w:rsid w:val="008741F9"/>
    <w:rsid w:val="00877BA9"/>
    <w:rsid w:val="008803F5"/>
    <w:rsid w:val="0088131E"/>
    <w:rsid w:val="00883431"/>
    <w:rsid w:val="00886054"/>
    <w:rsid w:val="00886137"/>
    <w:rsid w:val="00893510"/>
    <w:rsid w:val="008941B5"/>
    <w:rsid w:val="00894E0D"/>
    <w:rsid w:val="00896C09"/>
    <w:rsid w:val="00896D55"/>
    <w:rsid w:val="00897211"/>
    <w:rsid w:val="008978F9"/>
    <w:rsid w:val="008A1B9B"/>
    <w:rsid w:val="008A26C7"/>
    <w:rsid w:val="008A38F7"/>
    <w:rsid w:val="008B09D3"/>
    <w:rsid w:val="008B4469"/>
    <w:rsid w:val="008B5061"/>
    <w:rsid w:val="008B5D32"/>
    <w:rsid w:val="008B62F0"/>
    <w:rsid w:val="008C1454"/>
    <w:rsid w:val="008C43D6"/>
    <w:rsid w:val="008C5AFD"/>
    <w:rsid w:val="008D0BF0"/>
    <w:rsid w:val="008D1F1C"/>
    <w:rsid w:val="008D540D"/>
    <w:rsid w:val="008D626F"/>
    <w:rsid w:val="008D6A68"/>
    <w:rsid w:val="008D6BFF"/>
    <w:rsid w:val="008E39CB"/>
    <w:rsid w:val="008E3FA1"/>
    <w:rsid w:val="008E4CC7"/>
    <w:rsid w:val="008E77C3"/>
    <w:rsid w:val="008E7880"/>
    <w:rsid w:val="008F311F"/>
    <w:rsid w:val="008F3BD2"/>
    <w:rsid w:val="008F3C49"/>
    <w:rsid w:val="008F5B58"/>
    <w:rsid w:val="00900A97"/>
    <w:rsid w:val="00903E6E"/>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33C7"/>
    <w:rsid w:val="00935399"/>
    <w:rsid w:val="00937F20"/>
    <w:rsid w:val="00940DD8"/>
    <w:rsid w:val="00941C55"/>
    <w:rsid w:val="009421EA"/>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4CF4"/>
    <w:rsid w:val="009D6849"/>
    <w:rsid w:val="009F1E7E"/>
    <w:rsid w:val="009F5B9C"/>
    <w:rsid w:val="009F61D5"/>
    <w:rsid w:val="00A00B1A"/>
    <w:rsid w:val="00A00D5C"/>
    <w:rsid w:val="00A00EFE"/>
    <w:rsid w:val="00A06F92"/>
    <w:rsid w:val="00A102ED"/>
    <w:rsid w:val="00A1069C"/>
    <w:rsid w:val="00A1138A"/>
    <w:rsid w:val="00A14697"/>
    <w:rsid w:val="00A17C8E"/>
    <w:rsid w:val="00A20227"/>
    <w:rsid w:val="00A235E1"/>
    <w:rsid w:val="00A2427F"/>
    <w:rsid w:val="00A25A93"/>
    <w:rsid w:val="00A26266"/>
    <w:rsid w:val="00A2764A"/>
    <w:rsid w:val="00A304F2"/>
    <w:rsid w:val="00A32137"/>
    <w:rsid w:val="00A33502"/>
    <w:rsid w:val="00A35E63"/>
    <w:rsid w:val="00A378A5"/>
    <w:rsid w:val="00A40D88"/>
    <w:rsid w:val="00A40EF3"/>
    <w:rsid w:val="00A425CF"/>
    <w:rsid w:val="00A4328E"/>
    <w:rsid w:val="00A46354"/>
    <w:rsid w:val="00A468CE"/>
    <w:rsid w:val="00A4785C"/>
    <w:rsid w:val="00A47F34"/>
    <w:rsid w:val="00A50ED0"/>
    <w:rsid w:val="00A51F87"/>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D7"/>
    <w:rsid w:val="00A90421"/>
    <w:rsid w:val="00A94D83"/>
    <w:rsid w:val="00A9509D"/>
    <w:rsid w:val="00A965DE"/>
    <w:rsid w:val="00A970A5"/>
    <w:rsid w:val="00A97275"/>
    <w:rsid w:val="00A97A82"/>
    <w:rsid w:val="00AA3152"/>
    <w:rsid w:val="00AB2AC7"/>
    <w:rsid w:val="00AB7A72"/>
    <w:rsid w:val="00AC0AFF"/>
    <w:rsid w:val="00AC1DD3"/>
    <w:rsid w:val="00AD0C9A"/>
    <w:rsid w:val="00AE0E69"/>
    <w:rsid w:val="00AE1C12"/>
    <w:rsid w:val="00AE6FE8"/>
    <w:rsid w:val="00AE7D3E"/>
    <w:rsid w:val="00AF5E0A"/>
    <w:rsid w:val="00AF70D0"/>
    <w:rsid w:val="00B01EFD"/>
    <w:rsid w:val="00B02CA3"/>
    <w:rsid w:val="00B11E72"/>
    <w:rsid w:val="00B16007"/>
    <w:rsid w:val="00B23DBB"/>
    <w:rsid w:val="00B2481A"/>
    <w:rsid w:val="00B256C5"/>
    <w:rsid w:val="00B260C9"/>
    <w:rsid w:val="00B2624B"/>
    <w:rsid w:val="00B279C5"/>
    <w:rsid w:val="00B27A24"/>
    <w:rsid w:val="00B36378"/>
    <w:rsid w:val="00B37871"/>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2C53"/>
    <w:rsid w:val="00BA2C82"/>
    <w:rsid w:val="00BA30F2"/>
    <w:rsid w:val="00BA7587"/>
    <w:rsid w:val="00BB0B05"/>
    <w:rsid w:val="00BB1BC1"/>
    <w:rsid w:val="00BB4C56"/>
    <w:rsid w:val="00BB55B2"/>
    <w:rsid w:val="00BB62FF"/>
    <w:rsid w:val="00BB7792"/>
    <w:rsid w:val="00BC07F1"/>
    <w:rsid w:val="00BC26B3"/>
    <w:rsid w:val="00BC27A0"/>
    <w:rsid w:val="00BC2E2C"/>
    <w:rsid w:val="00BC309F"/>
    <w:rsid w:val="00BC329B"/>
    <w:rsid w:val="00BC6286"/>
    <w:rsid w:val="00BC63BD"/>
    <w:rsid w:val="00BD3E76"/>
    <w:rsid w:val="00BE18F8"/>
    <w:rsid w:val="00BE541E"/>
    <w:rsid w:val="00BE5B7A"/>
    <w:rsid w:val="00BF15EC"/>
    <w:rsid w:val="00BF6038"/>
    <w:rsid w:val="00BF70FD"/>
    <w:rsid w:val="00C023AC"/>
    <w:rsid w:val="00C02A29"/>
    <w:rsid w:val="00C05079"/>
    <w:rsid w:val="00C1167A"/>
    <w:rsid w:val="00C11BF0"/>
    <w:rsid w:val="00C17383"/>
    <w:rsid w:val="00C17D68"/>
    <w:rsid w:val="00C20B2E"/>
    <w:rsid w:val="00C273B0"/>
    <w:rsid w:val="00C31C60"/>
    <w:rsid w:val="00C34799"/>
    <w:rsid w:val="00C34DBF"/>
    <w:rsid w:val="00C3782E"/>
    <w:rsid w:val="00C470A1"/>
    <w:rsid w:val="00C47E3E"/>
    <w:rsid w:val="00C50A52"/>
    <w:rsid w:val="00C55B8C"/>
    <w:rsid w:val="00C57BCD"/>
    <w:rsid w:val="00C619D5"/>
    <w:rsid w:val="00C63AD4"/>
    <w:rsid w:val="00C6602B"/>
    <w:rsid w:val="00C66CD6"/>
    <w:rsid w:val="00C70383"/>
    <w:rsid w:val="00C70CB1"/>
    <w:rsid w:val="00C72818"/>
    <w:rsid w:val="00C77004"/>
    <w:rsid w:val="00C87754"/>
    <w:rsid w:val="00C915B1"/>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D493F"/>
    <w:rsid w:val="00CD6D43"/>
    <w:rsid w:val="00CE0565"/>
    <w:rsid w:val="00CE36F5"/>
    <w:rsid w:val="00CE413C"/>
    <w:rsid w:val="00CE4377"/>
    <w:rsid w:val="00CE724B"/>
    <w:rsid w:val="00CE7FBD"/>
    <w:rsid w:val="00CF3793"/>
    <w:rsid w:val="00CF3ED9"/>
    <w:rsid w:val="00CF5796"/>
    <w:rsid w:val="00D045A8"/>
    <w:rsid w:val="00D05022"/>
    <w:rsid w:val="00D0703B"/>
    <w:rsid w:val="00D07E73"/>
    <w:rsid w:val="00D10D0F"/>
    <w:rsid w:val="00D1753B"/>
    <w:rsid w:val="00D20249"/>
    <w:rsid w:val="00D2228E"/>
    <w:rsid w:val="00D232D6"/>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3C1"/>
    <w:rsid w:val="00D64EA6"/>
    <w:rsid w:val="00D6526A"/>
    <w:rsid w:val="00D652BF"/>
    <w:rsid w:val="00D658E1"/>
    <w:rsid w:val="00D65EC5"/>
    <w:rsid w:val="00D6735E"/>
    <w:rsid w:val="00D70DCC"/>
    <w:rsid w:val="00D71AAE"/>
    <w:rsid w:val="00D7264E"/>
    <w:rsid w:val="00D8020C"/>
    <w:rsid w:val="00D82D7F"/>
    <w:rsid w:val="00D83883"/>
    <w:rsid w:val="00D84ABA"/>
    <w:rsid w:val="00D86790"/>
    <w:rsid w:val="00D87A8B"/>
    <w:rsid w:val="00D87D80"/>
    <w:rsid w:val="00D9318E"/>
    <w:rsid w:val="00D93D7D"/>
    <w:rsid w:val="00D943B0"/>
    <w:rsid w:val="00D95FA3"/>
    <w:rsid w:val="00D96829"/>
    <w:rsid w:val="00D97ED8"/>
    <w:rsid w:val="00DA06F9"/>
    <w:rsid w:val="00DB1E3D"/>
    <w:rsid w:val="00DB40CC"/>
    <w:rsid w:val="00DB458D"/>
    <w:rsid w:val="00DB50AC"/>
    <w:rsid w:val="00DB54AF"/>
    <w:rsid w:val="00DB5E90"/>
    <w:rsid w:val="00DB61CB"/>
    <w:rsid w:val="00DB6BD8"/>
    <w:rsid w:val="00DC02B3"/>
    <w:rsid w:val="00DC0787"/>
    <w:rsid w:val="00DC2570"/>
    <w:rsid w:val="00DD1AA1"/>
    <w:rsid w:val="00DD47F1"/>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23EF9"/>
    <w:rsid w:val="00E24E8A"/>
    <w:rsid w:val="00E3074E"/>
    <w:rsid w:val="00E31529"/>
    <w:rsid w:val="00E33D85"/>
    <w:rsid w:val="00E36480"/>
    <w:rsid w:val="00E45A2F"/>
    <w:rsid w:val="00E47EAC"/>
    <w:rsid w:val="00E5273A"/>
    <w:rsid w:val="00E53D58"/>
    <w:rsid w:val="00E56467"/>
    <w:rsid w:val="00E619AA"/>
    <w:rsid w:val="00E6376E"/>
    <w:rsid w:val="00E63CED"/>
    <w:rsid w:val="00E6521D"/>
    <w:rsid w:val="00E6671D"/>
    <w:rsid w:val="00E67C3C"/>
    <w:rsid w:val="00E7078F"/>
    <w:rsid w:val="00E70D8E"/>
    <w:rsid w:val="00E73B4C"/>
    <w:rsid w:val="00E74B68"/>
    <w:rsid w:val="00E75547"/>
    <w:rsid w:val="00E803C2"/>
    <w:rsid w:val="00E80F23"/>
    <w:rsid w:val="00E810D3"/>
    <w:rsid w:val="00E81F94"/>
    <w:rsid w:val="00E81FE7"/>
    <w:rsid w:val="00E85F14"/>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5227"/>
    <w:rsid w:val="00EE0F0F"/>
    <w:rsid w:val="00EE72BF"/>
    <w:rsid w:val="00EF2693"/>
    <w:rsid w:val="00EF4375"/>
    <w:rsid w:val="00EF673E"/>
    <w:rsid w:val="00F01D94"/>
    <w:rsid w:val="00F02B7C"/>
    <w:rsid w:val="00F03500"/>
    <w:rsid w:val="00F059ED"/>
    <w:rsid w:val="00F06517"/>
    <w:rsid w:val="00F104A5"/>
    <w:rsid w:val="00F11B43"/>
    <w:rsid w:val="00F12A4C"/>
    <w:rsid w:val="00F12C83"/>
    <w:rsid w:val="00F166AB"/>
    <w:rsid w:val="00F2046E"/>
    <w:rsid w:val="00F209B6"/>
    <w:rsid w:val="00F230F8"/>
    <w:rsid w:val="00F249AE"/>
    <w:rsid w:val="00F272E4"/>
    <w:rsid w:val="00F32275"/>
    <w:rsid w:val="00F33E4D"/>
    <w:rsid w:val="00F367A2"/>
    <w:rsid w:val="00F40DE5"/>
    <w:rsid w:val="00F4152A"/>
    <w:rsid w:val="00F501D4"/>
    <w:rsid w:val="00F5181D"/>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33A7"/>
    <w:rsid w:val="00F95BF2"/>
    <w:rsid w:val="00F96689"/>
    <w:rsid w:val="00F9693B"/>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84E2-B338-4158-BAD8-6F4C3E85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3193</Words>
  <Characters>18845</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21995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2019-12-11T09:57:00Z</cp:lastPrinted>
  <dcterms:created xsi:type="dcterms:W3CDTF">2019-12-19T07:00:00Z</dcterms:created>
  <dcterms:modified xsi:type="dcterms:W3CDTF">2019-12-19T07:00:00Z</dcterms:modified>
</cp:coreProperties>
</file>