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61CF8">
      <w:pPr>
        <w:rPr>
          <w:rFonts w:ascii="Tahoma" w:hAnsi="Tahoma" w:cs="Tahoma"/>
          <w:color w:val="000000" w:themeColor="text1"/>
          <w:sz w:val="20"/>
          <w:szCs w:val="20"/>
        </w:rPr>
      </w:pPr>
      <w:bookmarkStart w:id="0" w:name="_GoBack"/>
      <w:bookmarkEnd w:id="0"/>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33A82569" wp14:editId="54B00A94">
            <wp:simplePos x="0" y="0"/>
            <wp:positionH relativeFrom="column">
              <wp:posOffset>1170305</wp:posOffset>
            </wp:positionH>
            <wp:positionV relativeFrom="paragraph">
              <wp:posOffset>-800100</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p>
    <w:p w:rsidR="00661CF8" w:rsidRPr="00DB40CC" w:rsidRDefault="00661CF8" w:rsidP="00661CF8">
      <w:pPr>
        <w:rPr>
          <w:rFonts w:ascii="Tahoma" w:hAnsi="Tahoma" w:cs="Tahoma"/>
          <w:color w:val="000000" w:themeColor="text1"/>
          <w:sz w:val="20"/>
          <w:szCs w:val="20"/>
        </w:rPr>
      </w:pPr>
    </w:p>
    <w:p w:rsidR="0000079D" w:rsidRDefault="0000079D"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Pr="00DB40CC" w:rsidRDefault="00D232D6"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 xml:space="preserve">KVĚTEN </w:t>
      </w:r>
      <w:r w:rsidR="00247A69">
        <w:rPr>
          <w:rFonts w:ascii="Tahoma" w:hAnsi="Tahoma" w:cs="Tahoma"/>
          <w:b/>
          <w:color w:val="000000" w:themeColor="text1"/>
          <w:sz w:val="32"/>
          <w:szCs w:val="20"/>
        </w:rPr>
        <w:t>2019</w:t>
      </w:r>
    </w:p>
    <w:p w:rsidR="00CB2B4C" w:rsidRDefault="00CB2B4C" w:rsidP="009B2451">
      <w:pPr>
        <w:pStyle w:val="Bezmezer"/>
        <w:spacing w:line="360" w:lineRule="auto"/>
        <w:rPr>
          <w:rFonts w:ascii="Tahoma" w:hAnsi="Tahoma" w:cs="Tahoma"/>
          <w:b/>
          <w:color w:val="000000" w:themeColor="text1"/>
          <w:sz w:val="20"/>
          <w:szCs w:val="20"/>
        </w:rPr>
      </w:pPr>
    </w:p>
    <w:p w:rsidR="00661CF8" w:rsidRPr="000944DB" w:rsidRDefault="00661CF8" w:rsidP="001311AC">
      <w:pPr>
        <w:pStyle w:val="Bezmezer"/>
        <w:spacing w:line="360" w:lineRule="auto"/>
        <w:jc w:val="both"/>
        <w:rPr>
          <w:rFonts w:ascii="Tahoma" w:hAnsi="Tahoma" w:cs="Tahoma"/>
          <w:b/>
          <w:color w:val="000000" w:themeColor="text1"/>
          <w:sz w:val="24"/>
          <w:szCs w:val="20"/>
        </w:rPr>
      </w:pPr>
      <w:r w:rsidRPr="000944DB">
        <w:rPr>
          <w:rFonts w:ascii="Tahoma" w:hAnsi="Tahoma" w:cs="Tahoma"/>
          <w:b/>
          <w:color w:val="000000" w:themeColor="text1"/>
          <w:sz w:val="24"/>
          <w:szCs w:val="20"/>
        </w:rPr>
        <w:t xml:space="preserve">I. Platné právní předpisy vyhlášené ve Sbírce zákonů </w:t>
      </w:r>
    </w:p>
    <w:p w:rsidR="00415958" w:rsidRPr="008165E7" w:rsidRDefault="00D232D6" w:rsidP="004A22A3">
      <w:pPr>
        <w:pStyle w:val="Bezmezer"/>
        <w:numPr>
          <w:ilvl w:val="0"/>
          <w:numId w:val="2"/>
        </w:numPr>
        <w:spacing w:line="360" w:lineRule="auto"/>
        <w:jc w:val="both"/>
        <w:rPr>
          <w:rFonts w:ascii="Tahoma" w:hAnsi="Tahoma" w:cs="Tahoma"/>
          <w:color w:val="000000" w:themeColor="text1"/>
          <w:sz w:val="20"/>
          <w:szCs w:val="20"/>
        </w:rPr>
      </w:pPr>
      <w:r>
        <w:rPr>
          <w:i/>
        </w:rPr>
        <w:t>ve sledovaném období nebyly vydány žádné relevantní právní předpisy</w:t>
      </w:r>
      <w:r w:rsidR="00415958" w:rsidRPr="008165E7">
        <w:rPr>
          <w:rFonts w:ascii="Tahoma" w:hAnsi="Tahoma" w:cs="Tahoma"/>
          <w:color w:val="000000" w:themeColor="text1"/>
          <w:sz w:val="20"/>
          <w:szCs w:val="20"/>
        </w:rPr>
        <w:t xml:space="preserve">   </w:t>
      </w:r>
    </w:p>
    <w:p w:rsidR="00F807B3" w:rsidRDefault="00F807B3" w:rsidP="00F807B3">
      <w:pPr>
        <w:pStyle w:val="Bezmezer"/>
        <w:spacing w:line="360" w:lineRule="auto"/>
        <w:ind w:left="786"/>
        <w:jc w:val="both"/>
        <w:rPr>
          <w:rFonts w:ascii="Tahoma" w:hAnsi="Tahoma" w:cs="Tahoma"/>
          <w:color w:val="000000" w:themeColor="text1"/>
          <w:sz w:val="20"/>
          <w:szCs w:val="20"/>
        </w:rPr>
      </w:pPr>
    </w:p>
    <w:p w:rsidR="00661CF8" w:rsidRDefault="00661CF8" w:rsidP="001311AC">
      <w:pPr>
        <w:pStyle w:val="Bezmezer"/>
        <w:spacing w:line="360" w:lineRule="auto"/>
        <w:jc w:val="both"/>
        <w:rPr>
          <w:rFonts w:ascii="Tahoma" w:hAnsi="Tahoma" w:cs="Tahoma"/>
          <w:b/>
          <w:color w:val="000000" w:themeColor="text1"/>
          <w:sz w:val="24"/>
          <w:szCs w:val="20"/>
        </w:rPr>
      </w:pPr>
      <w:r w:rsidRPr="00616728">
        <w:rPr>
          <w:rFonts w:ascii="Tahoma" w:hAnsi="Tahoma" w:cs="Tahoma"/>
          <w:b/>
          <w:color w:val="000000" w:themeColor="text1"/>
          <w:sz w:val="24"/>
          <w:szCs w:val="20"/>
        </w:rPr>
        <w:t>II. Připravovaná legislativa</w:t>
      </w:r>
    </w:p>
    <w:p w:rsidR="00D8020C" w:rsidRDefault="00D8020C" w:rsidP="00D8020C">
      <w:pPr>
        <w:pStyle w:val="Bezmezer"/>
        <w:numPr>
          <w:ilvl w:val="0"/>
          <w:numId w:val="31"/>
        </w:numP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Výstupy</w:t>
      </w:r>
    </w:p>
    <w:p w:rsidR="00D8020C" w:rsidRPr="00A7763A" w:rsidRDefault="00D8020C" w:rsidP="00D8020C">
      <w:pPr>
        <w:pStyle w:val="Bezmezer"/>
        <w:numPr>
          <w:ilvl w:val="0"/>
          <w:numId w:val="32"/>
        </w:numPr>
        <w:spacing w:line="360" w:lineRule="auto"/>
        <w:jc w:val="both"/>
        <w:rPr>
          <w:rFonts w:ascii="Tahoma" w:hAnsi="Tahoma" w:cs="Tahoma"/>
          <w:color w:val="000000" w:themeColor="text1"/>
          <w:sz w:val="20"/>
          <w:szCs w:val="20"/>
        </w:rPr>
      </w:pPr>
      <w:r w:rsidRPr="00A7763A">
        <w:rPr>
          <w:rFonts w:ascii="Tahoma" w:hAnsi="Tahoma" w:cs="Tahoma"/>
          <w:color w:val="000000" w:themeColor="text1"/>
          <w:sz w:val="20"/>
          <w:szCs w:val="20"/>
        </w:rPr>
        <w:t>Novela zákona č. 165/2012 Sb., o podporovaných zdrojích energie a zákona č. 458/2000 Sb., energetický zákon</w:t>
      </w:r>
    </w:p>
    <w:p w:rsidR="00D8020C" w:rsidRDefault="00D8020C" w:rsidP="00D8020C">
      <w:pPr>
        <w:pStyle w:val="Bezmezer"/>
        <w:spacing w:line="360" w:lineRule="auto"/>
        <w:ind w:left="720"/>
        <w:jc w:val="both"/>
        <w:rPr>
          <w:rFonts w:ascii="Tahoma" w:hAnsi="Tahoma" w:cs="Tahoma"/>
          <w:b/>
          <w:color w:val="000000" w:themeColor="text1"/>
          <w:sz w:val="24"/>
          <w:szCs w:val="20"/>
        </w:rPr>
      </w:pPr>
    </w:p>
    <w:p w:rsidR="004A3DCA" w:rsidRDefault="004A3DCA" w:rsidP="004A22A3">
      <w:pPr>
        <w:pStyle w:val="Bezmezer"/>
        <w:numPr>
          <w:ilvl w:val="0"/>
          <w:numId w:val="31"/>
        </w:numP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Zadání</w:t>
      </w:r>
    </w:p>
    <w:p w:rsidR="00D232D6" w:rsidRPr="00D232D6" w:rsidRDefault="00D232D6" w:rsidP="00D232D6">
      <w:pPr>
        <w:pStyle w:val="Bezmezer"/>
        <w:numPr>
          <w:ilvl w:val="0"/>
          <w:numId w:val="32"/>
        </w:numPr>
        <w:spacing w:line="360" w:lineRule="auto"/>
        <w:jc w:val="both"/>
        <w:rPr>
          <w:rFonts w:ascii="Tahoma" w:hAnsi="Tahoma" w:cs="Tahoma"/>
          <w:color w:val="000000" w:themeColor="text1"/>
          <w:sz w:val="20"/>
          <w:szCs w:val="20"/>
        </w:rPr>
      </w:pPr>
      <w:r w:rsidRPr="00D232D6">
        <w:rPr>
          <w:rFonts w:ascii="Tahoma" w:hAnsi="Tahoma" w:cs="Tahoma"/>
          <w:color w:val="000000" w:themeColor="text1"/>
          <w:sz w:val="20"/>
          <w:szCs w:val="20"/>
        </w:rPr>
        <w:t>Novela zákona č. 304/2013 Sb., o veřejných rejstřících právnických a fyzických osob</w:t>
      </w:r>
    </w:p>
    <w:p w:rsidR="00D232D6" w:rsidRPr="00D232D6" w:rsidRDefault="00D232D6" w:rsidP="00D232D6">
      <w:pPr>
        <w:pStyle w:val="Bezmezer"/>
        <w:numPr>
          <w:ilvl w:val="0"/>
          <w:numId w:val="32"/>
        </w:numPr>
        <w:spacing w:line="360" w:lineRule="auto"/>
        <w:jc w:val="both"/>
        <w:rPr>
          <w:rFonts w:ascii="Tahoma" w:hAnsi="Tahoma" w:cs="Tahoma"/>
          <w:color w:val="000000" w:themeColor="text1"/>
          <w:sz w:val="20"/>
          <w:szCs w:val="20"/>
        </w:rPr>
      </w:pPr>
      <w:r w:rsidRPr="00D232D6">
        <w:rPr>
          <w:rFonts w:ascii="Tahoma" w:hAnsi="Tahoma" w:cs="Tahoma"/>
          <w:color w:val="000000" w:themeColor="text1"/>
          <w:sz w:val="20"/>
          <w:szCs w:val="20"/>
        </w:rPr>
        <w:t>Novela zákona č. 361/2000 Sb., o provozu na pozemních komunikacích a o změnách některých zákonů (zákon o silničním provozu)</w:t>
      </w:r>
    </w:p>
    <w:p w:rsidR="00D232D6" w:rsidRPr="00D232D6" w:rsidRDefault="00D232D6" w:rsidP="00D232D6">
      <w:pPr>
        <w:pStyle w:val="Bezmezer"/>
        <w:numPr>
          <w:ilvl w:val="0"/>
          <w:numId w:val="32"/>
        </w:numPr>
        <w:spacing w:line="360" w:lineRule="auto"/>
        <w:jc w:val="both"/>
        <w:rPr>
          <w:rFonts w:ascii="Tahoma" w:hAnsi="Tahoma" w:cs="Tahoma"/>
          <w:color w:val="000000" w:themeColor="text1"/>
          <w:sz w:val="20"/>
          <w:szCs w:val="20"/>
        </w:rPr>
      </w:pPr>
      <w:r w:rsidRPr="00D232D6">
        <w:rPr>
          <w:rFonts w:ascii="Tahoma" w:hAnsi="Tahoma" w:cs="Tahoma"/>
          <w:color w:val="000000" w:themeColor="text1"/>
          <w:sz w:val="20"/>
          <w:szCs w:val="20"/>
        </w:rPr>
        <w:t>Zákon o změně zákonů v souvislosti s přijetím zákona o znalcích a soudních tlumočnících</w:t>
      </w:r>
    </w:p>
    <w:p w:rsidR="00D232D6" w:rsidRPr="00D232D6" w:rsidRDefault="00D232D6" w:rsidP="00D232D6">
      <w:pPr>
        <w:pStyle w:val="Bezmezer"/>
        <w:numPr>
          <w:ilvl w:val="0"/>
          <w:numId w:val="32"/>
        </w:numPr>
        <w:spacing w:line="360" w:lineRule="auto"/>
        <w:jc w:val="both"/>
        <w:rPr>
          <w:rFonts w:ascii="Tahoma" w:hAnsi="Tahoma" w:cs="Tahoma"/>
          <w:color w:val="000000" w:themeColor="text1"/>
          <w:sz w:val="20"/>
          <w:szCs w:val="20"/>
        </w:rPr>
      </w:pPr>
      <w:r w:rsidRPr="00D232D6">
        <w:rPr>
          <w:rFonts w:ascii="Tahoma" w:hAnsi="Tahoma" w:cs="Tahoma"/>
          <w:color w:val="000000" w:themeColor="text1"/>
          <w:sz w:val="20"/>
          <w:szCs w:val="20"/>
        </w:rPr>
        <w:t>Návrh zákona, kterým se mění občanský soudní řád a další související zákony</w:t>
      </w:r>
    </w:p>
    <w:p w:rsidR="00D232D6" w:rsidRPr="00D232D6" w:rsidRDefault="00D232D6" w:rsidP="00D232D6">
      <w:pPr>
        <w:pStyle w:val="Bezmezer"/>
        <w:numPr>
          <w:ilvl w:val="0"/>
          <w:numId w:val="32"/>
        </w:numPr>
        <w:spacing w:line="360" w:lineRule="auto"/>
        <w:jc w:val="both"/>
        <w:rPr>
          <w:rFonts w:ascii="Tahoma" w:hAnsi="Tahoma" w:cs="Tahoma"/>
          <w:color w:val="000000" w:themeColor="text1"/>
          <w:sz w:val="20"/>
          <w:szCs w:val="20"/>
        </w:rPr>
      </w:pPr>
      <w:r w:rsidRPr="00D232D6">
        <w:rPr>
          <w:rFonts w:ascii="Tahoma" w:hAnsi="Tahoma" w:cs="Tahoma"/>
          <w:color w:val="000000" w:themeColor="text1"/>
          <w:sz w:val="20"/>
          <w:szCs w:val="20"/>
        </w:rPr>
        <w:t>Novela zákona č. 89/2012 Sb., občanský zákoník</w:t>
      </w:r>
    </w:p>
    <w:p w:rsidR="00D232D6" w:rsidRPr="00D232D6" w:rsidRDefault="00D232D6" w:rsidP="00D232D6">
      <w:pPr>
        <w:pStyle w:val="Bezmezer"/>
        <w:numPr>
          <w:ilvl w:val="0"/>
          <w:numId w:val="32"/>
        </w:numPr>
        <w:spacing w:line="360" w:lineRule="auto"/>
        <w:jc w:val="both"/>
        <w:rPr>
          <w:rFonts w:ascii="Tahoma" w:hAnsi="Tahoma" w:cs="Tahoma"/>
          <w:color w:val="000000" w:themeColor="text1"/>
          <w:sz w:val="20"/>
          <w:szCs w:val="20"/>
        </w:rPr>
      </w:pPr>
      <w:r w:rsidRPr="00D232D6">
        <w:rPr>
          <w:rFonts w:ascii="Tahoma" w:hAnsi="Tahoma" w:cs="Tahoma"/>
          <w:color w:val="000000" w:themeColor="text1"/>
          <w:sz w:val="20"/>
          <w:szCs w:val="20"/>
        </w:rPr>
        <w:t>Věcný záměr stavebního zákona</w:t>
      </w:r>
    </w:p>
    <w:p w:rsidR="00D232D6" w:rsidRPr="00D232D6" w:rsidRDefault="00D232D6" w:rsidP="00D232D6">
      <w:pPr>
        <w:pStyle w:val="Bezmezer"/>
        <w:numPr>
          <w:ilvl w:val="0"/>
          <w:numId w:val="32"/>
        </w:numPr>
        <w:spacing w:line="360" w:lineRule="auto"/>
        <w:jc w:val="both"/>
        <w:rPr>
          <w:rFonts w:ascii="Tahoma" w:hAnsi="Tahoma" w:cs="Tahoma"/>
          <w:color w:val="000000" w:themeColor="text1"/>
          <w:sz w:val="20"/>
          <w:szCs w:val="20"/>
        </w:rPr>
      </w:pPr>
      <w:r w:rsidRPr="00D232D6">
        <w:rPr>
          <w:rFonts w:ascii="Tahoma" w:hAnsi="Tahoma" w:cs="Tahoma"/>
          <w:color w:val="000000" w:themeColor="text1"/>
          <w:sz w:val="20"/>
          <w:szCs w:val="20"/>
        </w:rPr>
        <w:t>Novela, kterou se mění některé zákony v oblasti zakládání obchodních společností</w:t>
      </w:r>
    </w:p>
    <w:p w:rsidR="009310E2" w:rsidRDefault="00D232D6" w:rsidP="00D232D6">
      <w:pPr>
        <w:pStyle w:val="Bezmezer"/>
        <w:numPr>
          <w:ilvl w:val="0"/>
          <w:numId w:val="32"/>
        </w:numPr>
        <w:spacing w:line="360" w:lineRule="auto"/>
        <w:jc w:val="both"/>
        <w:rPr>
          <w:rFonts w:ascii="Tahoma" w:hAnsi="Tahoma" w:cs="Tahoma"/>
          <w:color w:val="000000" w:themeColor="text1"/>
          <w:sz w:val="20"/>
          <w:szCs w:val="20"/>
        </w:rPr>
      </w:pPr>
      <w:r w:rsidRPr="00D232D6">
        <w:rPr>
          <w:rFonts w:ascii="Tahoma" w:hAnsi="Tahoma" w:cs="Tahoma"/>
          <w:color w:val="000000" w:themeColor="text1"/>
          <w:sz w:val="20"/>
          <w:szCs w:val="20"/>
        </w:rPr>
        <w:t>Návrh zákona o metrologii</w:t>
      </w:r>
    </w:p>
    <w:p w:rsidR="00D232D6" w:rsidRPr="009310E2" w:rsidRDefault="00D232D6" w:rsidP="00D232D6">
      <w:pPr>
        <w:pStyle w:val="Bezmezer"/>
        <w:spacing w:line="360" w:lineRule="auto"/>
        <w:ind w:left="786"/>
        <w:jc w:val="both"/>
        <w:rPr>
          <w:rFonts w:ascii="Tahoma" w:hAnsi="Tahoma" w:cs="Tahoma"/>
          <w:color w:val="000000" w:themeColor="text1"/>
          <w:sz w:val="20"/>
          <w:szCs w:val="20"/>
        </w:rPr>
      </w:pPr>
    </w:p>
    <w:p w:rsidR="00037C21" w:rsidRPr="00CB2B4C" w:rsidRDefault="00037C21" w:rsidP="00037C21">
      <w:pPr>
        <w:pStyle w:val="Bezmezer"/>
        <w:spacing w:line="360" w:lineRule="auto"/>
        <w:ind w:left="786"/>
        <w:jc w:val="both"/>
        <w:rPr>
          <w:rFonts w:ascii="Tahoma" w:hAnsi="Tahoma" w:cs="Tahoma"/>
          <w:color w:val="000000" w:themeColor="text1"/>
          <w:sz w:val="20"/>
          <w:szCs w:val="20"/>
        </w:rPr>
      </w:pPr>
    </w:p>
    <w:p w:rsidR="00BF15EC" w:rsidRPr="00BF15EC" w:rsidRDefault="00292D21" w:rsidP="00BF15EC">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IV</w:t>
      </w:r>
      <w:r w:rsidR="00661CF8" w:rsidRPr="00024EFD">
        <w:rPr>
          <w:rFonts w:ascii="Tahoma" w:hAnsi="Tahoma" w:cs="Tahoma"/>
          <w:b/>
          <w:color w:val="000000" w:themeColor="text1"/>
          <w:sz w:val="24"/>
          <w:szCs w:val="20"/>
        </w:rPr>
        <w:t>. Aktuální judikatura</w:t>
      </w:r>
      <w:r w:rsidR="00161BEA" w:rsidRPr="00024EFD">
        <w:rPr>
          <w:rFonts w:ascii="Tahoma" w:hAnsi="Tahoma" w:cs="Tahoma"/>
          <w:b/>
          <w:color w:val="000000" w:themeColor="text1"/>
          <w:sz w:val="24"/>
          <w:szCs w:val="20"/>
        </w:rPr>
        <w:t xml:space="preserve"> a stanoviska</w:t>
      </w:r>
    </w:p>
    <w:p w:rsidR="00D232D6" w:rsidRDefault="00037C21" w:rsidP="00037C21">
      <w:pPr>
        <w:pStyle w:val="Bezmezer"/>
        <w:numPr>
          <w:ilvl w:val="0"/>
          <w:numId w:val="2"/>
        </w:numPr>
        <w:spacing w:line="360" w:lineRule="auto"/>
        <w:jc w:val="both"/>
        <w:rPr>
          <w:rFonts w:ascii="Tahoma" w:hAnsi="Tahoma" w:cs="Tahoma"/>
          <w:color w:val="000000" w:themeColor="text1"/>
          <w:sz w:val="20"/>
          <w:szCs w:val="20"/>
        </w:rPr>
      </w:pPr>
      <w:r w:rsidRPr="00037C21">
        <w:rPr>
          <w:rFonts w:ascii="Tahoma" w:hAnsi="Tahoma" w:cs="Tahoma"/>
          <w:color w:val="000000" w:themeColor="text1"/>
          <w:sz w:val="20"/>
          <w:szCs w:val="20"/>
        </w:rPr>
        <w:t xml:space="preserve">Smlouva uzavřená na základě </w:t>
      </w:r>
      <w:r w:rsidR="00B279C5" w:rsidRPr="00037C21">
        <w:rPr>
          <w:rFonts w:ascii="Tahoma" w:hAnsi="Tahoma" w:cs="Tahoma"/>
          <w:color w:val="000000" w:themeColor="text1"/>
          <w:sz w:val="20"/>
          <w:szCs w:val="20"/>
        </w:rPr>
        <w:t>JŘBU</w:t>
      </w:r>
      <w:r w:rsidRPr="00037C21">
        <w:rPr>
          <w:rFonts w:ascii="Tahoma" w:hAnsi="Tahoma" w:cs="Tahoma"/>
          <w:color w:val="000000" w:themeColor="text1"/>
          <w:sz w:val="20"/>
          <w:szCs w:val="20"/>
        </w:rPr>
        <w:t xml:space="preserve"> musí být časově omezena</w:t>
      </w:r>
    </w:p>
    <w:p w:rsidR="00D232D6" w:rsidRPr="00A1069C" w:rsidRDefault="00B279C5" w:rsidP="004A22A3">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Evidence pracovní doby</w:t>
      </w:r>
    </w:p>
    <w:p w:rsidR="00A17C8E" w:rsidRDefault="00A17C8E"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BC27A0" w:rsidRPr="00DB40CC" w:rsidRDefault="00D232D6" w:rsidP="004A22A3">
      <w:pPr>
        <w:pStyle w:val="Bezmezer"/>
        <w:numPr>
          <w:ilvl w:val="0"/>
          <w:numId w:val="1"/>
        </w:numPr>
        <w:shd w:val="clear" w:color="auto" w:fill="CCFFCC"/>
        <w:spacing w:line="360" w:lineRule="auto"/>
        <w:jc w:val="center"/>
        <w:rPr>
          <w:rFonts w:ascii="Tahoma" w:hAnsi="Tahoma" w:cs="Tahoma"/>
          <w:b/>
          <w:sz w:val="28"/>
          <w:szCs w:val="20"/>
        </w:rPr>
      </w:pPr>
      <w:r>
        <w:rPr>
          <w:rFonts w:ascii="Tahoma" w:hAnsi="Tahoma" w:cs="Tahoma"/>
          <w:b/>
          <w:sz w:val="28"/>
          <w:szCs w:val="20"/>
        </w:rPr>
        <w:t>Pla</w:t>
      </w:r>
      <w:r w:rsidR="00BC27A0" w:rsidRPr="00DB40CC">
        <w:rPr>
          <w:rFonts w:ascii="Tahoma" w:hAnsi="Tahoma" w:cs="Tahoma"/>
          <w:b/>
          <w:sz w:val="28"/>
          <w:szCs w:val="20"/>
        </w:rPr>
        <w:t>tné právní předpisy vyhlášené ve Sbírce zákonů</w:t>
      </w:r>
    </w:p>
    <w:p w:rsidR="00904456" w:rsidRDefault="00904456" w:rsidP="00D25F31">
      <w:pPr>
        <w:pStyle w:val="Bezmezer"/>
        <w:spacing w:line="360" w:lineRule="auto"/>
        <w:jc w:val="center"/>
        <w:rPr>
          <w:rStyle w:val="Hypertextovodkaz"/>
          <w:rFonts w:ascii="Tahoma" w:eastAsia="Times New Roman" w:hAnsi="Tahoma" w:cs="Tahoma"/>
          <w:b/>
          <w:bCs/>
          <w:color w:val="000000" w:themeColor="text1"/>
          <w:kern w:val="36"/>
          <w:sz w:val="24"/>
          <w:u w:val="none"/>
          <w:lang w:eastAsia="cs-CZ"/>
        </w:rPr>
      </w:pPr>
    </w:p>
    <w:p w:rsidR="00D232D6" w:rsidRDefault="00D232D6" w:rsidP="00D232D6">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r w:rsidRPr="00D232D6">
        <w:rPr>
          <w:rStyle w:val="Hypertextovodkaz"/>
          <w:rFonts w:ascii="Tahoma" w:eastAsia="Times New Roman" w:hAnsi="Tahoma" w:cs="Tahoma"/>
          <w:bCs/>
          <w:color w:val="000000" w:themeColor="text1"/>
          <w:kern w:val="36"/>
          <w:sz w:val="20"/>
          <w:szCs w:val="20"/>
          <w:u w:val="none"/>
          <w:lang w:eastAsia="cs-CZ"/>
        </w:rPr>
        <w:t>Ve sledovaném období nebyly vydány žádné relevantní předpisy.</w:t>
      </w:r>
    </w:p>
    <w:p w:rsidR="002F798B" w:rsidRPr="00141666" w:rsidRDefault="002F798B" w:rsidP="002F798B">
      <w:pPr>
        <w:pStyle w:val="Bezmezer"/>
        <w:spacing w:line="276" w:lineRule="auto"/>
        <w:jc w:val="both"/>
        <w:rPr>
          <w:rStyle w:val="Hypertextovodkaz"/>
          <w:rFonts w:ascii="Tahoma" w:eastAsia="Times New Roman" w:hAnsi="Tahoma" w:cs="Tahoma"/>
          <w:bCs/>
          <w:color w:val="000000" w:themeColor="text1"/>
          <w:kern w:val="36"/>
          <w:sz w:val="20"/>
          <w:szCs w:val="20"/>
          <w:lang w:eastAsia="cs-CZ"/>
        </w:rPr>
      </w:pPr>
    </w:p>
    <w:p w:rsidR="00A1138A" w:rsidRDefault="00A1138A" w:rsidP="004A22A3">
      <w:pPr>
        <w:pStyle w:val="Bezmezer"/>
        <w:numPr>
          <w:ilvl w:val="0"/>
          <w:numId w:val="1"/>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914DDA" w:rsidRPr="00DB40CC" w:rsidRDefault="00914DDA" w:rsidP="00914DDA">
      <w:pPr>
        <w:pStyle w:val="Bezmezer"/>
        <w:shd w:val="clear" w:color="auto" w:fill="CCFFCC"/>
        <w:spacing w:line="360" w:lineRule="auto"/>
        <w:jc w:val="center"/>
        <w:rPr>
          <w:rFonts w:ascii="Tahoma" w:hAnsi="Tahoma" w:cs="Tahoma"/>
          <w:b/>
          <w:sz w:val="28"/>
          <w:szCs w:val="20"/>
        </w:rPr>
      </w:pPr>
      <w:r w:rsidRPr="00914DDA">
        <w:rPr>
          <w:rFonts w:ascii="Tahoma" w:hAnsi="Tahoma" w:cs="Tahoma"/>
          <w:b/>
          <w:sz w:val="28"/>
          <w:szCs w:val="20"/>
        </w:rPr>
        <w:t>a)</w:t>
      </w:r>
      <w:r>
        <w:rPr>
          <w:rFonts w:ascii="Tahoma" w:hAnsi="Tahoma" w:cs="Tahoma"/>
          <w:b/>
          <w:sz w:val="28"/>
          <w:szCs w:val="20"/>
        </w:rPr>
        <w:t xml:space="preserve"> </w:t>
      </w:r>
      <w:r w:rsidR="00D8020C">
        <w:rPr>
          <w:rFonts w:ascii="Tahoma" w:hAnsi="Tahoma" w:cs="Tahoma"/>
          <w:b/>
          <w:sz w:val="28"/>
          <w:szCs w:val="20"/>
        </w:rPr>
        <w:t>výstupy</w:t>
      </w:r>
    </w:p>
    <w:p w:rsidR="00D8020C" w:rsidRDefault="00D8020C" w:rsidP="00D8020C">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D8020C" w:rsidRPr="00037C21" w:rsidRDefault="00D8020C" w:rsidP="00D8020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037C21">
        <w:rPr>
          <w:rStyle w:val="Hypertextovodkaz"/>
          <w:rFonts w:ascii="Tahoma" w:eastAsia="Times New Roman" w:hAnsi="Tahoma" w:cs="Tahoma"/>
          <w:b/>
          <w:bCs/>
          <w:color w:val="000000" w:themeColor="text1"/>
          <w:kern w:val="36"/>
          <w:sz w:val="24"/>
          <w:szCs w:val="24"/>
          <w:u w:val="none"/>
          <w:lang w:eastAsia="cs-CZ"/>
        </w:rPr>
        <w:t xml:space="preserve">Novela zákona č. 165/2012 Sb., o podporovaných zdrojích energie a zákona č. 458/2000 Sb., energetický zákon </w:t>
      </w:r>
      <w:r w:rsidR="0017029A">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D8020C" w:rsidRDefault="00D8020C" w:rsidP="00D8020C">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Pr="00037C21">
        <w:rPr>
          <w:rStyle w:val="Hypertextovodkaz"/>
          <w:rFonts w:ascii="Tahoma" w:eastAsia="Times New Roman" w:hAnsi="Tahoma" w:cs="Tahoma"/>
          <w:bCs/>
          <w:color w:val="000000" w:themeColor="text1"/>
          <w:kern w:val="36"/>
          <w:sz w:val="20"/>
          <w:szCs w:val="20"/>
          <w:u w:val="none"/>
          <w:lang w:eastAsia="cs-CZ"/>
        </w:rPr>
        <w:t>KORNB6CFJNO2</w:t>
      </w:r>
    </w:p>
    <w:p w:rsidR="00D8020C" w:rsidRDefault="00D8020C" w:rsidP="00D8020C">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Ukončeno mezirezortní připomínkové řízení</w:t>
      </w:r>
    </w:p>
    <w:p w:rsidR="00A7763A" w:rsidRDefault="00A7763A" w:rsidP="00A7763A">
      <w:pPr>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A7763A">
        <w:rPr>
          <w:rStyle w:val="Hypertextovodkaz"/>
          <w:rFonts w:ascii="Tahoma" w:eastAsia="Times New Roman" w:hAnsi="Tahoma" w:cs="Tahoma"/>
          <w:bCs/>
          <w:color w:val="000000" w:themeColor="text1"/>
          <w:kern w:val="36"/>
          <w:sz w:val="20"/>
          <w:szCs w:val="20"/>
          <w:u w:val="none"/>
          <w:lang w:eastAsia="cs-CZ"/>
        </w:rPr>
        <w:t xml:space="preserve">Cílem </w:t>
      </w:r>
      <w:r w:rsidRPr="00A7763A">
        <w:rPr>
          <w:rStyle w:val="Hypertextovodkaz"/>
          <w:rFonts w:ascii="Tahoma" w:eastAsia="Times New Roman" w:hAnsi="Tahoma" w:cs="Tahoma"/>
          <w:b/>
          <w:bCs/>
          <w:color w:val="000000" w:themeColor="text1"/>
          <w:kern w:val="36"/>
          <w:sz w:val="20"/>
          <w:szCs w:val="20"/>
          <w:u w:val="none"/>
          <w:lang w:eastAsia="cs-CZ"/>
        </w:rPr>
        <w:t>novely zákona o podporovaných zdrojích energie</w:t>
      </w:r>
      <w:r w:rsidRPr="00A7763A">
        <w:rPr>
          <w:rStyle w:val="Hypertextovodkaz"/>
          <w:rFonts w:ascii="Tahoma" w:eastAsia="Times New Roman" w:hAnsi="Tahoma" w:cs="Tahoma"/>
          <w:bCs/>
          <w:color w:val="000000" w:themeColor="text1"/>
          <w:kern w:val="36"/>
          <w:sz w:val="20"/>
          <w:szCs w:val="20"/>
          <w:u w:val="none"/>
          <w:lang w:eastAsia="cs-CZ"/>
        </w:rPr>
        <w:t xml:space="preserve"> předložené Ministerstvem průmyslu a obchodu je zejména implementace požadavku EU na OZE po roce 2021 do národní legislativy, vytvoření mechanismu aukcí, podpora biomethanu.</w:t>
      </w:r>
    </w:p>
    <w:p w:rsidR="00A7763A" w:rsidRPr="00A7763A" w:rsidRDefault="00A7763A" w:rsidP="00A7763A">
      <w:pPr>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A7763A">
        <w:rPr>
          <w:rStyle w:val="Hypertextovodkaz"/>
          <w:rFonts w:ascii="Tahoma" w:eastAsia="Times New Roman" w:hAnsi="Tahoma" w:cs="Tahoma"/>
          <w:bCs/>
          <w:color w:val="000000" w:themeColor="text1"/>
          <w:kern w:val="36"/>
          <w:sz w:val="20"/>
          <w:szCs w:val="20"/>
          <w:u w:val="none"/>
          <w:lang w:eastAsia="cs-CZ"/>
        </w:rPr>
        <w:t xml:space="preserve">V návaznosti na revizi směrnice o podpoře využívání energie z obnovitelných zdrojů, která stanovila nový cíl EU pro energii z obnovitelných zdrojů ve výši 32 % do roku 2030, se bude muset Česká republika po roce 2020 připravit na další zvyšování cílů pro energii z obnovitelných zdrojů energie. Aby byla ČR na uvedenou situaci připravena, navrhuje se v zákoně č. 165/2012 Sb., připravit nástroje a opatření s vhodnými formami podpory, které by byly používány pro zajištění plnění jednotlivých cílů v obnovitelných zdrojích energie, a to podle nových požadavků evropské legislativy.  V novele zákona je mimo jiné navržen nový systém provozní podpory pro obnovitelné zdroje. O výši podpory budou nyní výrobci soutěžit v aukcích (systém aukcí už běží v Německu, Francii, Velké Británii, Polsku). </w:t>
      </w:r>
    </w:p>
    <w:p w:rsidR="00A7763A" w:rsidRPr="00A7763A" w:rsidRDefault="00A7763A" w:rsidP="00A7763A">
      <w:pPr>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A7763A">
        <w:rPr>
          <w:rStyle w:val="Hypertextovodkaz"/>
          <w:rFonts w:ascii="Tahoma" w:eastAsia="Times New Roman" w:hAnsi="Tahoma" w:cs="Tahoma"/>
          <w:bCs/>
          <w:color w:val="000000" w:themeColor="text1"/>
          <w:kern w:val="36"/>
          <w:sz w:val="20"/>
          <w:szCs w:val="20"/>
          <w:u w:val="none"/>
          <w:lang w:eastAsia="cs-CZ"/>
        </w:rPr>
        <w:t>Novela zákona je ve své zásadní části zaměřena na druhy a typy podporovaných zdrojů energie, pro jejichž rozvoj je v současnosti stále zásadní a rozhodující provozní podpora. Novela zákona pro nové menší výrobny energie (s výkonem do 1 MW) upravuje současné formy podpory tak, že podpora bude poskytována již pouze formou hodinového zeleného bonusu, která je nejvíce „protržní“ a finančně nejefektivnější formu podpory pro malé zdroje a nebude tak již uplatňována podpora formou výkupních cen. Pro větší výrobny energie (s výkonem nad 1 MW) zavádí novela podporu formou vysoutěžení z vyhlášených aukcí, kdy se opět jedná o „protržní“ princip nastavování podpory.</w:t>
      </w:r>
    </w:p>
    <w:p w:rsidR="00A7763A" w:rsidRPr="00A7763A" w:rsidRDefault="00A7763A" w:rsidP="00A7763A">
      <w:pPr>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A7763A">
        <w:rPr>
          <w:rStyle w:val="Hypertextovodkaz"/>
          <w:rFonts w:ascii="Tahoma" w:eastAsia="Times New Roman" w:hAnsi="Tahoma" w:cs="Tahoma"/>
          <w:bCs/>
          <w:color w:val="000000" w:themeColor="text1"/>
          <w:kern w:val="36"/>
          <w:sz w:val="20"/>
          <w:szCs w:val="20"/>
          <w:u w:val="none"/>
          <w:lang w:eastAsia="cs-CZ"/>
        </w:rPr>
        <w:t>Pro již provozované výrobny energie novela zákona zavádí nové formy podpory. A to tak, aby mohly být udrženy v provozu energeticky efektivní výrobny energie. Podpory by měly být nastaveny na principu kompenzace pouze rozdílu zvýšených nákladů na pořízení paliva z obnovitelných zdrojů nebo jako kompenzace zvýšených nákladů související s výrobou energie z obnovitelných zdrojů. Pro současné výrobny novela zákona také zavádí jasná pravidla a požadavky pro jejich modernizaci, které již dlouhodobě požadovali zástupci sektoru obnovitelných zdrojů energie.</w:t>
      </w:r>
    </w:p>
    <w:p w:rsidR="00A7763A" w:rsidRPr="00A7763A" w:rsidRDefault="00A7763A" w:rsidP="00A7763A">
      <w:pPr>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A7763A">
        <w:rPr>
          <w:rStyle w:val="Hypertextovodkaz"/>
          <w:rFonts w:ascii="Tahoma" w:eastAsia="Times New Roman" w:hAnsi="Tahoma" w:cs="Tahoma"/>
          <w:bCs/>
          <w:color w:val="000000" w:themeColor="text1"/>
          <w:kern w:val="36"/>
          <w:sz w:val="20"/>
          <w:szCs w:val="20"/>
          <w:u w:val="none"/>
          <w:lang w:eastAsia="cs-CZ"/>
        </w:rPr>
        <w:t>Pro zajištění plnění sektorového cíle v dopravě, požadovaného novou evropskou legislativou, novela zákona zavádí nově podporu biometanu, která bude klíčová pro zajištění zmíněného cíle.</w:t>
      </w:r>
    </w:p>
    <w:p w:rsidR="00A7763A" w:rsidRPr="00A7763A" w:rsidRDefault="00A7763A" w:rsidP="00A7763A">
      <w:pPr>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A7763A">
        <w:rPr>
          <w:rStyle w:val="Hypertextovodkaz"/>
          <w:rFonts w:ascii="Tahoma" w:eastAsia="Times New Roman" w:hAnsi="Tahoma" w:cs="Tahoma"/>
          <w:bCs/>
          <w:color w:val="000000" w:themeColor="text1"/>
          <w:kern w:val="36"/>
          <w:sz w:val="20"/>
          <w:szCs w:val="20"/>
          <w:u w:val="none"/>
          <w:lang w:eastAsia="cs-CZ"/>
        </w:rPr>
        <w:t>Tak jako v současném systému podpor, tak i novelou upravený systém poskytování podpor v období let 2021 až 2030 bude obsahovat účinný mechanismus regulace rozvoje obnovitelných zdrojů energie, založený na nařízení vlády, které bude stanovovat minimálně na 3 roky dopředu právo na podporu vymezených druhů obnovitelných zdrojů energie s ohledem na aktuální situaci v naplňování a zajišťování cílů pro obnovitelné zdroje energie uvedených v Integrovaném plánu v oblasti energetiky a klimatu (do roku 2020 byl, resp. je používán „Národní akční plán“).</w:t>
      </w:r>
    </w:p>
    <w:p w:rsidR="00A7763A" w:rsidRPr="00A7763A" w:rsidRDefault="00A7763A" w:rsidP="00A7763A">
      <w:pPr>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A7763A">
        <w:rPr>
          <w:rStyle w:val="Hypertextovodkaz"/>
          <w:rFonts w:ascii="Tahoma" w:eastAsia="Times New Roman" w:hAnsi="Tahoma" w:cs="Tahoma"/>
          <w:bCs/>
          <w:color w:val="000000" w:themeColor="text1"/>
          <w:kern w:val="36"/>
          <w:sz w:val="20"/>
          <w:szCs w:val="20"/>
          <w:u w:val="none"/>
          <w:lang w:eastAsia="cs-CZ"/>
        </w:rPr>
        <w:lastRenderedPageBreak/>
        <w:t>Druhou zásadní částí novely zákona jsou ustanovení, týkající se zajištění přiměřenosti poskytované podpory podle požadavků uvedených ve vydaných v šesti rozhodnutích Evropské komise. V současné době je ČR držitelem čtyř rozhodnutí, týkajících se provozní podpory obnovitelných zdrojů energie, v nichž EK uvedla, že příslušná podpora je slučitelná s vnitřním trhem EU. Dále je ČR držitelem dvou rozhodnutí EK o slučitelnosti podpory v jiném sektoru, než jsou obnovitelné zdroje energie. Součástí všech rozhodnutí jsou závazky pro ČR na zajištění přiměřenosti podpory, která do české legislativy zapracovává právě předložená novela zákona.</w:t>
      </w:r>
    </w:p>
    <w:p w:rsidR="00A7763A" w:rsidRPr="00A7763A" w:rsidRDefault="00A7763A" w:rsidP="00A7763A">
      <w:pPr>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A7763A">
        <w:rPr>
          <w:rStyle w:val="Hypertextovodkaz"/>
          <w:rFonts w:ascii="Tahoma" w:eastAsia="Times New Roman" w:hAnsi="Tahoma" w:cs="Tahoma"/>
          <w:bCs/>
          <w:color w:val="000000" w:themeColor="text1"/>
          <w:kern w:val="36"/>
          <w:sz w:val="20"/>
          <w:szCs w:val="20"/>
          <w:u w:val="none"/>
          <w:lang w:eastAsia="cs-CZ"/>
        </w:rPr>
        <w:t>Novela zákona o podporovaných zdrojích zakotvuje proces prověřování přiměřenosti stávající provozní podpory výroby elektřiny z podporovaných zdrojů (tzv. kontroly překompenzace). To se bude provádět u výroben vždy po 10 letech od prvního dne kalendářního roku následujícího po roce uvedení zdroje elektřiny do provozu, tj. u výroben uvedených do provozu v roce 2009 bude tento proces startovat již na začátku roku 2020.</w:t>
      </w:r>
    </w:p>
    <w:p w:rsidR="00A7763A" w:rsidRPr="00A7763A" w:rsidRDefault="00A7763A" w:rsidP="00A7763A">
      <w:pPr>
        <w:shd w:val="clear" w:color="auto" w:fill="D9D9D9" w:themeFill="background1" w:themeFillShade="D9"/>
        <w:spacing w:before="240" w:after="120" w:line="240" w:lineRule="auto"/>
        <w:jc w:val="both"/>
        <w:rPr>
          <w:rStyle w:val="Hypertextovodkaz"/>
          <w:rFonts w:ascii="Tahoma" w:eastAsia="Times New Roman" w:hAnsi="Tahoma" w:cs="Tahoma"/>
          <w:b/>
          <w:bCs/>
          <w:color w:val="000000" w:themeColor="text1"/>
          <w:kern w:val="36"/>
          <w:sz w:val="20"/>
          <w:szCs w:val="20"/>
          <w:lang w:eastAsia="cs-CZ"/>
        </w:rPr>
      </w:pPr>
      <w:r w:rsidRPr="00A7763A">
        <w:rPr>
          <w:rStyle w:val="Hypertextovodkaz"/>
          <w:rFonts w:ascii="Tahoma" w:eastAsia="Times New Roman" w:hAnsi="Tahoma" w:cs="Tahoma"/>
          <w:b/>
          <w:bCs/>
          <w:color w:val="000000" w:themeColor="text1"/>
          <w:kern w:val="36"/>
          <w:sz w:val="20"/>
          <w:szCs w:val="20"/>
          <w:lang w:eastAsia="cs-CZ"/>
        </w:rPr>
        <w:t xml:space="preserve">Závěr věcné analýzy ze strany PÚ: </w:t>
      </w:r>
    </w:p>
    <w:p w:rsidR="00A7763A" w:rsidRPr="00A7763A" w:rsidRDefault="00A7763A" w:rsidP="00A7763A">
      <w:pPr>
        <w:shd w:val="clear" w:color="auto" w:fill="D9D9D9" w:themeFill="background1" w:themeFillShade="D9"/>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A7763A">
        <w:rPr>
          <w:rStyle w:val="Hypertextovodkaz"/>
          <w:rFonts w:ascii="Tahoma" w:eastAsia="Times New Roman" w:hAnsi="Tahoma" w:cs="Tahoma"/>
          <w:bCs/>
          <w:color w:val="000000" w:themeColor="text1"/>
          <w:kern w:val="36"/>
          <w:sz w:val="20"/>
          <w:szCs w:val="20"/>
          <w:u w:val="none"/>
          <w:lang w:eastAsia="cs-CZ"/>
        </w:rPr>
        <w:t>Při analýze možností a rozhodování, jakou cestou, resp. s jakými produkty bude ČEPRO naplňovat cíle v dopravě, je potřeba s ohledem na nově zavedenou podporu uvažovat i s biometanem. S ohledem na aktuální procesy společnosti a jeho obchodní a provozní aktivity nejsou doporučována žádná implementační opatření do procesů společnosti.</w:t>
      </w:r>
    </w:p>
    <w:p w:rsidR="00D8020C" w:rsidRPr="00037C21" w:rsidRDefault="00D8020C" w:rsidP="00D8020C">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A7763A" w:rsidRPr="00A7763A" w:rsidRDefault="00A7763A" w:rsidP="00A7763A">
      <w:pPr>
        <w:pStyle w:val="Bezmezer"/>
        <w:jc w:val="both"/>
        <w:rPr>
          <w:rStyle w:val="Hypertextovodkaz"/>
          <w:rFonts w:ascii="Tahoma" w:eastAsia="Times New Roman" w:hAnsi="Tahoma" w:cs="Tahoma"/>
          <w:bCs/>
          <w:color w:val="000000" w:themeColor="text1"/>
          <w:kern w:val="36"/>
          <w:sz w:val="20"/>
          <w:szCs w:val="20"/>
          <w:u w:val="none"/>
          <w:lang w:eastAsia="cs-CZ"/>
        </w:rPr>
      </w:pPr>
      <w:r w:rsidRPr="00A7763A">
        <w:rPr>
          <w:rStyle w:val="Hypertextovodkaz"/>
          <w:rFonts w:ascii="Tahoma" w:eastAsia="Times New Roman" w:hAnsi="Tahoma" w:cs="Tahoma"/>
          <w:bCs/>
          <w:color w:val="000000" w:themeColor="text1"/>
          <w:kern w:val="36"/>
          <w:sz w:val="20"/>
          <w:szCs w:val="20"/>
          <w:u w:val="none"/>
          <w:lang w:eastAsia="cs-CZ"/>
        </w:rPr>
        <w:t xml:space="preserve">Cílem </w:t>
      </w:r>
      <w:r w:rsidRPr="00A7763A">
        <w:rPr>
          <w:rStyle w:val="Hypertextovodkaz"/>
          <w:rFonts w:ascii="Tahoma" w:eastAsia="Times New Roman" w:hAnsi="Tahoma" w:cs="Tahoma"/>
          <w:b/>
          <w:bCs/>
          <w:color w:val="000000" w:themeColor="text1"/>
          <w:kern w:val="36"/>
          <w:sz w:val="20"/>
          <w:szCs w:val="20"/>
          <w:u w:val="none"/>
          <w:lang w:eastAsia="cs-CZ"/>
        </w:rPr>
        <w:t>novely energetického zákona</w:t>
      </w:r>
      <w:r w:rsidRPr="00A7763A">
        <w:rPr>
          <w:rStyle w:val="Hypertextovodkaz"/>
          <w:rFonts w:ascii="Tahoma" w:eastAsia="Times New Roman" w:hAnsi="Tahoma" w:cs="Tahoma"/>
          <w:bCs/>
          <w:color w:val="000000" w:themeColor="text1"/>
          <w:kern w:val="36"/>
          <w:sz w:val="20"/>
          <w:szCs w:val="20"/>
          <w:u w:val="none"/>
          <w:lang w:eastAsia="cs-CZ"/>
        </w:rPr>
        <w:t xml:space="preserve"> předložené Ministerstvem průmyslu a obchodu je úprava některých článků s ohledem na novelu zákona o podporovaných zdrojích energie. Novela energetického zákona (EZ) je tedy spíš „technického charakteru“ a mimo jiné zavádí novou právní úpravu využívání akumulátorů, a to jak u výrobny elektřiny, tak u distributora a přenosové soustavy.</w:t>
      </w:r>
    </w:p>
    <w:p w:rsidR="00A7763A" w:rsidRDefault="00A7763A" w:rsidP="00A7763A">
      <w:pPr>
        <w:pStyle w:val="Bezmezer"/>
        <w:jc w:val="both"/>
        <w:rPr>
          <w:rStyle w:val="Hypertextovodkaz"/>
          <w:rFonts w:ascii="Tahoma" w:eastAsia="Times New Roman" w:hAnsi="Tahoma" w:cs="Tahoma"/>
          <w:bCs/>
          <w:color w:val="000000" w:themeColor="text1"/>
          <w:kern w:val="36"/>
          <w:sz w:val="20"/>
          <w:szCs w:val="20"/>
          <w:u w:val="none"/>
          <w:lang w:eastAsia="cs-CZ"/>
        </w:rPr>
      </w:pPr>
    </w:p>
    <w:p w:rsidR="00A7763A" w:rsidRPr="00A7763A" w:rsidRDefault="00A7763A" w:rsidP="00A7763A">
      <w:pPr>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A7763A">
        <w:rPr>
          <w:rStyle w:val="Hypertextovodkaz"/>
          <w:rFonts w:ascii="Tahoma" w:eastAsia="Times New Roman" w:hAnsi="Tahoma" w:cs="Tahoma"/>
          <w:bCs/>
          <w:color w:val="000000" w:themeColor="text1"/>
          <w:kern w:val="36"/>
          <w:sz w:val="20"/>
          <w:szCs w:val="20"/>
          <w:u w:val="none"/>
          <w:lang w:eastAsia="cs-CZ"/>
        </w:rPr>
        <w:t>Novela zavádí novou roli na trhu s energiemi tzv. „agregátora“, přičemž agregátorem je fyzická nebo právnická osoba, která sdružuje zatížení nebo vyrobenou elektřinu od více zákazníků nebo výrobců elektřiny za účelem účasti na trhu s elektřinou, trhu s podpůrnými službami nebo pro řízení odchylek. Právo vykonávat činnost agregátora má obchodník s elektřinou.</w:t>
      </w:r>
    </w:p>
    <w:p w:rsidR="00A7763A" w:rsidRPr="00A7763A" w:rsidRDefault="00A7763A" w:rsidP="00A7763A">
      <w:pPr>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A7763A">
        <w:rPr>
          <w:rStyle w:val="Hypertextovodkaz"/>
          <w:rFonts w:ascii="Tahoma" w:eastAsia="Times New Roman" w:hAnsi="Tahoma" w:cs="Tahoma"/>
          <w:bCs/>
          <w:color w:val="000000" w:themeColor="text1"/>
          <w:kern w:val="36"/>
          <w:sz w:val="20"/>
          <w:szCs w:val="20"/>
          <w:u w:val="none"/>
          <w:lang w:eastAsia="cs-CZ"/>
        </w:rPr>
        <w:t>Novela EZ také zavádí že, i u obchodu s elektřinou a obchodu s plynem, tak jako u výroby elektřiny z obnovitelných zdrojů do instalovaného výkonu výrobny elektřiny 20 kW není povinnost prokazovat odbornou způsobilost.</w:t>
      </w:r>
    </w:p>
    <w:p w:rsidR="00A7763A" w:rsidRPr="00A7763A" w:rsidRDefault="00A7763A" w:rsidP="00A7763A">
      <w:pPr>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A7763A">
        <w:rPr>
          <w:rStyle w:val="Hypertextovodkaz"/>
          <w:rFonts w:ascii="Tahoma" w:eastAsia="Times New Roman" w:hAnsi="Tahoma" w:cs="Tahoma"/>
          <w:bCs/>
          <w:color w:val="000000" w:themeColor="text1"/>
          <w:kern w:val="36"/>
          <w:sz w:val="20"/>
          <w:szCs w:val="20"/>
          <w:u w:val="none"/>
          <w:lang w:eastAsia="cs-CZ"/>
        </w:rPr>
        <w:t>Novela EZ dále upravuje vztah mezi zákazníkem a dodavatelem energií, resp. zlepšuje postavení zákazníka vůči dodavateli. Například tím, že v případě, že držitel licence uzavřel se zákazníkem v postavení spotřebitele smlouvu o dodávce elektřiny nebo plynu nebo smlouvu o sdružených službách dodávky elektřiny nebo plynu na dobu určitou, jejíž celková doba trvání přesahuje 36 měsíců od účinnosti smlouvy, považuje se taková smlouva po uplynutí této doby za smlouvu uzavřenou na dobu neurčitou.</w:t>
      </w:r>
    </w:p>
    <w:p w:rsidR="00A7763A" w:rsidRPr="00A7763A" w:rsidRDefault="00A7763A" w:rsidP="00A7763A">
      <w:pPr>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A7763A">
        <w:rPr>
          <w:rStyle w:val="Hypertextovodkaz"/>
          <w:rFonts w:ascii="Tahoma" w:eastAsia="Times New Roman" w:hAnsi="Tahoma" w:cs="Tahoma"/>
          <w:bCs/>
          <w:color w:val="000000" w:themeColor="text1"/>
          <w:kern w:val="36"/>
          <w:sz w:val="20"/>
          <w:szCs w:val="20"/>
          <w:u w:val="none"/>
          <w:lang w:eastAsia="cs-CZ"/>
        </w:rPr>
        <w:t>Novela EZ upravuje také pravidla pro zpracování metodiky cenové regulace ERÚ (Energetickým regulačním úřadem).</w:t>
      </w:r>
    </w:p>
    <w:p w:rsidR="00A7763A" w:rsidRPr="00A7763A" w:rsidRDefault="00A7763A" w:rsidP="00A7763A">
      <w:pPr>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A7763A">
        <w:rPr>
          <w:rStyle w:val="Hypertextovodkaz"/>
          <w:rFonts w:ascii="Tahoma" w:eastAsia="Times New Roman" w:hAnsi="Tahoma" w:cs="Tahoma"/>
          <w:bCs/>
          <w:color w:val="000000" w:themeColor="text1"/>
          <w:kern w:val="36"/>
          <w:sz w:val="20"/>
          <w:szCs w:val="20"/>
          <w:u w:val="none"/>
          <w:lang w:eastAsia="cs-CZ"/>
        </w:rPr>
        <w:t>V rámci novely EZ se nově akumulace definuje následovně: Ukládáním elektřiny se rozumí ukládání elektřiny akumulačním zařízením do formy energie, která může být uložena a následně přímo použita nebo převedena na elektřinu nebo jinou formu energie a použita v pozdější okamžik, nežli v okamžik, kdy byla vyrobena.</w:t>
      </w:r>
    </w:p>
    <w:p w:rsidR="00A7763A" w:rsidRPr="00A7763A" w:rsidRDefault="00A7763A" w:rsidP="00A7763A">
      <w:pPr>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A7763A">
        <w:rPr>
          <w:rStyle w:val="Hypertextovodkaz"/>
          <w:rFonts w:ascii="Tahoma" w:eastAsia="Times New Roman" w:hAnsi="Tahoma" w:cs="Tahoma"/>
          <w:bCs/>
          <w:color w:val="000000" w:themeColor="text1"/>
          <w:kern w:val="36"/>
          <w:sz w:val="20"/>
          <w:szCs w:val="20"/>
          <w:u w:val="none"/>
          <w:lang w:eastAsia="cs-CZ"/>
        </w:rPr>
        <w:t>V novele EZ se počítá s tím, že oprávnění provozovat akumulační zařízení bude mít pouze ten subjekt (výrobce energie nebo provozovatel distribuční/přenosové sítě) za předpokladu, že bude mít uzavřenu smlouvu o připojení, která zahrnuje i připojení akumulačního zařízení. Při provozování akumulačního zařízení podle novely EZ je nutné zajistit, aby k ukládání elektřiny byla používána technická zařízení, která splňují požadavky bezpečnosti a spolehlivosti stanovené právními předpisy a technickými normami. Provozování akumulačního zařízení je v rámci novely EZ koncipováno jako oprávnění výrobce solární energie, popřípadě zákazníka. Novela zavádí omezení instalovaného výkonu akumulátoru do hodnoty výkonu výrobny.</w:t>
      </w:r>
    </w:p>
    <w:p w:rsidR="00A7763A" w:rsidRPr="00A7763A" w:rsidRDefault="00A7763A" w:rsidP="00A7763A">
      <w:pPr>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A7763A">
        <w:rPr>
          <w:rStyle w:val="Hypertextovodkaz"/>
          <w:rFonts w:ascii="Tahoma" w:eastAsia="Times New Roman" w:hAnsi="Tahoma" w:cs="Tahoma"/>
          <w:bCs/>
          <w:color w:val="000000" w:themeColor="text1"/>
          <w:kern w:val="36"/>
          <w:sz w:val="20"/>
          <w:szCs w:val="20"/>
          <w:u w:val="none"/>
          <w:lang w:eastAsia="cs-CZ"/>
        </w:rPr>
        <w:lastRenderedPageBreak/>
        <w:t>V novele EZ je také upraveno, že zákazník může bez licence na výrobu elektřiny provozovat pro svou vlastní spotřebu výrobnu elektřiny s instalovaným výkonem do 10 kW nebo výrobnu elektřiny s akumulačním zařízením s instalovaným výkonem výrobny elektřiny do 10 kW. Takový zákazník má právo dodávat elektřinu do distribuční soustavy nejvýše v rozsahu instalovaného výkonu výrobny elektřiny.</w:t>
      </w:r>
    </w:p>
    <w:p w:rsidR="00A7763A" w:rsidRPr="00A7763A" w:rsidRDefault="00A7763A" w:rsidP="00A7763A">
      <w:pPr>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A7763A">
        <w:rPr>
          <w:rStyle w:val="Hypertextovodkaz"/>
          <w:rFonts w:ascii="Tahoma" w:eastAsia="Times New Roman" w:hAnsi="Tahoma" w:cs="Tahoma"/>
          <w:bCs/>
          <w:color w:val="000000" w:themeColor="text1"/>
          <w:kern w:val="36"/>
          <w:sz w:val="20"/>
          <w:szCs w:val="20"/>
          <w:u w:val="none"/>
          <w:lang w:eastAsia="cs-CZ"/>
        </w:rPr>
        <w:t>Novela EZ také zavádí tvorbu a schvalování desetiletého plánu rozvoje přenosové soustavy a desetiletého plánu rozvoje přepravní soustavy.</w:t>
      </w:r>
    </w:p>
    <w:p w:rsidR="00D8020C" w:rsidRDefault="00D8020C" w:rsidP="00D8020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8020C" w:rsidRDefault="00D8020C" w:rsidP="00D8020C">
      <w:pPr>
        <w:pStyle w:val="Bezmezer"/>
        <w:shd w:val="clear" w:color="auto" w:fill="D9D9D9" w:themeFill="background1" w:themeFillShade="D9"/>
        <w:jc w:val="both"/>
        <w:rPr>
          <w:rStyle w:val="Hypertextovodkaz"/>
          <w:rFonts w:ascii="Tahoma" w:eastAsia="Times New Roman" w:hAnsi="Tahoma" w:cs="Tahoma"/>
          <w:bCs/>
          <w:color w:val="000000" w:themeColor="text1"/>
          <w:kern w:val="36"/>
          <w:sz w:val="20"/>
          <w:szCs w:val="24"/>
          <w:u w:val="none"/>
          <w:lang w:eastAsia="cs-CZ"/>
        </w:rPr>
      </w:pPr>
      <w:r w:rsidRPr="00E04901">
        <w:rPr>
          <w:rFonts w:ascii="Tahoma" w:hAnsi="Tahoma" w:cs="Tahoma"/>
          <w:b/>
          <w:sz w:val="20"/>
          <w:szCs w:val="20"/>
          <w:u w:val="single"/>
        </w:rPr>
        <w:t>Závěr věcné analýzy ze strany</w:t>
      </w:r>
      <w:r>
        <w:rPr>
          <w:rFonts w:ascii="Tahoma" w:hAnsi="Tahoma" w:cs="Tahoma"/>
          <w:b/>
          <w:sz w:val="20"/>
          <w:szCs w:val="20"/>
          <w:u w:val="single"/>
        </w:rPr>
        <w:t xml:space="preserve"> PÚ:</w:t>
      </w:r>
      <w:r>
        <w:rPr>
          <w:rFonts w:ascii="Tahoma" w:hAnsi="Tahoma" w:cs="Tahoma"/>
          <w:sz w:val="20"/>
          <w:szCs w:val="20"/>
        </w:rPr>
        <w:t xml:space="preserve"> </w:t>
      </w:r>
      <w:r>
        <w:rPr>
          <w:rStyle w:val="Hypertextovodkaz"/>
          <w:rFonts w:ascii="Tahoma" w:eastAsia="Times New Roman" w:hAnsi="Tahoma" w:cs="Tahoma"/>
          <w:bCs/>
          <w:color w:val="000000" w:themeColor="text1"/>
          <w:kern w:val="36"/>
          <w:sz w:val="20"/>
          <w:szCs w:val="24"/>
          <w:u w:val="none"/>
          <w:lang w:eastAsia="cs-CZ"/>
        </w:rPr>
        <w:t xml:space="preserve"> </w:t>
      </w:r>
    </w:p>
    <w:p w:rsidR="00A7763A" w:rsidRDefault="00A7763A" w:rsidP="00A7763A">
      <w:pPr>
        <w:shd w:val="clear" w:color="auto" w:fill="D9D9D9" w:themeFill="background1" w:themeFillShade="D9"/>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A7763A">
        <w:rPr>
          <w:rStyle w:val="Hypertextovodkaz"/>
          <w:rFonts w:ascii="Tahoma" w:eastAsia="Times New Roman" w:hAnsi="Tahoma" w:cs="Tahoma"/>
          <w:bCs/>
          <w:color w:val="000000" w:themeColor="text1"/>
          <w:kern w:val="36"/>
          <w:sz w:val="20"/>
          <w:szCs w:val="20"/>
          <w:u w:val="none"/>
          <w:lang w:eastAsia="cs-CZ"/>
        </w:rPr>
        <w:t>S ohledem na aktuální procesy společnosti a jeho obchodní a provozní aktivity nejsou doporučována žádná implementační opatření do procesů společnosti.</w:t>
      </w:r>
    </w:p>
    <w:p w:rsidR="00A7763A" w:rsidRPr="00FE2CDB" w:rsidRDefault="00A7763A" w:rsidP="00A7763A">
      <w:pPr>
        <w:shd w:val="clear" w:color="auto" w:fill="D9D9D9" w:themeFill="background1" w:themeFillShade="D9"/>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D8020C" w:rsidRDefault="00D8020C" w:rsidP="00D8020C">
      <w:pPr>
        <w:pStyle w:val="Bezmezer"/>
        <w:numPr>
          <w:ilvl w:val="0"/>
          <w:numId w:val="33"/>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8020C" w:rsidRPr="00DB40CC" w:rsidRDefault="00D8020C" w:rsidP="00D8020C">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Pr="00914DDA">
        <w:rPr>
          <w:rFonts w:ascii="Tahoma" w:hAnsi="Tahoma" w:cs="Tahoma"/>
          <w:b/>
          <w:sz w:val="28"/>
          <w:szCs w:val="20"/>
        </w:rPr>
        <w:t>)</w:t>
      </w:r>
      <w:r>
        <w:rPr>
          <w:rFonts w:ascii="Tahoma" w:hAnsi="Tahoma" w:cs="Tahoma"/>
          <w:b/>
          <w:sz w:val="28"/>
          <w:szCs w:val="20"/>
        </w:rPr>
        <w:t xml:space="preserve"> zadání</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D232D6" w:rsidRDefault="00E7078F" w:rsidP="00E7078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E7078F">
        <w:rPr>
          <w:rStyle w:val="Hypertextovodkaz"/>
          <w:rFonts w:ascii="Tahoma" w:eastAsia="Times New Roman" w:hAnsi="Tahoma" w:cs="Tahoma"/>
          <w:b/>
          <w:bCs/>
          <w:color w:val="000000" w:themeColor="text1"/>
          <w:kern w:val="36"/>
          <w:sz w:val="24"/>
          <w:szCs w:val="24"/>
          <w:u w:val="none"/>
          <w:lang w:eastAsia="cs-CZ"/>
        </w:rPr>
        <w:t>Novela zákona č. 304/2013 Sb., o veřejných rejstřících právnických a fyzických osob</w:t>
      </w:r>
      <w:r w:rsidR="0017029A">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D232D6" w:rsidRDefault="00E7078F"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318</w:t>
      </w:r>
    </w:p>
    <w:p w:rsidR="00E7078F" w:rsidRDefault="00E7078F"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 prvním čtením</w:t>
      </w:r>
    </w:p>
    <w:p w:rsidR="00D232D6" w:rsidRDefault="00D232D6" w:rsidP="00D232D6">
      <w:pPr>
        <w:pStyle w:val="Bezmezer"/>
        <w:jc w:val="both"/>
        <w:rPr>
          <w:rStyle w:val="Hypertextovodkaz"/>
          <w:rFonts w:ascii="Tahoma" w:eastAsia="Times New Roman" w:hAnsi="Tahoma" w:cs="Tahoma"/>
          <w:bCs/>
          <w:color w:val="000000" w:themeColor="text1"/>
          <w:kern w:val="36"/>
          <w:sz w:val="20"/>
          <w:szCs w:val="20"/>
          <w:u w:val="none"/>
          <w:lang w:eastAsia="cs-CZ"/>
        </w:rPr>
      </w:pPr>
    </w:p>
    <w:p w:rsidR="00E7078F" w:rsidRPr="00E7078F" w:rsidRDefault="00E7078F" w:rsidP="00E7078F">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Dle názoru předkladatelů s</w:t>
      </w:r>
      <w:r w:rsidRPr="00E7078F">
        <w:rPr>
          <w:rStyle w:val="Hypertextovodkaz"/>
          <w:rFonts w:ascii="Tahoma" w:eastAsia="Times New Roman" w:hAnsi="Tahoma" w:cs="Tahoma"/>
          <w:bCs/>
          <w:color w:val="000000" w:themeColor="text1"/>
          <w:kern w:val="36"/>
          <w:sz w:val="20"/>
          <w:szCs w:val="20"/>
          <w:u w:val="none"/>
          <w:lang w:eastAsia="cs-CZ"/>
        </w:rPr>
        <w:t>oučasná podoba evidence skutečných majitelů postrádá zajištění dos</w:t>
      </w:r>
      <w:r>
        <w:rPr>
          <w:rStyle w:val="Hypertextovodkaz"/>
          <w:rFonts w:ascii="Tahoma" w:eastAsia="Times New Roman" w:hAnsi="Tahoma" w:cs="Tahoma"/>
          <w:bCs/>
          <w:color w:val="000000" w:themeColor="text1"/>
          <w:kern w:val="36"/>
          <w:sz w:val="20"/>
          <w:szCs w:val="20"/>
          <w:u w:val="none"/>
          <w:lang w:eastAsia="cs-CZ"/>
        </w:rPr>
        <w:t xml:space="preserve">tupnosti informací o skutečných </w:t>
      </w:r>
      <w:r w:rsidRPr="00E7078F">
        <w:rPr>
          <w:rStyle w:val="Hypertextovodkaz"/>
          <w:rFonts w:ascii="Tahoma" w:eastAsia="Times New Roman" w:hAnsi="Tahoma" w:cs="Tahoma"/>
          <w:bCs/>
          <w:color w:val="000000" w:themeColor="text1"/>
          <w:kern w:val="36"/>
          <w:sz w:val="20"/>
          <w:szCs w:val="20"/>
          <w:u w:val="none"/>
          <w:lang w:eastAsia="cs-CZ"/>
        </w:rPr>
        <w:t>vlastnících osobám, které mohou v souvislosti s praním peněz, financo</w:t>
      </w:r>
      <w:r>
        <w:rPr>
          <w:rStyle w:val="Hypertextovodkaz"/>
          <w:rFonts w:ascii="Tahoma" w:eastAsia="Times New Roman" w:hAnsi="Tahoma" w:cs="Tahoma"/>
          <w:bCs/>
          <w:color w:val="000000" w:themeColor="text1"/>
          <w:kern w:val="36"/>
          <w:sz w:val="20"/>
          <w:szCs w:val="20"/>
          <w:u w:val="none"/>
          <w:lang w:eastAsia="cs-CZ"/>
        </w:rPr>
        <w:t xml:space="preserve">váním terorismu a souvisejícími </w:t>
      </w:r>
      <w:r w:rsidRPr="00E7078F">
        <w:rPr>
          <w:rStyle w:val="Hypertextovodkaz"/>
          <w:rFonts w:ascii="Tahoma" w:eastAsia="Times New Roman" w:hAnsi="Tahoma" w:cs="Tahoma"/>
          <w:bCs/>
          <w:color w:val="000000" w:themeColor="text1"/>
          <w:kern w:val="36"/>
          <w:sz w:val="20"/>
          <w:szCs w:val="20"/>
          <w:u w:val="none"/>
          <w:lang w:eastAsia="cs-CZ"/>
        </w:rPr>
        <w:t xml:space="preserve">trestnými činy jako korupce, daňové trestné činy a podvody prokázat oprávněný zájem. </w:t>
      </w:r>
    </w:p>
    <w:p w:rsidR="00E7078F" w:rsidRDefault="00E7078F" w:rsidP="00E7078F">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E7078F" w:rsidRPr="00E7078F" w:rsidRDefault="00E7078F" w:rsidP="00E7078F">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Proto se navrhuje učinit evidenci skutečných majitelů veřejným rejstříkem. </w:t>
      </w:r>
    </w:p>
    <w:p w:rsidR="00914DDA" w:rsidRDefault="00914DDA" w:rsidP="00E7078F">
      <w:pPr>
        <w:pStyle w:val="Bezmezer"/>
        <w:spacing w:line="276" w:lineRule="auto"/>
        <w:jc w:val="both"/>
        <w:rPr>
          <w:rStyle w:val="Hypertextovodkaz"/>
          <w:rFonts w:ascii="Tahoma" w:eastAsia="Times New Roman" w:hAnsi="Tahoma" w:cs="Tahoma"/>
          <w:bCs/>
          <w:color w:val="000000" w:themeColor="text1"/>
          <w:kern w:val="36"/>
          <w:sz w:val="20"/>
          <w:szCs w:val="24"/>
          <w:u w:val="none"/>
          <w:lang w:eastAsia="cs-CZ"/>
        </w:rPr>
      </w:pPr>
    </w:p>
    <w:p w:rsidR="00660572" w:rsidRDefault="00660572"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D232D6" w:rsidRDefault="00E7078F" w:rsidP="00D232D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E7078F">
        <w:rPr>
          <w:rStyle w:val="Hypertextovodkaz"/>
          <w:rFonts w:ascii="Tahoma" w:eastAsia="Times New Roman" w:hAnsi="Tahoma" w:cs="Tahoma"/>
          <w:b/>
          <w:bCs/>
          <w:color w:val="000000" w:themeColor="text1"/>
          <w:kern w:val="36"/>
          <w:sz w:val="24"/>
          <w:szCs w:val="24"/>
          <w:u w:val="none"/>
          <w:lang w:eastAsia="cs-CZ"/>
        </w:rPr>
        <w:t>Novela zákona č. 361/2000 Sb., o provozu na pozemních komunikacích a o změnách některých zákonů (zákon o silničním provozu)</w:t>
      </w:r>
      <w:r w:rsidR="0017029A">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D232D6" w:rsidRDefault="00E7078F"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Pr="00E7078F">
        <w:rPr>
          <w:rStyle w:val="Hypertextovodkaz"/>
          <w:rFonts w:ascii="Tahoma" w:eastAsia="Times New Roman" w:hAnsi="Tahoma" w:cs="Tahoma"/>
          <w:bCs/>
          <w:color w:val="000000" w:themeColor="text1"/>
          <w:kern w:val="36"/>
          <w:sz w:val="20"/>
          <w:szCs w:val="20"/>
          <w:u w:val="none"/>
          <w:lang w:eastAsia="cs-CZ"/>
        </w:rPr>
        <w:t>KORNB8YDBH6N</w:t>
      </w:r>
    </w:p>
    <w:p w:rsidR="00E7078F" w:rsidRDefault="00E7078F" w:rsidP="00E7078F">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Ukončeno mezirezortní připomínkové řízení</w:t>
      </w:r>
    </w:p>
    <w:p w:rsidR="00D232D6" w:rsidRDefault="00D232D6" w:rsidP="00E7078F">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D232D6" w:rsidRPr="00FE2CDB" w:rsidRDefault="00E7078F" w:rsidP="00E7078F">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E7078F">
        <w:rPr>
          <w:rStyle w:val="Hypertextovodkaz"/>
          <w:rFonts w:ascii="Tahoma" w:eastAsia="Times New Roman" w:hAnsi="Tahoma" w:cs="Tahoma"/>
          <w:bCs/>
          <w:color w:val="000000" w:themeColor="text1"/>
          <w:kern w:val="36"/>
          <w:sz w:val="20"/>
          <w:szCs w:val="20"/>
          <w:u w:val="none"/>
          <w:lang w:eastAsia="cs-CZ"/>
        </w:rPr>
        <w:t>Hlavními cíli předloženého návrhu jsou zvýšení bezpečnosti silničního provozu a zefektivnění procesu postihu porušení pravidel silničního provozu. Ke zvýšení bezpečnosti silničního provozu by mělo vést nejen zpřísnění správních trestů, ale i celkové nastavení sazeb správních trestů tak, aby důsledně odpovídaly typové závažnosti přestupků, dále pak posílení možnosti vyřešit přestupek policií na místě a rovněž okamžité dočasné vyloučení z provozu řidičů, kteří postrádají základní předpoklady pro řízení.</w:t>
      </w:r>
    </w:p>
    <w:p w:rsidR="00D232D6" w:rsidRDefault="00D232D6" w:rsidP="00E7078F">
      <w:pPr>
        <w:pStyle w:val="Bezmezer"/>
        <w:spacing w:line="276" w:lineRule="auto"/>
        <w:jc w:val="both"/>
        <w:rPr>
          <w:rStyle w:val="Hypertextovodkaz"/>
          <w:rFonts w:ascii="Tahoma" w:eastAsia="Times New Roman" w:hAnsi="Tahoma" w:cs="Tahoma"/>
          <w:bCs/>
          <w:color w:val="000000" w:themeColor="text1"/>
          <w:kern w:val="36"/>
          <w:sz w:val="20"/>
          <w:szCs w:val="24"/>
          <w:u w:val="none"/>
          <w:lang w:eastAsia="cs-CZ"/>
        </w:rPr>
      </w:pPr>
    </w:p>
    <w:p w:rsidR="00660572" w:rsidRDefault="00660572"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D232D6" w:rsidRDefault="00E7078F" w:rsidP="00D232D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E7078F">
        <w:rPr>
          <w:rStyle w:val="Hypertextovodkaz"/>
          <w:rFonts w:ascii="Tahoma" w:eastAsia="Times New Roman" w:hAnsi="Tahoma" w:cs="Tahoma"/>
          <w:b/>
          <w:bCs/>
          <w:color w:val="000000" w:themeColor="text1"/>
          <w:kern w:val="36"/>
          <w:sz w:val="24"/>
          <w:szCs w:val="24"/>
          <w:u w:val="none"/>
          <w:lang w:eastAsia="cs-CZ"/>
        </w:rPr>
        <w:t>Zákon o změně zákonů v souvislosti s přijetím zákona o znalcích a soudních tlumočnících</w:t>
      </w:r>
      <w:r w:rsidR="00D232D6" w:rsidRPr="008165E7">
        <w:rPr>
          <w:rStyle w:val="Hypertextovodkaz"/>
          <w:rFonts w:ascii="Tahoma" w:eastAsia="Times New Roman" w:hAnsi="Tahoma" w:cs="Tahoma"/>
          <w:b/>
          <w:bCs/>
          <w:color w:val="000000" w:themeColor="text1"/>
          <w:kern w:val="36"/>
          <w:sz w:val="24"/>
          <w:szCs w:val="24"/>
          <w:u w:val="none"/>
          <w:lang w:eastAsia="cs-CZ"/>
        </w:rPr>
        <w:t xml:space="preserve">  </w:t>
      </w:r>
      <w:r w:rsidR="0017029A">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D232D6" w:rsidRDefault="00E7078F"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74</w:t>
      </w:r>
    </w:p>
    <w:p w:rsidR="00E7078F" w:rsidRDefault="00E7078F" w:rsidP="00534670">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Zamítnuto Senátem, vráceno zpět PS</w:t>
      </w:r>
    </w:p>
    <w:p w:rsidR="00D232D6" w:rsidRDefault="00D232D6" w:rsidP="0053467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D232D6" w:rsidRPr="00FE2CDB" w:rsidRDefault="00E7078F" w:rsidP="0053467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E7078F">
        <w:rPr>
          <w:rStyle w:val="Hypertextovodkaz"/>
          <w:rFonts w:ascii="Tahoma" w:eastAsia="Times New Roman" w:hAnsi="Tahoma" w:cs="Tahoma"/>
          <w:bCs/>
          <w:color w:val="000000" w:themeColor="text1"/>
          <w:kern w:val="36"/>
          <w:sz w:val="20"/>
          <w:szCs w:val="20"/>
          <w:u w:val="none"/>
          <w:lang w:eastAsia="cs-CZ"/>
        </w:rPr>
        <w:t>Cílem předkládaného návrhu zákona je stabilizace</w:t>
      </w:r>
      <w:r>
        <w:rPr>
          <w:rStyle w:val="Hypertextovodkaz"/>
          <w:rFonts w:ascii="Tahoma" w:eastAsia="Times New Roman" w:hAnsi="Tahoma" w:cs="Tahoma"/>
          <w:bCs/>
          <w:color w:val="000000" w:themeColor="text1"/>
          <w:kern w:val="36"/>
          <w:sz w:val="20"/>
          <w:szCs w:val="20"/>
          <w:u w:val="none"/>
          <w:lang w:eastAsia="cs-CZ"/>
        </w:rPr>
        <w:t xml:space="preserve"> znaleckého odvětví a především </w:t>
      </w:r>
      <w:r w:rsidRPr="00E7078F">
        <w:rPr>
          <w:rStyle w:val="Hypertextovodkaz"/>
          <w:rFonts w:ascii="Tahoma" w:eastAsia="Times New Roman" w:hAnsi="Tahoma" w:cs="Tahoma"/>
          <w:bCs/>
          <w:color w:val="000000" w:themeColor="text1"/>
          <w:kern w:val="36"/>
          <w:sz w:val="20"/>
          <w:szCs w:val="20"/>
          <w:u w:val="none"/>
          <w:lang w:eastAsia="cs-CZ"/>
        </w:rPr>
        <w:t>zkvalitnění výkonu této činnosti. K tomuto cíli však vede celá řada jednotlivých opatření</w:t>
      </w:r>
      <w:r>
        <w:rPr>
          <w:rStyle w:val="Hypertextovodkaz"/>
          <w:rFonts w:ascii="Tahoma" w:eastAsia="Times New Roman" w:hAnsi="Tahoma" w:cs="Tahoma"/>
          <w:bCs/>
          <w:color w:val="000000" w:themeColor="text1"/>
          <w:kern w:val="36"/>
          <w:sz w:val="20"/>
          <w:szCs w:val="20"/>
          <w:u w:val="none"/>
          <w:lang w:eastAsia="cs-CZ"/>
        </w:rPr>
        <w:t xml:space="preserve">, </w:t>
      </w:r>
      <w:r w:rsidRPr="00E7078F">
        <w:rPr>
          <w:rStyle w:val="Hypertextovodkaz"/>
          <w:rFonts w:ascii="Tahoma" w:eastAsia="Times New Roman" w:hAnsi="Tahoma" w:cs="Tahoma"/>
          <w:bCs/>
          <w:color w:val="000000" w:themeColor="text1"/>
          <w:kern w:val="36"/>
          <w:sz w:val="20"/>
          <w:szCs w:val="20"/>
          <w:u w:val="none"/>
          <w:lang w:eastAsia="cs-CZ"/>
        </w:rPr>
        <w:t>která jsou nutná pro dosažení požadovaného výsledku.</w:t>
      </w:r>
      <w:r>
        <w:rPr>
          <w:rStyle w:val="Hypertextovodkaz"/>
          <w:rFonts w:ascii="Tahoma" w:eastAsia="Times New Roman" w:hAnsi="Tahoma" w:cs="Tahoma"/>
          <w:bCs/>
          <w:color w:val="000000" w:themeColor="text1"/>
          <w:kern w:val="36"/>
          <w:sz w:val="20"/>
          <w:szCs w:val="20"/>
          <w:u w:val="none"/>
          <w:lang w:eastAsia="cs-CZ"/>
        </w:rPr>
        <w:t xml:space="preserve"> Novela se mimo jiné zabývá charakterem znaleckého posudku jako důkazu.</w:t>
      </w:r>
    </w:p>
    <w:p w:rsidR="00D232D6" w:rsidRDefault="00D232D6" w:rsidP="00534670">
      <w:pPr>
        <w:pStyle w:val="Bezmezer"/>
        <w:spacing w:line="276" w:lineRule="auto"/>
        <w:jc w:val="both"/>
        <w:rPr>
          <w:rStyle w:val="Hypertextovodkaz"/>
          <w:rFonts w:ascii="Tahoma" w:eastAsia="Times New Roman" w:hAnsi="Tahoma" w:cs="Tahoma"/>
          <w:bCs/>
          <w:color w:val="000000" w:themeColor="text1"/>
          <w:kern w:val="36"/>
          <w:sz w:val="20"/>
          <w:szCs w:val="24"/>
          <w:u w:val="none"/>
          <w:lang w:eastAsia="cs-CZ"/>
        </w:rPr>
      </w:pPr>
    </w:p>
    <w:p w:rsidR="00660572" w:rsidRDefault="00660572"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D232D6" w:rsidRDefault="00E7078F" w:rsidP="00D232D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E7078F">
        <w:rPr>
          <w:rStyle w:val="Hypertextovodkaz"/>
          <w:rFonts w:ascii="Tahoma" w:eastAsia="Times New Roman" w:hAnsi="Tahoma" w:cs="Tahoma"/>
          <w:b/>
          <w:bCs/>
          <w:color w:val="000000" w:themeColor="text1"/>
          <w:kern w:val="36"/>
          <w:sz w:val="24"/>
          <w:szCs w:val="24"/>
          <w:u w:val="none"/>
          <w:lang w:eastAsia="cs-CZ"/>
        </w:rPr>
        <w:t>Návrh zákona, kterým se mění občanský soudní řád a další související zákony</w:t>
      </w:r>
      <w:r w:rsidR="00D232D6" w:rsidRPr="008165E7">
        <w:rPr>
          <w:rStyle w:val="Hypertextovodkaz"/>
          <w:rFonts w:ascii="Tahoma" w:eastAsia="Times New Roman" w:hAnsi="Tahoma" w:cs="Tahoma"/>
          <w:b/>
          <w:bCs/>
          <w:color w:val="000000" w:themeColor="text1"/>
          <w:kern w:val="36"/>
          <w:sz w:val="24"/>
          <w:szCs w:val="24"/>
          <w:u w:val="none"/>
          <w:lang w:eastAsia="cs-CZ"/>
        </w:rPr>
        <w:t xml:space="preserve">  </w:t>
      </w:r>
      <w:r w:rsidR="0017029A">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D232D6" w:rsidRDefault="00534670" w:rsidP="00534670">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Pr="00534670">
        <w:rPr>
          <w:rStyle w:val="Hypertextovodkaz"/>
          <w:rFonts w:ascii="Tahoma" w:eastAsia="Times New Roman" w:hAnsi="Tahoma" w:cs="Tahoma"/>
          <w:bCs/>
          <w:color w:val="000000" w:themeColor="text1"/>
          <w:kern w:val="36"/>
          <w:sz w:val="20"/>
          <w:szCs w:val="20"/>
          <w:u w:val="none"/>
          <w:lang w:eastAsia="cs-CZ"/>
        </w:rPr>
        <w:t>KORNAEMF8NAV</w:t>
      </w:r>
    </w:p>
    <w:p w:rsidR="00D232D6" w:rsidRDefault="00534670" w:rsidP="00534670">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Legislativní rada vlády</w:t>
      </w:r>
    </w:p>
    <w:p w:rsidR="00534670" w:rsidRDefault="00534670" w:rsidP="00534670">
      <w:pPr>
        <w:pStyle w:val="Bezmezer"/>
        <w:jc w:val="right"/>
        <w:rPr>
          <w:rStyle w:val="Hypertextovodkaz"/>
          <w:rFonts w:ascii="Tahoma" w:eastAsia="Times New Roman" w:hAnsi="Tahoma" w:cs="Tahoma"/>
          <w:bCs/>
          <w:color w:val="000000" w:themeColor="text1"/>
          <w:kern w:val="36"/>
          <w:sz w:val="20"/>
          <w:szCs w:val="20"/>
          <w:u w:val="none"/>
          <w:lang w:eastAsia="cs-CZ"/>
        </w:rPr>
      </w:pPr>
    </w:p>
    <w:p w:rsidR="00534670" w:rsidRDefault="00534670" w:rsidP="00534670">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Cílem novely </w:t>
      </w:r>
      <w:r w:rsidRPr="00534670">
        <w:rPr>
          <w:rStyle w:val="Hypertextovodkaz"/>
          <w:rFonts w:ascii="Tahoma" w:eastAsia="Times New Roman" w:hAnsi="Tahoma" w:cs="Tahoma"/>
          <w:bCs/>
          <w:color w:val="000000" w:themeColor="text1"/>
          <w:kern w:val="36"/>
          <w:sz w:val="20"/>
          <w:szCs w:val="20"/>
          <w:u w:val="none"/>
          <w:lang w:eastAsia="cs-CZ"/>
        </w:rPr>
        <w:t>je řešení problému vícečetných exekucí a změna právní úpravy práv účastníků, případně osob zúčastněných na řízení o výkonu rozhodnutí a exekučním řízení (zejména náhrada nákladů plátce mzdy ve výkonu rozhodnutí srážkami ze mzdy).</w:t>
      </w:r>
    </w:p>
    <w:p w:rsidR="00D232D6" w:rsidRPr="00FE2CDB" w:rsidRDefault="00D232D6" w:rsidP="00D232D6">
      <w:pPr>
        <w:pStyle w:val="Bezmezer"/>
        <w:jc w:val="both"/>
        <w:rPr>
          <w:rStyle w:val="Hypertextovodkaz"/>
          <w:rFonts w:ascii="Tahoma" w:eastAsia="Times New Roman" w:hAnsi="Tahoma" w:cs="Tahoma"/>
          <w:bCs/>
          <w:color w:val="000000" w:themeColor="text1"/>
          <w:kern w:val="36"/>
          <w:sz w:val="20"/>
          <w:szCs w:val="20"/>
          <w:u w:val="none"/>
          <w:lang w:eastAsia="cs-CZ"/>
        </w:rPr>
      </w:pPr>
    </w:p>
    <w:p w:rsidR="00D232D6" w:rsidRDefault="00D232D6" w:rsidP="00D232D6">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660572" w:rsidRDefault="00660572"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D232D6" w:rsidRDefault="00534670" w:rsidP="00D232D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534670">
        <w:rPr>
          <w:rStyle w:val="Hypertextovodkaz"/>
          <w:rFonts w:ascii="Tahoma" w:eastAsia="Times New Roman" w:hAnsi="Tahoma" w:cs="Tahoma"/>
          <w:b/>
          <w:bCs/>
          <w:color w:val="000000" w:themeColor="text1"/>
          <w:kern w:val="36"/>
          <w:sz w:val="24"/>
          <w:szCs w:val="24"/>
          <w:u w:val="none"/>
          <w:lang w:eastAsia="cs-CZ"/>
        </w:rPr>
        <w:t>Novela zákona č. 89/2012 Sb., občanský zákoník</w:t>
      </w:r>
      <w:r w:rsidR="00D232D6" w:rsidRPr="008165E7">
        <w:rPr>
          <w:rStyle w:val="Hypertextovodkaz"/>
          <w:rFonts w:ascii="Tahoma" w:eastAsia="Times New Roman" w:hAnsi="Tahoma" w:cs="Tahoma"/>
          <w:b/>
          <w:bCs/>
          <w:color w:val="000000" w:themeColor="text1"/>
          <w:kern w:val="36"/>
          <w:sz w:val="24"/>
          <w:szCs w:val="24"/>
          <w:u w:val="none"/>
          <w:lang w:eastAsia="cs-CZ"/>
        </w:rPr>
        <w:t xml:space="preserve">  </w:t>
      </w:r>
      <w:r w:rsidR="0017029A">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D232D6" w:rsidRDefault="00534670" w:rsidP="00534670">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Pr="00534670">
        <w:rPr>
          <w:rStyle w:val="Hypertextovodkaz"/>
          <w:rFonts w:ascii="Tahoma" w:eastAsia="Times New Roman" w:hAnsi="Tahoma" w:cs="Tahoma"/>
          <w:bCs/>
          <w:color w:val="000000" w:themeColor="text1"/>
          <w:kern w:val="36"/>
          <w:sz w:val="20"/>
          <w:szCs w:val="20"/>
          <w:u w:val="none"/>
          <w:lang w:eastAsia="cs-CZ"/>
        </w:rPr>
        <w:t>KORNB7NGQS1H</w:t>
      </w:r>
    </w:p>
    <w:p w:rsidR="00534670" w:rsidRDefault="00534670" w:rsidP="00534670">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Legislativní rada vlády</w:t>
      </w:r>
    </w:p>
    <w:p w:rsidR="00534670" w:rsidRDefault="00534670" w:rsidP="00534670">
      <w:pPr>
        <w:pStyle w:val="Bezmezer"/>
        <w:jc w:val="right"/>
        <w:rPr>
          <w:rStyle w:val="Hypertextovodkaz"/>
          <w:rFonts w:ascii="Tahoma" w:eastAsia="Times New Roman" w:hAnsi="Tahoma" w:cs="Tahoma"/>
          <w:bCs/>
          <w:color w:val="000000" w:themeColor="text1"/>
          <w:kern w:val="36"/>
          <w:sz w:val="20"/>
          <w:szCs w:val="20"/>
          <w:u w:val="none"/>
          <w:lang w:eastAsia="cs-CZ"/>
        </w:rPr>
      </w:pPr>
    </w:p>
    <w:p w:rsidR="00D232D6" w:rsidRDefault="00534670" w:rsidP="0053467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534670">
        <w:rPr>
          <w:rStyle w:val="Hypertextovodkaz"/>
          <w:rFonts w:ascii="Tahoma" w:eastAsia="Times New Roman" w:hAnsi="Tahoma" w:cs="Tahoma"/>
          <w:bCs/>
          <w:color w:val="000000" w:themeColor="text1"/>
          <w:kern w:val="36"/>
          <w:sz w:val="20"/>
          <w:szCs w:val="20"/>
          <w:u w:val="none"/>
          <w:lang w:eastAsia="cs-CZ"/>
        </w:rPr>
        <w:t>Návrh zákona má za cíl uvést právní úpravu smluv uzavíraných se spotřebitelem a opožděných plateb obsaženou v občanském zákoníku do souladu s požadavky unijního práva, respektive napravit dílčí nedostatky v transpozici směrnic, které dané oblasti upravují.</w:t>
      </w:r>
    </w:p>
    <w:p w:rsidR="00D232D6" w:rsidRPr="00FE2CDB" w:rsidRDefault="00D232D6" w:rsidP="00D232D6">
      <w:pPr>
        <w:pStyle w:val="Bezmezer"/>
        <w:jc w:val="both"/>
        <w:rPr>
          <w:rStyle w:val="Hypertextovodkaz"/>
          <w:rFonts w:ascii="Tahoma" w:eastAsia="Times New Roman" w:hAnsi="Tahoma" w:cs="Tahoma"/>
          <w:bCs/>
          <w:color w:val="000000" w:themeColor="text1"/>
          <w:kern w:val="36"/>
          <w:sz w:val="20"/>
          <w:szCs w:val="20"/>
          <w:u w:val="none"/>
          <w:lang w:eastAsia="cs-CZ"/>
        </w:rPr>
      </w:pPr>
    </w:p>
    <w:p w:rsidR="00D232D6" w:rsidRDefault="00D232D6" w:rsidP="00D232D6">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232D6" w:rsidRDefault="00D232D6"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A12F29" w:rsidRDefault="00A12F29"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A12F29" w:rsidRDefault="00A12F29"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A12F29" w:rsidRDefault="00A12F29"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A12F29" w:rsidRDefault="00A12F29"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A12F29" w:rsidRDefault="00A12F29"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D232D6" w:rsidRDefault="00D232D6"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D232D6" w:rsidRDefault="00534670" w:rsidP="00D232D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534670">
        <w:rPr>
          <w:rStyle w:val="Hypertextovodkaz"/>
          <w:rFonts w:ascii="Tahoma" w:eastAsia="Times New Roman" w:hAnsi="Tahoma" w:cs="Tahoma"/>
          <w:b/>
          <w:bCs/>
          <w:color w:val="000000" w:themeColor="text1"/>
          <w:kern w:val="36"/>
          <w:sz w:val="24"/>
          <w:szCs w:val="24"/>
          <w:u w:val="none"/>
          <w:lang w:eastAsia="cs-CZ"/>
        </w:rPr>
        <w:lastRenderedPageBreak/>
        <w:t>Věcný záměr stavebního zákona</w:t>
      </w:r>
      <w:r w:rsidR="00D232D6" w:rsidRPr="008165E7">
        <w:rPr>
          <w:rStyle w:val="Hypertextovodkaz"/>
          <w:rFonts w:ascii="Tahoma" w:eastAsia="Times New Roman" w:hAnsi="Tahoma" w:cs="Tahoma"/>
          <w:b/>
          <w:bCs/>
          <w:color w:val="000000" w:themeColor="text1"/>
          <w:kern w:val="36"/>
          <w:sz w:val="24"/>
          <w:szCs w:val="24"/>
          <w:u w:val="none"/>
          <w:lang w:eastAsia="cs-CZ"/>
        </w:rPr>
        <w:t xml:space="preserve">   </w:t>
      </w:r>
      <w:r w:rsidR="0017029A">
        <w:rPr>
          <w:rStyle w:val="Hypertextovodkaz"/>
          <w:rFonts w:ascii="Tahoma" w:eastAsia="Times New Roman" w:hAnsi="Tahoma" w:cs="Tahoma"/>
          <w:b/>
          <w:bCs/>
          <w:color w:val="000000" w:themeColor="text1"/>
          <w:kern w:val="36"/>
          <w:sz w:val="24"/>
          <w:szCs w:val="24"/>
          <w:u w:val="none"/>
          <w:lang w:eastAsia="cs-CZ"/>
        </w:rPr>
        <w:pict>
          <v:rect id="_x0000_i1031" style="width:0;height:1.5pt" o:hralign="center" o:hrstd="t" o:hr="t" fillcolor="#a0a0a0" stroked="f"/>
        </w:pict>
      </w:r>
    </w:p>
    <w:p w:rsidR="00D232D6" w:rsidRDefault="00534670"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Pr="00534670">
        <w:rPr>
          <w:rStyle w:val="Hypertextovodkaz"/>
          <w:rFonts w:ascii="Tahoma" w:eastAsia="Times New Roman" w:hAnsi="Tahoma" w:cs="Tahoma"/>
          <w:bCs/>
          <w:color w:val="000000" w:themeColor="text1"/>
          <w:kern w:val="36"/>
          <w:sz w:val="20"/>
          <w:szCs w:val="20"/>
          <w:u w:val="none"/>
          <w:lang w:eastAsia="cs-CZ"/>
        </w:rPr>
        <w:t>KORNB95HSTNF</w:t>
      </w:r>
    </w:p>
    <w:p w:rsidR="00534670" w:rsidRDefault="00534670"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Legislativní rada vlády</w:t>
      </w:r>
    </w:p>
    <w:p w:rsidR="00534670" w:rsidRDefault="00534670"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D232D6" w:rsidRDefault="00534670" w:rsidP="0053467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w:t>
      </w:r>
      <w:r w:rsidRPr="00534670">
        <w:rPr>
          <w:rStyle w:val="Hypertextovodkaz"/>
          <w:rFonts w:ascii="Tahoma" w:eastAsia="Times New Roman" w:hAnsi="Tahoma" w:cs="Tahoma"/>
          <w:bCs/>
          <w:color w:val="000000" w:themeColor="text1"/>
          <w:kern w:val="36"/>
          <w:sz w:val="20"/>
          <w:szCs w:val="20"/>
          <w:u w:val="none"/>
          <w:lang w:eastAsia="cs-CZ"/>
        </w:rPr>
        <w:t xml:space="preserve">ěcný záměr nového stavebního zákona </w:t>
      </w:r>
      <w:r>
        <w:rPr>
          <w:rStyle w:val="Hypertextovodkaz"/>
          <w:rFonts w:ascii="Tahoma" w:eastAsia="Times New Roman" w:hAnsi="Tahoma" w:cs="Tahoma"/>
          <w:bCs/>
          <w:color w:val="000000" w:themeColor="text1"/>
          <w:kern w:val="36"/>
          <w:sz w:val="20"/>
          <w:szCs w:val="20"/>
          <w:u w:val="none"/>
          <w:lang w:eastAsia="cs-CZ"/>
        </w:rPr>
        <w:t xml:space="preserve">byl </w:t>
      </w:r>
      <w:r w:rsidRPr="00534670">
        <w:rPr>
          <w:rStyle w:val="Hypertextovodkaz"/>
          <w:rFonts w:ascii="Tahoma" w:eastAsia="Times New Roman" w:hAnsi="Tahoma" w:cs="Tahoma"/>
          <w:bCs/>
          <w:color w:val="000000" w:themeColor="text1"/>
          <w:kern w:val="36"/>
          <w:sz w:val="20"/>
          <w:szCs w:val="20"/>
          <w:u w:val="none"/>
          <w:lang w:eastAsia="cs-CZ"/>
        </w:rPr>
        <w:t>vyprac</w:t>
      </w:r>
      <w:r>
        <w:rPr>
          <w:rStyle w:val="Hypertextovodkaz"/>
          <w:rFonts w:ascii="Tahoma" w:eastAsia="Times New Roman" w:hAnsi="Tahoma" w:cs="Tahoma"/>
          <w:bCs/>
          <w:color w:val="000000" w:themeColor="text1"/>
          <w:kern w:val="36"/>
          <w:sz w:val="20"/>
          <w:szCs w:val="20"/>
          <w:u w:val="none"/>
          <w:lang w:eastAsia="cs-CZ"/>
        </w:rPr>
        <w:t>ová</w:t>
      </w:r>
      <w:r w:rsidRPr="00534670">
        <w:rPr>
          <w:rStyle w:val="Hypertextovodkaz"/>
          <w:rFonts w:ascii="Tahoma" w:eastAsia="Times New Roman" w:hAnsi="Tahoma" w:cs="Tahoma"/>
          <w:bCs/>
          <w:color w:val="000000" w:themeColor="text1"/>
          <w:kern w:val="36"/>
          <w:sz w:val="20"/>
          <w:szCs w:val="20"/>
          <w:u w:val="none"/>
          <w:lang w:eastAsia="cs-CZ"/>
        </w:rPr>
        <w:t>n s cílem zkrácení povolovacích procesů tak, aby byly v maximální možné míře odstraněny překážky bránící vydání příslušného povolení stavebním úřadem či překážky toto vydání neúměrně prodlužující</w:t>
      </w:r>
      <w:r w:rsidR="00D8020C">
        <w:rPr>
          <w:rStyle w:val="Hypertextovodkaz"/>
          <w:rFonts w:ascii="Tahoma" w:eastAsia="Times New Roman" w:hAnsi="Tahoma" w:cs="Tahoma"/>
          <w:bCs/>
          <w:color w:val="000000" w:themeColor="text1"/>
          <w:kern w:val="36"/>
          <w:sz w:val="20"/>
          <w:szCs w:val="20"/>
          <w:u w:val="none"/>
          <w:lang w:eastAsia="cs-CZ"/>
        </w:rPr>
        <w:t>.</w:t>
      </w:r>
      <w:r w:rsidR="00D232D6">
        <w:rPr>
          <w:rStyle w:val="Hypertextovodkaz"/>
          <w:rFonts w:ascii="Tahoma" w:eastAsia="Times New Roman" w:hAnsi="Tahoma" w:cs="Tahoma"/>
          <w:bCs/>
          <w:color w:val="000000" w:themeColor="text1"/>
          <w:kern w:val="36"/>
          <w:sz w:val="20"/>
          <w:szCs w:val="20"/>
          <w:u w:val="none"/>
          <w:lang w:eastAsia="cs-CZ"/>
        </w:rPr>
        <w:t xml:space="preserve"> </w:t>
      </w:r>
    </w:p>
    <w:p w:rsidR="00D232D6" w:rsidRPr="00FE2CDB" w:rsidRDefault="00D232D6" w:rsidP="00D232D6">
      <w:pPr>
        <w:pStyle w:val="Bezmezer"/>
        <w:jc w:val="both"/>
        <w:rPr>
          <w:rStyle w:val="Hypertextovodkaz"/>
          <w:rFonts w:ascii="Tahoma" w:eastAsia="Times New Roman" w:hAnsi="Tahoma" w:cs="Tahoma"/>
          <w:bCs/>
          <w:color w:val="000000" w:themeColor="text1"/>
          <w:kern w:val="36"/>
          <w:sz w:val="20"/>
          <w:szCs w:val="20"/>
          <w:u w:val="none"/>
          <w:lang w:eastAsia="cs-CZ"/>
        </w:rPr>
      </w:pPr>
    </w:p>
    <w:p w:rsidR="00D232D6" w:rsidRDefault="00D232D6"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D232D6" w:rsidRDefault="00D232D6"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D232D6" w:rsidRDefault="00534670" w:rsidP="00D232D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534670">
        <w:rPr>
          <w:rStyle w:val="Hypertextovodkaz"/>
          <w:rFonts w:ascii="Tahoma" w:eastAsia="Times New Roman" w:hAnsi="Tahoma" w:cs="Tahoma"/>
          <w:b/>
          <w:bCs/>
          <w:color w:val="000000" w:themeColor="text1"/>
          <w:kern w:val="36"/>
          <w:sz w:val="24"/>
          <w:szCs w:val="24"/>
          <w:u w:val="none"/>
          <w:lang w:eastAsia="cs-CZ"/>
        </w:rPr>
        <w:t>Novela, kterou se mění některé zákony v oblasti zakládání obchodních společností</w:t>
      </w:r>
      <w:r w:rsidR="00D232D6" w:rsidRPr="008165E7">
        <w:rPr>
          <w:rStyle w:val="Hypertextovodkaz"/>
          <w:rFonts w:ascii="Tahoma" w:eastAsia="Times New Roman" w:hAnsi="Tahoma" w:cs="Tahoma"/>
          <w:b/>
          <w:bCs/>
          <w:color w:val="000000" w:themeColor="text1"/>
          <w:kern w:val="36"/>
          <w:sz w:val="24"/>
          <w:szCs w:val="24"/>
          <w:u w:val="none"/>
          <w:lang w:eastAsia="cs-CZ"/>
        </w:rPr>
        <w:t xml:space="preserve">   </w:t>
      </w:r>
      <w:r w:rsidR="0017029A">
        <w:rPr>
          <w:rStyle w:val="Hypertextovodkaz"/>
          <w:rFonts w:ascii="Tahoma" w:eastAsia="Times New Roman" w:hAnsi="Tahoma" w:cs="Tahoma"/>
          <w:b/>
          <w:bCs/>
          <w:color w:val="000000" w:themeColor="text1"/>
          <w:kern w:val="36"/>
          <w:sz w:val="24"/>
          <w:szCs w:val="24"/>
          <w:u w:val="none"/>
          <w:lang w:eastAsia="cs-CZ"/>
        </w:rPr>
        <w:pict>
          <v:rect id="_x0000_i1032" style="width:0;height:1.5pt" o:hralign="center" o:hrstd="t" o:hr="t" fillcolor="#a0a0a0" stroked="f"/>
        </w:pict>
      </w:r>
    </w:p>
    <w:p w:rsidR="00D232D6" w:rsidRDefault="00534670"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446</w:t>
      </w:r>
    </w:p>
    <w:p w:rsidR="00534670" w:rsidRDefault="00534670"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 prvním čtením</w:t>
      </w:r>
    </w:p>
    <w:p w:rsidR="00534670" w:rsidRDefault="00534670"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D232D6" w:rsidRPr="00FE2CDB" w:rsidRDefault="00037C21" w:rsidP="00037C2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Předložená novela zákonů v oblasti zakládání obchodních společností si klade za cíl zrychlit a zjednodušit proces vzniku nových společností a nahlašování životností a přitom minimalizovat náklady.</w:t>
      </w:r>
    </w:p>
    <w:p w:rsidR="00D232D6" w:rsidRDefault="00D232D6"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D232D6" w:rsidRDefault="00D232D6"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D232D6" w:rsidRDefault="00037C21" w:rsidP="00D232D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037C21">
        <w:rPr>
          <w:rStyle w:val="Hypertextovodkaz"/>
          <w:rFonts w:ascii="Tahoma" w:eastAsia="Times New Roman" w:hAnsi="Tahoma" w:cs="Tahoma"/>
          <w:b/>
          <w:bCs/>
          <w:color w:val="000000" w:themeColor="text1"/>
          <w:kern w:val="36"/>
          <w:sz w:val="24"/>
          <w:szCs w:val="24"/>
          <w:u w:val="none"/>
          <w:lang w:eastAsia="cs-CZ"/>
        </w:rPr>
        <w:t>Návrh zákona o metrologii</w:t>
      </w:r>
      <w:r w:rsidR="0017029A">
        <w:rPr>
          <w:rStyle w:val="Hypertextovodkaz"/>
          <w:rFonts w:ascii="Tahoma" w:eastAsia="Times New Roman" w:hAnsi="Tahoma" w:cs="Tahoma"/>
          <w:b/>
          <w:bCs/>
          <w:color w:val="000000" w:themeColor="text1"/>
          <w:kern w:val="36"/>
          <w:sz w:val="24"/>
          <w:szCs w:val="24"/>
          <w:u w:val="none"/>
          <w:lang w:eastAsia="cs-CZ"/>
        </w:rPr>
        <w:pict>
          <v:rect id="_x0000_i1033" style="width:0;height:1.5pt" o:hralign="center" o:hrstd="t" o:hr="t" fillcolor="#a0a0a0" stroked="f"/>
        </w:pict>
      </w:r>
    </w:p>
    <w:p w:rsidR="00D232D6" w:rsidRDefault="00037C21"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Pr="00037C21">
        <w:rPr>
          <w:rStyle w:val="Hypertextovodkaz"/>
          <w:rFonts w:ascii="Tahoma" w:eastAsia="Times New Roman" w:hAnsi="Tahoma" w:cs="Tahoma"/>
          <w:bCs/>
          <w:color w:val="000000" w:themeColor="text1"/>
          <w:kern w:val="36"/>
          <w:sz w:val="20"/>
          <w:szCs w:val="20"/>
          <w:u w:val="none"/>
          <w:lang w:eastAsia="cs-CZ"/>
        </w:rPr>
        <w:tab/>
        <w:t>KORNBCGDAXRW</w:t>
      </w:r>
    </w:p>
    <w:p w:rsidR="00037C21" w:rsidRDefault="00037C21"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 mezirezortním připomínkovém řízení</w:t>
      </w:r>
    </w:p>
    <w:p w:rsidR="00D232D6" w:rsidRDefault="00D232D6" w:rsidP="00037C2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D232D6" w:rsidRDefault="00037C21" w:rsidP="00037C2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037C21">
        <w:rPr>
          <w:rStyle w:val="Hypertextovodkaz"/>
          <w:rFonts w:ascii="Tahoma" w:eastAsia="Times New Roman" w:hAnsi="Tahoma" w:cs="Tahoma"/>
          <w:bCs/>
          <w:color w:val="000000" w:themeColor="text1"/>
          <w:kern w:val="36"/>
          <w:sz w:val="20"/>
          <w:szCs w:val="20"/>
          <w:u w:val="none"/>
          <w:lang w:eastAsia="cs-CZ"/>
        </w:rPr>
        <w:t>Návrh zákona o metrologii nahrazuje stávající zákon č. 505/1990 Sb., o metrologii, ve znění pozdějších předpisů, který již nevyhovuje aktuálním potřebám. Návrh zákona o metrologii upravuje především uvádění měřidel na trh, včetně jejich ověřování, používání měřidel, autorizaci subjektů, které provádí ověřování nebo výkon úředního měření, registraci subjektů, které zajišťují opravu a montáž měřidel a hotově balné zboží.</w:t>
      </w:r>
      <w:r w:rsidR="00D232D6">
        <w:rPr>
          <w:rStyle w:val="Hypertextovodkaz"/>
          <w:rFonts w:ascii="Tahoma" w:eastAsia="Times New Roman" w:hAnsi="Tahoma" w:cs="Tahoma"/>
          <w:bCs/>
          <w:color w:val="000000" w:themeColor="text1"/>
          <w:kern w:val="36"/>
          <w:sz w:val="20"/>
          <w:szCs w:val="20"/>
          <w:u w:val="none"/>
          <w:lang w:eastAsia="cs-CZ"/>
        </w:rPr>
        <w:t xml:space="preserve"> </w:t>
      </w:r>
    </w:p>
    <w:p w:rsidR="00D232D6" w:rsidRPr="00FE2CDB" w:rsidRDefault="00D232D6" w:rsidP="00D232D6">
      <w:pPr>
        <w:pStyle w:val="Bezmezer"/>
        <w:jc w:val="both"/>
        <w:rPr>
          <w:rStyle w:val="Hypertextovodkaz"/>
          <w:rFonts w:ascii="Tahoma" w:eastAsia="Times New Roman" w:hAnsi="Tahoma" w:cs="Tahoma"/>
          <w:bCs/>
          <w:color w:val="000000" w:themeColor="text1"/>
          <w:kern w:val="36"/>
          <w:sz w:val="20"/>
          <w:szCs w:val="20"/>
          <w:u w:val="none"/>
          <w:lang w:eastAsia="cs-CZ"/>
        </w:rPr>
      </w:pPr>
    </w:p>
    <w:p w:rsidR="00D232D6" w:rsidRDefault="00D232D6" w:rsidP="00D232D6">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232D6" w:rsidRDefault="00D232D6"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A12F29" w:rsidRDefault="00A12F29"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A12F29" w:rsidRDefault="00A12F29"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A12F29" w:rsidRDefault="00A12F29"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A12F29" w:rsidRDefault="00A12F29"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0A2367" w:rsidRDefault="000A2367" w:rsidP="000A2367">
      <w:pPr>
        <w:pStyle w:val="Bezmezer"/>
        <w:spacing w:line="360" w:lineRule="auto"/>
        <w:jc w:val="both"/>
        <w:rPr>
          <w:rStyle w:val="Hypertextovodkaz"/>
          <w:rFonts w:ascii="Tahoma" w:eastAsia="Times New Roman" w:hAnsi="Tahoma" w:cs="Tahoma"/>
          <w:b/>
          <w:bCs/>
          <w:color w:val="000000" w:themeColor="text1"/>
          <w:kern w:val="36"/>
          <w:sz w:val="20"/>
          <w:szCs w:val="24"/>
          <w:u w:val="none"/>
          <w:lang w:eastAsia="cs-CZ"/>
        </w:rPr>
      </w:pPr>
    </w:p>
    <w:p w:rsidR="007F1D75" w:rsidRDefault="007F1D75" w:rsidP="00BB1BC1">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392A6A" w:rsidRPr="0028797B" w:rsidRDefault="00392A6A" w:rsidP="004A22A3">
      <w:pPr>
        <w:pStyle w:val="Bezmezer"/>
        <w:numPr>
          <w:ilvl w:val="0"/>
          <w:numId w:val="33"/>
        </w:numPr>
        <w:shd w:val="clear" w:color="auto" w:fill="CCFFCC"/>
        <w:spacing w:line="360" w:lineRule="auto"/>
        <w:jc w:val="center"/>
        <w:rPr>
          <w:b/>
          <w:sz w:val="28"/>
        </w:rPr>
      </w:pPr>
      <w:r w:rsidRPr="00392A6A">
        <w:rPr>
          <w:rFonts w:ascii="Tahoma" w:hAnsi="Tahoma" w:cs="Tahoma"/>
          <w:b/>
          <w:sz w:val="28"/>
          <w:szCs w:val="20"/>
        </w:rPr>
        <w:lastRenderedPageBreak/>
        <w:t>Aktuální judikatura a stanoviska</w:t>
      </w:r>
    </w:p>
    <w:p w:rsidR="004C27B8" w:rsidRDefault="004C27B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525598" w:rsidRDefault="0052559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D232D6" w:rsidRDefault="00B279C5" w:rsidP="00D232D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037C21">
        <w:rPr>
          <w:rStyle w:val="Hypertextovodkaz"/>
          <w:rFonts w:ascii="Tahoma" w:eastAsia="Times New Roman" w:hAnsi="Tahoma" w:cs="Tahoma"/>
          <w:b/>
          <w:bCs/>
          <w:color w:val="000000" w:themeColor="text1"/>
          <w:kern w:val="36"/>
          <w:sz w:val="24"/>
          <w:szCs w:val="24"/>
          <w:u w:val="none"/>
          <w:lang w:eastAsia="cs-CZ"/>
        </w:rPr>
        <w:t xml:space="preserve">Smlouva uzavřená na základě </w:t>
      </w:r>
      <w:r>
        <w:rPr>
          <w:rStyle w:val="Hypertextovodkaz"/>
          <w:rFonts w:ascii="Tahoma" w:eastAsia="Times New Roman" w:hAnsi="Tahoma" w:cs="Tahoma"/>
          <w:b/>
          <w:bCs/>
          <w:color w:val="000000" w:themeColor="text1"/>
          <w:kern w:val="36"/>
          <w:sz w:val="24"/>
          <w:szCs w:val="24"/>
          <w:u w:val="none"/>
          <w:lang w:eastAsia="cs-CZ"/>
        </w:rPr>
        <w:t>JŘBU</w:t>
      </w:r>
      <w:r w:rsidRPr="00037C21">
        <w:rPr>
          <w:rStyle w:val="Hypertextovodkaz"/>
          <w:rFonts w:ascii="Tahoma" w:eastAsia="Times New Roman" w:hAnsi="Tahoma" w:cs="Tahoma"/>
          <w:b/>
          <w:bCs/>
          <w:color w:val="000000" w:themeColor="text1"/>
          <w:kern w:val="36"/>
          <w:sz w:val="24"/>
          <w:szCs w:val="24"/>
          <w:u w:val="none"/>
          <w:lang w:eastAsia="cs-CZ"/>
        </w:rPr>
        <w:t xml:space="preserve"> musí být časově omezena</w:t>
      </w:r>
      <w:r w:rsidR="00D232D6" w:rsidRPr="008165E7">
        <w:rPr>
          <w:rStyle w:val="Hypertextovodkaz"/>
          <w:rFonts w:ascii="Tahoma" w:eastAsia="Times New Roman" w:hAnsi="Tahoma" w:cs="Tahoma"/>
          <w:b/>
          <w:bCs/>
          <w:color w:val="000000" w:themeColor="text1"/>
          <w:kern w:val="36"/>
          <w:sz w:val="24"/>
          <w:szCs w:val="24"/>
          <w:u w:val="none"/>
          <w:lang w:eastAsia="cs-CZ"/>
        </w:rPr>
        <w:t xml:space="preserve">  </w:t>
      </w:r>
      <w:r w:rsidR="0017029A">
        <w:rPr>
          <w:rStyle w:val="Hypertextovodkaz"/>
          <w:rFonts w:ascii="Tahoma" w:eastAsia="Times New Roman" w:hAnsi="Tahoma" w:cs="Tahoma"/>
          <w:b/>
          <w:bCs/>
          <w:color w:val="000000" w:themeColor="text1"/>
          <w:kern w:val="36"/>
          <w:sz w:val="24"/>
          <w:szCs w:val="24"/>
          <w:u w:val="none"/>
          <w:lang w:eastAsia="cs-CZ"/>
        </w:rPr>
        <w:pict>
          <v:rect id="_x0000_i1034" style="width:0;height:1.5pt" o:hralign="center" o:hrstd="t" o:hr="t" fillcolor="#a0a0a0" stroked="f"/>
        </w:pict>
      </w:r>
    </w:p>
    <w:p w:rsidR="00D232D6" w:rsidRDefault="00B279C5"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Krajský soud v Brně, </w:t>
      </w:r>
      <w:r w:rsidRPr="00B279C5">
        <w:rPr>
          <w:rStyle w:val="Hypertextovodkaz"/>
          <w:rFonts w:ascii="Tahoma" w:eastAsia="Times New Roman" w:hAnsi="Tahoma" w:cs="Tahoma"/>
          <w:bCs/>
          <w:color w:val="000000" w:themeColor="text1"/>
          <w:kern w:val="36"/>
          <w:sz w:val="20"/>
          <w:szCs w:val="20"/>
          <w:u w:val="none"/>
          <w:lang w:eastAsia="cs-CZ"/>
        </w:rPr>
        <w:t>62 Af 68/2017</w:t>
      </w:r>
    </w:p>
    <w:p w:rsidR="00D232D6" w:rsidRDefault="00D232D6" w:rsidP="00D232D6">
      <w:pPr>
        <w:pStyle w:val="Bezmezer"/>
        <w:jc w:val="both"/>
        <w:rPr>
          <w:rStyle w:val="Hypertextovodkaz"/>
          <w:rFonts w:ascii="Tahoma" w:eastAsia="Times New Roman" w:hAnsi="Tahoma" w:cs="Tahoma"/>
          <w:bCs/>
          <w:color w:val="000000" w:themeColor="text1"/>
          <w:kern w:val="36"/>
          <w:sz w:val="20"/>
          <w:szCs w:val="20"/>
          <w:u w:val="none"/>
          <w:lang w:eastAsia="cs-CZ"/>
        </w:rPr>
      </w:pPr>
    </w:p>
    <w:p w:rsidR="00B279C5" w:rsidRDefault="00B279C5" w:rsidP="00B279C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Krajský soud v Brně </w:t>
      </w:r>
      <w:r w:rsidRPr="00B279C5">
        <w:rPr>
          <w:rStyle w:val="Hypertextovodkaz"/>
          <w:rFonts w:ascii="Tahoma" w:eastAsia="Times New Roman" w:hAnsi="Tahoma" w:cs="Tahoma"/>
          <w:bCs/>
          <w:color w:val="000000" w:themeColor="text1"/>
          <w:kern w:val="36"/>
          <w:sz w:val="20"/>
          <w:szCs w:val="20"/>
          <w:u w:val="none"/>
          <w:lang w:eastAsia="cs-CZ"/>
        </w:rPr>
        <w:t>potvrdil rozhodnutí Úřadu pro ochranu hospodářské soutěže, v němž jsou konkretizovány podmínky, za nichž zadavatelé veřejných zakázek mohou postupovat v jednacím řízení bez uveřejnění. Soud rozhodoval o žalobě Hlavního města Prahy proti rozhodnutí ÚOHS o zákazu plnění smlouvy o poskytování služeb k zajištění fungování veřejného osvětlení na území hlavního města Prahy ze dne 29. 12. 2016.</w:t>
      </w:r>
    </w:p>
    <w:p w:rsidR="00B279C5" w:rsidRPr="00B279C5" w:rsidRDefault="00B279C5" w:rsidP="00B279C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B279C5" w:rsidRDefault="00B279C5" w:rsidP="00B279C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B279C5">
        <w:rPr>
          <w:rStyle w:val="Hypertextovodkaz"/>
          <w:rFonts w:ascii="Tahoma" w:eastAsia="Times New Roman" w:hAnsi="Tahoma" w:cs="Tahoma"/>
          <w:bCs/>
          <w:color w:val="000000" w:themeColor="text1"/>
          <w:kern w:val="36"/>
          <w:sz w:val="20"/>
          <w:szCs w:val="20"/>
          <w:u w:val="none"/>
          <w:lang w:eastAsia="cs-CZ"/>
        </w:rPr>
        <w:t xml:space="preserve">Úřad ve svých rozhodnutích z roku 2017 přistoupil k uložení zákazu plnění smlouvy, když konstatoval, že zadavatel uzavřel smlouvu na veřejnou zakázku „Zajištění kritických činností nutných k zajištění fungování osvětlení v hl. m. Praze po 1. 1. 2017“ na základě jednacího řízení bez uveřejnění nezákonně, neboť neobsahovala rozvazovací podmínku, z níž by bylo zřejmé, kdy k rozvázání s ohledem na důvody použití jednacího řízení bez uveřejnění dojde. </w:t>
      </w:r>
    </w:p>
    <w:p w:rsidR="00B279C5" w:rsidRPr="00B279C5" w:rsidRDefault="00B279C5" w:rsidP="00B279C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B279C5" w:rsidRPr="00B279C5" w:rsidRDefault="00B279C5" w:rsidP="00B279C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B279C5">
        <w:rPr>
          <w:rStyle w:val="Hypertextovodkaz"/>
          <w:rFonts w:ascii="Tahoma" w:eastAsia="Times New Roman" w:hAnsi="Tahoma" w:cs="Tahoma"/>
          <w:bCs/>
          <w:color w:val="000000" w:themeColor="text1"/>
          <w:kern w:val="36"/>
          <w:sz w:val="20"/>
          <w:szCs w:val="20"/>
          <w:u w:val="none"/>
          <w:lang w:eastAsia="cs-CZ"/>
        </w:rPr>
        <w:t>Krajský soud nyní názor Úřadu potvrdil, když uvedl, že „</w:t>
      </w:r>
      <w:r w:rsidRPr="00B279C5">
        <w:rPr>
          <w:rStyle w:val="Hypertextovodkaz"/>
          <w:rFonts w:ascii="Tahoma" w:eastAsia="Times New Roman" w:hAnsi="Tahoma" w:cs="Tahoma"/>
          <w:b/>
          <w:bCs/>
          <w:color w:val="000000" w:themeColor="text1"/>
          <w:kern w:val="36"/>
          <w:sz w:val="20"/>
          <w:szCs w:val="20"/>
          <w:u w:val="none"/>
          <w:lang w:eastAsia="cs-CZ"/>
        </w:rPr>
        <w:t>ačkoli požadavek na limitaci doby účinnosti závazku ze smlouvy na veřejnou zakázku zadanou prostřednictvím jednacího řízení bez uveřejnění podle § 63 odst. 5 ZZVZ není v zákoně explicitně vyjádřen, v případě veřejných zakázek, jejichž předmětem je dlouhodobé plnění opakující se povahy, je takový požadavek zcela namístě, neboť naplňuje smysl podmínek 1) a 4) plynoucích z § 63 odst. 5 ZZVZ, jež (kromě zbylých dvou)zadání veřejné zakázky v jednacím řízení bez uveřejnění umožňují. Tento požadavek nebrání zadavateli, aby aktuálně reagoval na vznik krajně naléhavé okolnosti využitím jednacího řízení bez uveřejnění, současně však zadavatele usměrňuje k tomu, aby takové dlouhodobé plnění opakující se povahy co nejdříve poptával v rámci některého z „otevřenějších“ druhů zadávacího řízení.</w:t>
      </w:r>
      <w:r w:rsidRPr="00B279C5">
        <w:rPr>
          <w:rStyle w:val="Hypertextovodkaz"/>
          <w:rFonts w:ascii="Tahoma" w:eastAsia="Times New Roman" w:hAnsi="Tahoma" w:cs="Tahoma"/>
          <w:bCs/>
          <w:color w:val="000000" w:themeColor="text1"/>
          <w:kern w:val="36"/>
          <w:sz w:val="20"/>
          <w:szCs w:val="20"/>
          <w:u w:val="none"/>
          <w:lang w:eastAsia="cs-CZ"/>
        </w:rPr>
        <w:t xml:space="preserve">“ </w:t>
      </w:r>
    </w:p>
    <w:p w:rsidR="00B841BD" w:rsidRDefault="00B841BD" w:rsidP="00B841BD">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447E10" w:rsidRDefault="00447E10" w:rsidP="0052559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D232D6" w:rsidRDefault="00D232D6" w:rsidP="00D232D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D232D6" w:rsidRDefault="00B279C5" w:rsidP="00D232D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Evidence pracovní doby</w:t>
      </w:r>
      <w:r w:rsidR="0017029A">
        <w:rPr>
          <w:rStyle w:val="Hypertextovodkaz"/>
          <w:rFonts w:ascii="Tahoma" w:eastAsia="Times New Roman" w:hAnsi="Tahoma" w:cs="Tahoma"/>
          <w:b/>
          <w:bCs/>
          <w:color w:val="000000" w:themeColor="text1"/>
          <w:kern w:val="36"/>
          <w:sz w:val="24"/>
          <w:szCs w:val="24"/>
          <w:u w:val="none"/>
          <w:lang w:eastAsia="cs-CZ"/>
        </w:rPr>
        <w:pict>
          <v:rect id="_x0000_i1035" style="width:0;height:1.5pt" o:hralign="center" o:hrstd="t" o:hr="t" fillcolor="#a0a0a0" stroked="f"/>
        </w:pict>
      </w:r>
    </w:p>
    <w:p w:rsidR="00D232D6" w:rsidRDefault="00B279C5"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Soudní dvůr EU, c-55/18</w:t>
      </w:r>
    </w:p>
    <w:p w:rsidR="00B279C5" w:rsidRDefault="00B279C5"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B279C5" w:rsidRDefault="00B279C5" w:rsidP="00B279C5">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Soudní dvůr EU posuzoval předběžnou otázku ve sporu Deutsche Bank a španělské odborové organizace.</w:t>
      </w:r>
    </w:p>
    <w:p w:rsidR="00B279C5" w:rsidRDefault="00B279C5" w:rsidP="00B279C5">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B279C5" w:rsidRPr="00B279C5" w:rsidRDefault="00B279C5" w:rsidP="00B279C5">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B279C5">
        <w:rPr>
          <w:rStyle w:val="Hypertextovodkaz"/>
          <w:rFonts w:ascii="Tahoma" w:eastAsia="Times New Roman" w:hAnsi="Tahoma" w:cs="Tahoma"/>
          <w:bCs/>
          <w:color w:val="000000" w:themeColor="text1"/>
          <w:kern w:val="36"/>
          <w:sz w:val="20"/>
          <w:szCs w:val="24"/>
          <w:u w:val="none"/>
          <w:lang w:eastAsia="cs-CZ"/>
        </w:rPr>
        <w:t xml:space="preserve">Deutsche Bank nezavedla systém pro evidenci doby odpracované svými zaměstnanci, na jehož základě by bylo možné ověřit dodržování dohodnuté pracovní doby a vyčíslit případné odpracované přesčasové hodiny. Deutsche Bank užívala model „absences calendar“, kdy byly zaznamenávány pouze celodenní </w:t>
      </w:r>
      <w:r w:rsidRPr="00B279C5">
        <w:rPr>
          <w:rStyle w:val="Hypertextovodkaz"/>
          <w:rFonts w:ascii="Tahoma" w:eastAsia="Times New Roman" w:hAnsi="Tahoma" w:cs="Tahoma"/>
          <w:bCs/>
          <w:color w:val="000000" w:themeColor="text1"/>
          <w:kern w:val="36"/>
          <w:sz w:val="20"/>
          <w:szCs w:val="24"/>
          <w:u w:val="none"/>
          <w:lang w:eastAsia="cs-CZ"/>
        </w:rPr>
        <w:lastRenderedPageBreak/>
        <w:t>absence jako dovolená nebo jiné pracovní volno, avšak se neevidovala délka pracovní doby každého zaměstnance a počet přesčasových hodin. Deutsche Bank argumentovala tím, že zaměstnanci mohou své přesčasy doložit např. časem odeslaného emailu apod.</w:t>
      </w:r>
    </w:p>
    <w:p w:rsidR="00B279C5" w:rsidRPr="00B279C5" w:rsidRDefault="00B279C5" w:rsidP="00B279C5">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B279C5" w:rsidRPr="00B279C5" w:rsidRDefault="00B279C5" w:rsidP="00B279C5">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B279C5">
        <w:rPr>
          <w:rStyle w:val="Hypertextovodkaz"/>
          <w:rFonts w:ascii="Tahoma" w:eastAsia="Times New Roman" w:hAnsi="Tahoma" w:cs="Tahoma"/>
          <w:bCs/>
          <w:color w:val="000000" w:themeColor="text1"/>
          <w:kern w:val="36"/>
          <w:sz w:val="20"/>
          <w:szCs w:val="24"/>
          <w:u w:val="none"/>
          <w:lang w:eastAsia="cs-CZ"/>
        </w:rPr>
        <w:t>SDEU se zabýval úvahami, zda a do jaké míry je zavedení systému umožňujícího měřit délku pracovní doby u každého jednotlivého zaměstnance nezbytné k tomu, aby bylo účinným způsobem zajištěno respektování maximální týdenní pracovní doby a dob odpočinku.</w:t>
      </w:r>
    </w:p>
    <w:p w:rsidR="00B279C5" w:rsidRPr="00B279C5" w:rsidRDefault="00B279C5" w:rsidP="00B279C5">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B279C5" w:rsidRPr="00B279C5" w:rsidRDefault="00B279C5" w:rsidP="00B279C5">
      <w:pPr>
        <w:pStyle w:val="Bezmezer"/>
        <w:spacing w:line="360" w:lineRule="auto"/>
        <w:jc w:val="both"/>
        <w:rPr>
          <w:rStyle w:val="Hypertextovodkaz"/>
          <w:rFonts w:ascii="Tahoma" w:eastAsia="Times New Roman" w:hAnsi="Tahoma" w:cs="Tahoma"/>
          <w:b/>
          <w:bCs/>
          <w:color w:val="000000" w:themeColor="text1"/>
          <w:kern w:val="36"/>
          <w:sz w:val="20"/>
          <w:szCs w:val="24"/>
          <w:u w:val="none"/>
          <w:lang w:eastAsia="cs-CZ"/>
        </w:rPr>
      </w:pPr>
      <w:r w:rsidRPr="00B279C5">
        <w:rPr>
          <w:rStyle w:val="Hypertextovodkaz"/>
          <w:rFonts w:ascii="Tahoma" w:eastAsia="Times New Roman" w:hAnsi="Tahoma" w:cs="Tahoma"/>
          <w:b/>
          <w:bCs/>
          <w:color w:val="000000" w:themeColor="text1"/>
          <w:kern w:val="36"/>
          <w:sz w:val="20"/>
          <w:szCs w:val="24"/>
          <w:u w:val="none"/>
          <w:lang w:eastAsia="cs-CZ"/>
        </w:rPr>
        <w:t>SDEU označil systém evidence, který bude objektivně a spolehlivě určovat počet hodin odpracovaných denně a týdně, za nutný k tomu, aby bylo zjištěno, zda byla v referenčním období dodržena maximální délka týdenní pracovní doby, a aby bylo zjištěno, zda byla dodržena denní a týdenní doba odpočinku.</w:t>
      </w:r>
    </w:p>
    <w:p w:rsidR="00B279C5" w:rsidRPr="00B279C5" w:rsidRDefault="00B279C5" w:rsidP="00B279C5">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B279C5" w:rsidRPr="00B279C5" w:rsidRDefault="00B279C5" w:rsidP="00B279C5">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Uvedené rozhodnutí SDEU má dopady zejména na zaměstnance</w:t>
      </w:r>
      <w:r w:rsidRPr="00B279C5">
        <w:rPr>
          <w:rStyle w:val="Hypertextovodkaz"/>
          <w:rFonts w:ascii="Tahoma" w:eastAsia="Times New Roman" w:hAnsi="Tahoma" w:cs="Tahoma"/>
          <w:bCs/>
          <w:color w:val="000000" w:themeColor="text1"/>
          <w:kern w:val="36"/>
          <w:sz w:val="20"/>
          <w:szCs w:val="24"/>
          <w:u w:val="none"/>
          <w:lang w:eastAsia="cs-CZ"/>
        </w:rPr>
        <w:t>, kteří pracují mimo centrálu a sklady (home office, obchodní zástupci, metodici).</w:t>
      </w:r>
    </w:p>
    <w:p w:rsidR="00D232D6" w:rsidRDefault="00D232D6" w:rsidP="00D232D6">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232D6" w:rsidRDefault="00D232D6" w:rsidP="0052559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sectPr w:rsidR="00D232D6"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29A" w:rsidRDefault="0017029A" w:rsidP="004F17ED">
      <w:pPr>
        <w:spacing w:after="0" w:line="240" w:lineRule="auto"/>
      </w:pPr>
      <w:r>
        <w:separator/>
      </w:r>
    </w:p>
  </w:endnote>
  <w:endnote w:type="continuationSeparator" w:id="0">
    <w:p w:rsidR="0017029A" w:rsidRDefault="0017029A"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E2287C" w:rsidRDefault="00E2287C">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8834A0">
              <w:rPr>
                <w:rFonts w:ascii="Tahoma" w:hAnsi="Tahoma" w:cs="Tahoma"/>
                <w:b/>
                <w:bCs/>
                <w:noProof/>
                <w:sz w:val="16"/>
                <w:szCs w:val="16"/>
              </w:rPr>
              <w:t>1</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8834A0">
              <w:rPr>
                <w:rFonts w:ascii="Tahoma" w:hAnsi="Tahoma" w:cs="Tahoma"/>
                <w:b/>
                <w:bCs/>
                <w:noProof/>
                <w:sz w:val="16"/>
                <w:szCs w:val="16"/>
              </w:rPr>
              <w:t>8</w:t>
            </w:r>
            <w:r w:rsidRPr="00FB7F36">
              <w:rPr>
                <w:rFonts w:ascii="Tahoma" w:hAnsi="Tahoma" w:cs="Tahoma"/>
                <w:b/>
                <w:bCs/>
                <w:sz w:val="16"/>
                <w:szCs w:val="16"/>
              </w:rPr>
              <w:fldChar w:fldCharType="end"/>
            </w:r>
          </w:p>
        </w:sdtContent>
      </w:sdt>
    </w:sdtContent>
  </w:sdt>
  <w:p w:rsidR="00E2287C" w:rsidRDefault="00E228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29A" w:rsidRDefault="0017029A" w:rsidP="004F17ED">
      <w:pPr>
        <w:spacing w:after="0" w:line="240" w:lineRule="auto"/>
      </w:pPr>
      <w:r>
        <w:separator/>
      </w:r>
    </w:p>
  </w:footnote>
  <w:footnote w:type="continuationSeparator" w:id="0">
    <w:p w:rsidR="0017029A" w:rsidRDefault="0017029A"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4">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21F3E5B"/>
    <w:multiLevelType w:val="hybridMultilevel"/>
    <w:tmpl w:val="1F00C260"/>
    <w:lvl w:ilvl="0" w:tplc="AB5458B6">
      <w:start w:val="1"/>
      <w:numFmt w:val="decimal"/>
      <w:lvlText w:val="%1)"/>
      <w:lvlJc w:val="left"/>
      <w:pPr>
        <w:ind w:left="360" w:hanging="360"/>
      </w:pPr>
      <w:rPr>
        <w:rFonts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7">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19">
    <w:nsid w:val="40484290"/>
    <w:multiLevelType w:val="hybridMultilevel"/>
    <w:tmpl w:val="F79E23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7C33C7D"/>
    <w:multiLevelType w:val="hybridMultilevel"/>
    <w:tmpl w:val="84763E00"/>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nsid w:val="47F25847"/>
    <w:multiLevelType w:val="multilevel"/>
    <w:tmpl w:val="73DADD40"/>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2">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4">
    <w:nsid w:val="55086667"/>
    <w:multiLevelType w:val="hybridMultilevel"/>
    <w:tmpl w:val="56880B40"/>
    <w:lvl w:ilvl="0" w:tplc="C97041D8">
      <w:start w:val="13"/>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0207346"/>
    <w:multiLevelType w:val="hybridMultilevel"/>
    <w:tmpl w:val="40EC2A32"/>
    <w:lvl w:ilvl="0" w:tplc="B0868674">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nsid w:val="63B317B2"/>
    <w:multiLevelType w:val="hybridMultilevel"/>
    <w:tmpl w:val="229414D6"/>
    <w:lvl w:ilvl="0" w:tplc="FDB6EE42">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2"/>
  </w:num>
  <w:num w:numId="3">
    <w:abstractNumId w:val="18"/>
  </w:num>
  <w:num w:numId="4">
    <w:abstractNumId w:val="11"/>
  </w:num>
  <w:num w:numId="5">
    <w:abstractNumId w:val="10"/>
  </w:num>
  <w:num w:numId="6">
    <w:abstractNumId w:val="13"/>
  </w:num>
  <w:num w:numId="7">
    <w:abstractNumId w:val="30"/>
  </w:num>
  <w:num w:numId="8">
    <w:abstractNumId w:val="12"/>
  </w:num>
  <w:num w:numId="9">
    <w:abstractNumId w:val="32"/>
  </w:num>
  <w:num w:numId="10">
    <w:abstractNumId w:val="25"/>
  </w:num>
  <w:num w:numId="11">
    <w:abstractNumId w:val="29"/>
  </w:num>
  <w:num w:numId="12">
    <w:abstractNumId w:val="28"/>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4"/>
  </w:num>
  <w:num w:numId="24">
    <w:abstractNumId w:val="17"/>
  </w:num>
  <w:num w:numId="25">
    <w:abstractNumId w:val="16"/>
  </w:num>
  <w:num w:numId="26">
    <w:abstractNumId w:val="31"/>
  </w:num>
  <w:num w:numId="27">
    <w:abstractNumId w:val="27"/>
  </w:num>
  <w:num w:numId="28">
    <w:abstractNumId w:val="15"/>
  </w:num>
  <w:num w:numId="29">
    <w:abstractNumId w:val="26"/>
  </w:num>
  <w:num w:numId="30">
    <w:abstractNumId w:val="24"/>
  </w:num>
  <w:num w:numId="31">
    <w:abstractNumId w:val="19"/>
  </w:num>
  <w:num w:numId="32">
    <w:abstractNumId w:val="20"/>
  </w:num>
  <w:num w:numId="33">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3763"/>
    <w:rsid w:val="000152BC"/>
    <w:rsid w:val="00017AE6"/>
    <w:rsid w:val="0002202C"/>
    <w:rsid w:val="00024354"/>
    <w:rsid w:val="00024EFD"/>
    <w:rsid w:val="00025EAC"/>
    <w:rsid w:val="000331FE"/>
    <w:rsid w:val="00034EBC"/>
    <w:rsid w:val="0003592E"/>
    <w:rsid w:val="00035A22"/>
    <w:rsid w:val="000363D6"/>
    <w:rsid w:val="00037C21"/>
    <w:rsid w:val="00037D46"/>
    <w:rsid w:val="00037E81"/>
    <w:rsid w:val="000400D6"/>
    <w:rsid w:val="00040830"/>
    <w:rsid w:val="00040942"/>
    <w:rsid w:val="00040B86"/>
    <w:rsid w:val="00041550"/>
    <w:rsid w:val="00042450"/>
    <w:rsid w:val="00045E2F"/>
    <w:rsid w:val="000478D3"/>
    <w:rsid w:val="00047C25"/>
    <w:rsid w:val="00062A39"/>
    <w:rsid w:val="00070061"/>
    <w:rsid w:val="00071319"/>
    <w:rsid w:val="00071E57"/>
    <w:rsid w:val="0007229C"/>
    <w:rsid w:val="00073AE1"/>
    <w:rsid w:val="00073DF1"/>
    <w:rsid w:val="00075A74"/>
    <w:rsid w:val="000767BA"/>
    <w:rsid w:val="00076B99"/>
    <w:rsid w:val="00081677"/>
    <w:rsid w:val="00084E43"/>
    <w:rsid w:val="000867AE"/>
    <w:rsid w:val="00093AAA"/>
    <w:rsid w:val="000944DB"/>
    <w:rsid w:val="00095900"/>
    <w:rsid w:val="000A1864"/>
    <w:rsid w:val="000A2367"/>
    <w:rsid w:val="000A6ED0"/>
    <w:rsid w:val="000A72EB"/>
    <w:rsid w:val="000B2C9A"/>
    <w:rsid w:val="000B2D74"/>
    <w:rsid w:val="000C21BA"/>
    <w:rsid w:val="000C3CEF"/>
    <w:rsid w:val="000D10C4"/>
    <w:rsid w:val="000D120A"/>
    <w:rsid w:val="000D3219"/>
    <w:rsid w:val="000D322B"/>
    <w:rsid w:val="000D43A2"/>
    <w:rsid w:val="000D5A9A"/>
    <w:rsid w:val="000D5D2E"/>
    <w:rsid w:val="000D7741"/>
    <w:rsid w:val="000E54E9"/>
    <w:rsid w:val="000F2090"/>
    <w:rsid w:val="000F401A"/>
    <w:rsid w:val="000F43FA"/>
    <w:rsid w:val="000F4720"/>
    <w:rsid w:val="000F4B51"/>
    <w:rsid w:val="000F5A9C"/>
    <w:rsid w:val="000F69B8"/>
    <w:rsid w:val="001017A9"/>
    <w:rsid w:val="00101BD3"/>
    <w:rsid w:val="001028D7"/>
    <w:rsid w:val="001049A5"/>
    <w:rsid w:val="00106526"/>
    <w:rsid w:val="001065AE"/>
    <w:rsid w:val="0010675A"/>
    <w:rsid w:val="001109EF"/>
    <w:rsid w:val="001127CE"/>
    <w:rsid w:val="00117697"/>
    <w:rsid w:val="001236D2"/>
    <w:rsid w:val="001241C8"/>
    <w:rsid w:val="001265DA"/>
    <w:rsid w:val="00126CB8"/>
    <w:rsid w:val="001277A2"/>
    <w:rsid w:val="001311AC"/>
    <w:rsid w:val="00131647"/>
    <w:rsid w:val="00132C6A"/>
    <w:rsid w:val="00134EB5"/>
    <w:rsid w:val="001351A0"/>
    <w:rsid w:val="00135879"/>
    <w:rsid w:val="00135BEF"/>
    <w:rsid w:val="00137ACA"/>
    <w:rsid w:val="00137CB0"/>
    <w:rsid w:val="00141501"/>
    <w:rsid w:val="00141666"/>
    <w:rsid w:val="0015004C"/>
    <w:rsid w:val="00150FB7"/>
    <w:rsid w:val="00156C6C"/>
    <w:rsid w:val="00161BEA"/>
    <w:rsid w:val="00162805"/>
    <w:rsid w:val="001629CF"/>
    <w:rsid w:val="00162B8A"/>
    <w:rsid w:val="00163DDA"/>
    <w:rsid w:val="0016564F"/>
    <w:rsid w:val="00165B6A"/>
    <w:rsid w:val="0017029A"/>
    <w:rsid w:val="001765B5"/>
    <w:rsid w:val="001807E4"/>
    <w:rsid w:val="00184111"/>
    <w:rsid w:val="001875C8"/>
    <w:rsid w:val="00195DD2"/>
    <w:rsid w:val="001A0C83"/>
    <w:rsid w:val="001A1785"/>
    <w:rsid w:val="001A2D52"/>
    <w:rsid w:val="001A3D61"/>
    <w:rsid w:val="001A62A6"/>
    <w:rsid w:val="001A6AF4"/>
    <w:rsid w:val="001B5DB3"/>
    <w:rsid w:val="001B609E"/>
    <w:rsid w:val="001B66D4"/>
    <w:rsid w:val="001C27F8"/>
    <w:rsid w:val="001C4A0C"/>
    <w:rsid w:val="001C509B"/>
    <w:rsid w:val="001C580F"/>
    <w:rsid w:val="001D0703"/>
    <w:rsid w:val="001D070C"/>
    <w:rsid w:val="001D0880"/>
    <w:rsid w:val="001D488C"/>
    <w:rsid w:val="001D7CC3"/>
    <w:rsid w:val="001E247A"/>
    <w:rsid w:val="001E257B"/>
    <w:rsid w:val="001E53D1"/>
    <w:rsid w:val="001E6F7D"/>
    <w:rsid w:val="001F16D1"/>
    <w:rsid w:val="001F1F7F"/>
    <w:rsid w:val="001F3948"/>
    <w:rsid w:val="001F5995"/>
    <w:rsid w:val="001F71A0"/>
    <w:rsid w:val="002028B4"/>
    <w:rsid w:val="00202980"/>
    <w:rsid w:val="00205B69"/>
    <w:rsid w:val="00205D7C"/>
    <w:rsid w:val="00206F98"/>
    <w:rsid w:val="00207B8D"/>
    <w:rsid w:val="00212896"/>
    <w:rsid w:val="00212BC6"/>
    <w:rsid w:val="00214FAB"/>
    <w:rsid w:val="00220138"/>
    <w:rsid w:val="002205E1"/>
    <w:rsid w:val="0022197B"/>
    <w:rsid w:val="00221F51"/>
    <w:rsid w:val="00222868"/>
    <w:rsid w:val="00236086"/>
    <w:rsid w:val="00240477"/>
    <w:rsid w:val="00242580"/>
    <w:rsid w:val="002441B4"/>
    <w:rsid w:val="00247A69"/>
    <w:rsid w:val="0025086C"/>
    <w:rsid w:val="00251C31"/>
    <w:rsid w:val="0025209F"/>
    <w:rsid w:val="00252C33"/>
    <w:rsid w:val="00253681"/>
    <w:rsid w:val="00254879"/>
    <w:rsid w:val="0025643D"/>
    <w:rsid w:val="00257465"/>
    <w:rsid w:val="00257D6C"/>
    <w:rsid w:val="002610C4"/>
    <w:rsid w:val="00263CDC"/>
    <w:rsid w:val="002738A3"/>
    <w:rsid w:val="00276A8C"/>
    <w:rsid w:val="00276F8F"/>
    <w:rsid w:val="00283D2E"/>
    <w:rsid w:val="0028484D"/>
    <w:rsid w:val="0028797B"/>
    <w:rsid w:val="00292D21"/>
    <w:rsid w:val="00296169"/>
    <w:rsid w:val="002A082D"/>
    <w:rsid w:val="002A255B"/>
    <w:rsid w:val="002A2F5C"/>
    <w:rsid w:val="002A3403"/>
    <w:rsid w:val="002A668E"/>
    <w:rsid w:val="002A7232"/>
    <w:rsid w:val="002B0E18"/>
    <w:rsid w:val="002B11D7"/>
    <w:rsid w:val="002B3FF4"/>
    <w:rsid w:val="002B4CA4"/>
    <w:rsid w:val="002B6A65"/>
    <w:rsid w:val="002B7C80"/>
    <w:rsid w:val="002C0879"/>
    <w:rsid w:val="002C27F8"/>
    <w:rsid w:val="002C594D"/>
    <w:rsid w:val="002D14F8"/>
    <w:rsid w:val="002D1507"/>
    <w:rsid w:val="002D6498"/>
    <w:rsid w:val="002D7924"/>
    <w:rsid w:val="002E0119"/>
    <w:rsid w:val="002E0228"/>
    <w:rsid w:val="002E065A"/>
    <w:rsid w:val="002E0C9E"/>
    <w:rsid w:val="002E1514"/>
    <w:rsid w:val="002E151F"/>
    <w:rsid w:val="002E3FD5"/>
    <w:rsid w:val="002E7FFC"/>
    <w:rsid w:val="002F207D"/>
    <w:rsid w:val="002F57E7"/>
    <w:rsid w:val="002F798B"/>
    <w:rsid w:val="00304048"/>
    <w:rsid w:val="00305BBB"/>
    <w:rsid w:val="003077D1"/>
    <w:rsid w:val="00310DD6"/>
    <w:rsid w:val="00311B5F"/>
    <w:rsid w:val="00311C47"/>
    <w:rsid w:val="003131F8"/>
    <w:rsid w:val="00322DF8"/>
    <w:rsid w:val="003238FB"/>
    <w:rsid w:val="003249E2"/>
    <w:rsid w:val="00330B21"/>
    <w:rsid w:val="00333363"/>
    <w:rsid w:val="00335B85"/>
    <w:rsid w:val="00335BB7"/>
    <w:rsid w:val="00343B36"/>
    <w:rsid w:val="00344F47"/>
    <w:rsid w:val="00345E8F"/>
    <w:rsid w:val="00351243"/>
    <w:rsid w:val="00351349"/>
    <w:rsid w:val="003526B8"/>
    <w:rsid w:val="003530C9"/>
    <w:rsid w:val="0035347A"/>
    <w:rsid w:val="0035378B"/>
    <w:rsid w:val="00355EAB"/>
    <w:rsid w:val="00360D1A"/>
    <w:rsid w:val="003628E1"/>
    <w:rsid w:val="0036402D"/>
    <w:rsid w:val="00370ABB"/>
    <w:rsid w:val="00371022"/>
    <w:rsid w:val="0037265F"/>
    <w:rsid w:val="00372802"/>
    <w:rsid w:val="00372FB7"/>
    <w:rsid w:val="00376752"/>
    <w:rsid w:val="00380F22"/>
    <w:rsid w:val="00384022"/>
    <w:rsid w:val="00386132"/>
    <w:rsid w:val="00387D2A"/>
    <w:rsid w:val="003902D6"/>
    <w:rsid w:val="003912B4"/>
    <w:rsid w:val="00392A6A"/>
    <w:rsid w:val="00395866"/>
    <w:rsid w:val="003968B1"/>
    <w:rsid w:val="003A563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5319"/>
    <w:rsid w:val="00402B33"/>
    <w:rsid w:val="00403BCB"/>
    <w:rsid w:val="00403E80"/>
    <w:rsid w:val="004048A1"/>
    <w:rsid w:val="0040539D"/>
    <w:rsid w:val="00407A61"/>
    <w:rsid w:val="004128FE"/>
    <w:rsid w:val="00413E46"/>
    <w:rsid w:val="00415958"/>
    <w:rsid w:val="004161B5"/>
    <w:rsid w:val="0041735C"/>
    <w:rsid w:val="00417839"/>
    <w:rsid w:val="00422050"/>
    <w:rsid w:val="00423FDD"/>
    <w:rsid w:val="004242DB"/>
    <w:rsid w:val="00427709"/>
    <w:rsid w:val="004353BF"/>
    <w:rsid w:val="00440048"/>
    <w:rsid w:val="0044093C"/>
    <w:rsid w:val="004450E2"/>
    <w:rsid w:val="00447E10"/>
    <w:rsid w:val="004515D2"/>
    <w:rsid w:val="004536BC"/>
    <w:rsid w:val="00454762"/>
    <w:rsid w:val="004549DE"/>
    <w:rsid w:val="004559EA"/>
    <w:rsid w:val="0046265B"/>
    <w:rsid w:val="00465991"/>
    <w:rsid w:val="00466E48"/>
    <w:rsid w:val="0047044D"/>
    <w:rsid w:val="00471191"/>
    <w:rsid w:val="004826DF"/>
    <w:rsid w:val="004901A5"/>
    <w:rsid w:val="0049025F"/>
    <w:rsid w:val="00490473"/>
    <w:rsid w:val="00491428"/>
    <w:rsid w:val="00491EB7"/>
    <w:rsid w:val="004935E1"/>
    <w:rsid w:val="00496091"/>
    <w:rsid w:val="0049649F"/>
    <w:rsid w:val="004A1140"/>
    <w:rsid w:val="004A22A3"/>
    <w:rsid w:val="004A3DCA"/>
    <w:rsid w:val="004B1669"/>
    <w:rsid w:val="004B16CD"/>
    <w:rsid w:val="004B555E"/>
    <w:rsid w:val="004C0443"/>
    <w:rsid w:val="004C27B8"/>
    <w:rsid w:val="004D207B"/>
    <w:rsid w:val="004D304C"/>
    <w:rsid w:val="004D65E5"/>
    <w:rsid w:val="004D762B"/>
    <w:rsid w:val="004E0C28"/>
    <w:rsid w:val="004E1900"/>
    <w:rsid w:val="004E46C7"/>
    <w:rsid w:val="004E67B6"/>
    <w:rsid w:val="004E7517"/>
    <w:rsid w:val="004F0300"/>
    <w:rsid w:val="004F17ED"/>
    <w:rsid w:val="004F3002"/>
    <w:rsid w:val="004F3132"/>
    <w:rsid w:val="004F37DA"/>
    <w:rsid w:val="004F3AEB"/>
    <w:rsid w:val="004F6AC2"/>
    <w:rsid w:val="00501365"/>
    <w:rsid w:val="005024A6"/>
    <w:rsid w:val="00503ACF"/>
    <w:rsid w:val="005042A6"/>
    <w:rsid w:val="00505738"/>
    <w:rsid w:val="00505B58"/>
    <w:rsid w:val="005062F3"/>
    <w:rsid w:val="00506981"/>
    <w:rsid w:val="005132D4"/>
    <w:rsid w:val="005170B6"/>
    <w:rsid w:val="005203F3"/>
    <w:rsid w:val="00521193"/>
    <w:rsid w:val="005226BE"/>
    <w:rsid w:val="00524448"/>
    <w:rsid w:val="00525327"/>
    <w:rsid w:val="00525598"/>
    <w:rsid w:val="0052707D"/>
    <w:rsid w:val="00527B4E"/>
    <w:rsid w:val="005302F5"/>
    <w:rsid w:val="00530CBE"/>
    <w:rsid w:val="00533958"/>
    <w:rsid w:val="00534670"/>
    <w:rsid w:val="00540EA0"/>
    <w:rsid w:val="00542B36"/>
    <w:rsid w:val="00543D4A"/>
    <w:rsid w:val="00544C49"/>
    <w:rsid w:val="005452CF"/>
    <w:rsid w:val="00562879"/>
    <w:rsid w:val="005629AE"/>
    <w:rsid w:val="005635CB"/>
    <w:rsid w:val="00563B66"/>
    <w:rsid w:val="005643D9"/>
    <w:rsid w:val="005725FF"/>
    <w:rsid w:val="00572A6B"/>
    <w:rsid w:val="0057392F"/>
    <w:rsid w:val="00577444"/>
    <w:rsid w:val="005824E2"/>
    <w:rsid w:val="005841CB"/>
    <w:rsid w:val="00584AD1"/>
    <w:rsid w:val="005874EF"/>
    <w:rsid w:val="00590D0D"/>
    <w:rsid w:val="00595560"/>
    <w:rsid w:val="005A1D02"/>
    <w:rsid w:val="005A5321"/>
    <w:rsid w:val="005B1C5E"/>
    <w:rsid w:val="005B3219"/>
    <w:rsid w:val="005C2727"/>
    <w:rsid w:val="005C311E"/>
    <w:rsid w:val="005C3F6A"/>
    <w:rsid w:val="005C44B7"/>
    <w:rsid w:val="005C4CF8"/>
    <w:rsid w:val="005C5748"/>
    <w:rsid w:val="005D4F67"/>
    <w:rsid w:val="005D548B"/>
    <w:rsid w:val="005D7712"/>
    <w:rsid w:val="005E072B"/>
    <w:rsid w:val="005E1CF4"/>
    <w:rsid w:val="005E531F"/>
    <w:rsid w:val="005E6134"/>
    <w:rsid w:val="005F197A"/>
    <w:rsid w:val="005F6373"/>
    <w:rsid w:val="0060528B"/>
    <w:rsid w:val="00611C81"/>
    <w:rsid w:val="00612770"/>
    <w:rsid w:val="00616728"/>
    <w:rsid w:val="00621743"/>
    <w:rsid w:val="00625E80"/>
    <w:rsid w:val="00626608"/>
    <w:rsid w:val="00626DAB"/>
    <w:rsid w:val="00633D0B"/>
    <w:rsid w:val="00634759"/>
    <w:rsid w:val="00634BBB"/>
    <w:rsid w:val="00636CC5"/>
    <w:rsid w:val="0064007D"/>
    <w:rsid w:val="00640821"/>
    <w:rsid w:val="006419FC"/>
    <w:rsid w:val="00642B92"/>
    <w:rsid w:val="0064695A"/>
    <w:rsid w:val="00647DFF"/>
    <w:rsid w:val="00651B06"/>
    <w:rsid w:val="00651B71"/>
    <w:rsid w:val="00655121"/>
    <w:rsid w:val="00656175"/>
    <w:rsid w:val="00660572"/>
    <w:rsid w:val="00661CF8"/>
    <w:rsid w:val="00664BFA"/>
    <w:rsid w:val="00681668"/>
    <w:rsid w:val="006819A4"/>
    <w:rsid w:val="00685036"/>
    <w:rsid w:val="00687E51"/>
    <w:rsid w:val="0069081D"/>
    <w:rsid w:val="006909A9"/>
    <w:rsid w:val="00692BAF"/>
    <w:rsid w:val="00692C0F"/>
    <w:rsid w:val="006A1F9A"/>
    <w:rsid w:val="006A2727"/>
    <w:rsid w:val="006A4A20"/>
    <w:rsid w:val="006B0435"/>
    <w:rsid w:val="006B099C"/>
    <w:rsid w:val="006B1D5C"/>
    <w:rsid w:val="006B2EB6"/>
    <w:rsid w:val="006B6895"/>
    <w:rsid w:val="006B7EE9"/>
    <w:rsid w:val="006C005F"/>
    <w:rsid w:val="006C459B"/>
    <w:rsid w:val="006C4699"/>
    <w:rsid w:val="006C6DAC"/>
    <w:rsid w:val="006C6F55"/>
    <w:rsid w:val="006C7AF7"/>
    <w:rsid w:val="006D2E1E"/>
    <w:rsid w:val="006D437B"/>
    <w:rsid w:val="006D468C"/>
    <w:rsid w:val="006D487E"/>
    <w:rsid w:val="006E09B3"/>
    <w:rsid w:val="006E28CD"/>
    <w:rsid w:val="006E57D1"/>
    <w:rsid w:val="006F2E08"/>
    <w:rsid w:val="006F443D"/>
    <w:rsid w:val="00701B95"/>
    <w:rsid w:val="00706A9F"/>
    <w:rsid w:val="00707206"/>
    <w:rsid w:val="0071067F"/>
    <w:rsid w:val="00711F19"/>
    <w:rsid w:val="007148E4"/>
    <w:rsid w:val="00715A6F"/>
    <w:rsid w:val="00721803"/>
    <w:rsid w:val="00724B67"/>
    <w:rsid w:val="007250DE"/>
    <w:rsid w:val="0073165C"/>
    <w:rsid w:val="007342F4"/>
    <w:rsid w:val="007413F0"/>
    <w:rsid w:val="00741601"/>
    <w:rsid w:val="00745373"/>
    <w:rsid w:val="007503D0"/>
    <w:rsid w:val="00751E42"/>
    <w:rsid w:val="00760E95"/>
    <w:rsid w:val="00761984"/>
    <w:rsid w:val="00765FD7"/>
    <w:rsid w:val="00773243"/>
    <w:rsid w:val="007767A0"/>
    <w:rsid w:val="00781FFA"/>
    <w:rsid w:val="007825CD"/>
    <w:rsid w:val="00783961"/>
    <w:rsid w:val="00785AB4"/>
    <w:rsid w:val="00790364"/>
    <w:rsid w:val="007955A3"/>
    <w:rsid w:val="0079795D"/>
    <w:rsid w:val="007A56F5"/>
    <w:rsid w:val="007A7BE0"/>
    <w:rsid w:val="007B7559"/>
    <w:rsid w:val="007C2983"/>
    <w:rsid w:val="007C30AF"/>
    <w:rsid w:val="007C3635"/>
    <w:rsid w:val="007C36DB"/>
    <w:rsid w:val="007C51BB"/>
    <w:rsid w:val="007C520E"/>
    <w:rsid w:val="007D72DA"/>
    <w:rsid w:val="007E053D"/>
    <w:rsid w:val="007E317C"/>
    <w:rsid w:val="007E6A31"/>
    <w:rsid w:val="007E7045"/>
    <w:rsid w:val="007F09E2"/>
    <w:rsid w:val="007F1D75"/>
    <w:rsid w:val="007F3540"/>
    <w:rsid w:val="008020EA"/>
    <w:rsid w:val="0080530B"/>
    <w:rsid w:val="008105BA"/>
    <w:rsid w:val="00812AEE"/>
    <w:rsid w:val="008165E7"/>
    <w:rsid w:val="0081766C"/>
    <w:rsid w:val="00817BD5"/>
    <w:rsid w:val="00822C34"/>
    <w:rsid w:val="008230B0"/>
    <w:rsid w:val="0082325F"/>
    <w:rsid w:val="0082596B"/>
    <w:rsid w:val="00825F8D"/>
    <w:rsid w:val="0082635A"/>
    <w:rsid w:val="00831890"/>
    <w:rsid w:val="00832D57"/>
    <w:rsid w:val="00833FA6"/>
    <w:rsid w:val="00836110"/>
    <w:rsid w:val="0083799C"/>
    <w:rsid w:val="00844B2A"/>
    <w:rsid w:val="008472B6"/>
    <w:rsid w:val="00852FD0"/>
    <w:rsid w:val="008559F5"/>
    <w:rsid w:val="00856973"/>
    <w:rsid w:val="0086206B"/>
    <w:rsid w:val="00862B3D"/>
    <w:rsid w:val="00863036"/>
    <w:rsid w:val="00863A2B"/>
    <w:rsid w:val="00863E13"/>
    <w:rsid w:val="008662C9"/>
    <w:rsid w:val="008679EA"/>
    <w:rsid w:val="00867E85"/>
    <w:rsid w:val="008728CF"/>
    <w:rsid w:val="008741F9"/>
    <w:rsid w:val="00877BA9"/>
    <w:rsid w:val="008803F5"/>
    <w:rsid w:val="0088131E"/>
    <w:rsid w:val="00883431"/>
    <w:rsid w:val="008834A0"/>
    <w:rsid w:val="00886054"/>
    <w:rsid w:val="00886137"/>
    <w:rsid w:val="00893510"/>
    <w:rsid w:val="00896C09"/>
    <w:rsid w:val="00896D55"/>
    <w:rsid w:val="00897211"/>
    <w:rsid w:val="008978F9"/>
    <w:rsid w:val="008A1B9B"/>
    <w:rsid w:val="008A26C7"/>
    <w:rsid w:val="008B09D3"/>
    <w:rsid w:val="008B4469"/>
    <w:rsid w:val="008B5061"/>
    <w:rsid w:val="008B5D32"/>
    <w:rsid w:val="008C1454"/>
    <w:rsid w:val="008C43D6"/>
    <w:rsid w:val="008C5AFD"/>
    <w:rsid w:val="008D0BF0"/>
    <w:rsid w:val="008D1F1C"/>
    <w:rsid w:val="008D540D"/>
    <w:rsid w:val="008D626F"/>
    <w:rsid w:val="008D6A68"/>
    <w:rsid w:val="008D6BFF"/>
    <w:rsid w:val="008E39CB"/>
    <w:rsid w:val="008E77C3"/>
    <w:rsid w:val="008E7880"/>
    <w:rsid w:val="008F311F"/>
    <w:rsid w:val="008F3BD2"/>
    <w:rsid w:val="008F3C49"/>
    <w:rsid w:val="008F5B58"/>
    <w:rsid w:val="00900A97"/>
    <w:rsid w:val="00904456"/>
    <w:rsid w:val="00905085"/>
    <w:rsid w:val="00910943"/>
    <w:rsid w:val="00912943"/>
    <w:rsid w:val="009143FC"/>
    <w:rsid w:val="00914DDA"/>
    <w:rsid w:val="00915451"/>
    <w:rsid w:val="009230B5"/>
    <w:rsid w:val="009231A5"/>
    <w:rsid w:val="009248C4"/>
    <w:rsid w:val="00924E3F"/>
    <w:rsid w:val="009262C2"/>
    <w:rsid w:val="0092710B"/>
    <w:rsid w:val="009279A4"/>
    <w:rsid w:val="00927C2D"/>
    <w:rsid w:val="00930985"/>
    <w:rsid w:val="009310E2"/>
    <w:rsid w:val="0093136E"/>
    <w:rsid w:val="009333C7"/>
    <w:rsid w:val="00935399"/>
    <w:rsid w:val="00937F20"/>
    <w:rsid w:val="00940DD8"/>
    <w:rsid w:val="00941C55"/>
    <w:rsid w:val="00943423"/>
    <w:rsid w:val="00944403"/>
    <w:rsid w:val="0095537D"/>
    <w:rsid w:val="00957DE3"/>
    <w:rsid w:val="00957E6D"/>
    <w:rsid w:val="00963277"/>
    <w:rsid w:val="009645A1"/>
    <w:rsid w:val="0097133F"/>
    <w:rsid w:val="0097263C"/>
    <w:rsid w:val="009735AF"/>
    <w:rsid w:val="00973927"/>
    <w:rsid w:val="00981081"/>
    <w:rsid w:val="009820A3"/>
    <w:rsid w:val="00986431"/>
    <w:rsid w:val="00990563"/>
    <w:rsid w:val="009914AF"/>
    <w:rsid w:val="009916FA"/>
    <w:rsid w:val="00992BB4"/>
    <w:rsid w:val="0099311C"/>
    <w:rsid w:val="00993474"/>
    <w:rsid w:val="009937C8"/>
    <w:rsid w:val="00993A3B"/>
    <w:rsid w:val="009A232F"/>
    <w:rsid w:val="009A4480"/>
    <w:rsid w:val="009B2451"/>
    <w:rsid w:val="009B5F82"/>
    <w:rsid w:val="009B7D05"/>
    <w:rsid w:val="009D0163"/>
    <w:rsid w:val="009D0EF5"/>
    <w:rsid w:val="009D37B7"/>
    <w:rsid w:val="009D6849"/>
    <w:rsid w:val="009F1E7E"/>
    <w:rsid w:val="009F5B9C"/>
    <w:rsid w:val="009F61D5"/>
    <w:rsid w:val="00A00B1A"/>
    <w:rsid w:val="00A00D5C"/>
    <w:rsid w:val="00A00EFE"/>
    <w:rsid w:val="00A06F92"/>
    <w:rsid w:val="00A1069C"/>
    <w:rsid w:val="00A1138A"/>
    <w:rsid w:val="00A12F29"/>
    <w:rsid w:val="00A14697"/>
    <w:rsid w:val="00A17C8E"/>
    <w:rsid w:val="00A20227"/>
    <w:rsid w:val="00A235E1"/>
    <w:rsid w:val="00A2427F"/>
    <w:rsid w:val="00A25A93"/>
    <w:rsid w:val="00A26266"/>
    <w:rsid w:val="00A2764A"/>
    <w:rsid w:val="00A304F2"/>
    <w:rsid w:val="00A32137"/>
    <w:rsid w:val="00A33502"/>
    <w:rsid w:val="00A35E63"/>
    <w:rsid w:val="00A40D88"/>
    <w:rsid w:val="00A40EF3"/>
    <w:rsid w:val="00A425CF"/>
    <w:rsid w:val="00A4328E"/>
    <w:rsid w:val="00A46354"/>
    <w:rsid w:val="00A468CE"/>
    <w:rsid w:val="00A4785C"/>
    <w:rsid w:val="00A50ED0"/>
    <w:rsid w:val="00A51F87"/>
    <w:rsid w:val="00A53592"/>
    <w:rsid w:val="00A56390"/>
    <w:rsid w:val="00A56610"/>
    <w:rsid w:val="00A64610"/>
    <w:rsid w:val="00A724E2"/>
    <w:rsid w:val="00A72D2E"/>
    <w:rsid w:val="00A74D91"/>
    <w:rsid w:val="00A7763A"/>
    <w:rsid w:val="00A80DAC"/>
    <w:rsid w:val="00A810D8"/>
    <w:rsid w:val="00A8661F"/>
    <w:rsid w:val="00A868D7"/>
    <w:rsid w:val="00A90421"/>
    <w:rsid w:val="00A94D83"/>
    <w:rsid w:val="00A9509D"/>
    <w:rsid w:val="00A965DE"/>
    <w:rsid w:val="00A97275"/>
    <w:rsid w:val="00A97A82"/>
    <w:rsid w:val="00AA3152"/>
    <w:rsid w:val="00AB2AC7"/>
    <w:rsid w:val="00AB7A72"/>
    <w:rsid w:val="00AC0AFF"/>
    <w:rsid w:val="00AC1DD3"/>
    <w:rsid w:val="00AE0E69"/>
    <w:rsid w:val="00AE1C12"/>
    <w:rsid w:val="00AE6FE8"/>
    <w:rsid w:val="00AE7D3E"/>
    <w:rsid w:val="00B01EFD"/>
    <w:rsid w:val="00B02CA3"/>
    <w:rsid w:val="00B11E72"/>
    <w:rsid w:val="00B16007"/>
    <w:rsid w:val="00B23DBB"/>
    <w:rsid w:val="00B2481A"/>
    <w:rsid w:val="00B256C5"/>
    <w:rsid w:val="00B260C9"/>
    <w:rsid w:val="00B2624B"/>
    <w:rsid w:val="00B279C5"/>
    <w:rsid w:val="00B27A24"/>
    <w:rsid w:val="00B36378"/>
    <w:rsid w:val="00B37871"/>
    <w:rsid w:val="00B445FA"/>
    <w:rsid w:val="00B469B4"/>
    <w:rsid w:val="00B503F5"/>
    <w:rsid w:val="00B53ECD"/>
    <w:rsid w:val="00B54AC3"/>
    <w:rsid w:val="00B556C5"/>
    <w:rsid w:val="00B61D44"/>
    <w:rsid w:val="00B62A83"/>
    <w:rsid w:val="00B636CE"/>
    <w:rsid w:val="00B64DE1"/>
    <w:rsid w:val="00B6540A"/>
    <w:rsid w:val="00B671E0"/>
    <w:rsid w:val="00B72496"/>
    <w:rsid w:val="00B74BB6"/>
    <w:rsid w:val="00B77CFA"/>
    <w:rsid w:val="00B841BD"/>
    <w:rsid w:val="00B9145E"/>
    <w:rsid w:val="00B91E12"/>
    <w:rsid w:val="00B94EF4"/>
    <w:rsid w:val="00B97271"/>
    <w:rsid w:val="00B97A23"/>
    <w:rsid w:val="00BA0D2D"/>
    <w:rsid w:val="00BA2C53"/>
    <w:rsid w:val="00BA30F2"/>
    <w:rsid w:val="00BA7587"/>
    <w:rsid w:val="00BB1BC1"/>
    <w:rsid w:val="00BB4C56"/>
    <w:rsid w:val="00BB55B2"/>
    <w:rsid w:val="00BB62FF"/>
    <w:rsid w:val="00BB7792"/>
    <w:rsid w:val="00BC07F1"/>
    <w:rsid w:val="00BC27A0"/>
    <w:rsid w:val="00BC2E2C"/>
    <w:rsid w:val="00BC329B"/>
    <w:rsid w:val="00BC6286"/>
    <w:rsid w:val="00BC63BD"/>
    <w:rsid w:val="00BE18F8"/>
    <w:rsid w:val="00BE541E"/>
    <w:rsid w:val="00BE5B7A"/>
    <w:rsid w:val="00BF15EC"/>
    <w:rsid w:val="00BF6038"/>
    <w:rsid w:val="00BF70FD"/>
    <w:rsid w:val="00C023AC"/>
    <w:rsid w:val="00C02A29"/>
    <w:rsid w:val="00C05079"/>
    <w:rsid w:val="00C1167A"/>
    <w:rsid w:val="00C11BF0"/>
    <w:rsid w:val="00C17383"/>
    <w:rsid w:val="00C17D68"/>
    <w:rsid w:val="00C273B0"/>
    <w:rsid w:val="00C31C60"/>
    <w:rsid w:val="00C34799"/>
    <w:rsid w:val="00C3782E"/>
    <w:rsid w:val="00C470A1"/>
    <w:rsid w:val="00C47E3E"/>
    <w:rsid w:val="00C50A52"/>
    <w:rsid w:val="00C55B8C"/>
    <w:rsid w:val="00C57BCD"/>
    <w:rsid w:val="00C619D5"/>
    <w:rsid w:val="00C6602B"/>
    <w:rsid w:val="00C66CD6"/>
    <w:rsid w:val="00C70383"/>
    <w:rsid w:val="00C70CB1"/>
    <w:rsid w:val="00C72818"/>
    <w:rsid w:val="00C77004"/>
    <w:rsid w:val="00C87754"/>
    <w:rsid w:val="00C915B1"/>
    <w:rsid w:val="00C928B3"/>
    <w:rsid w:val="00C92B7D"/>
    <w:rsid w:val="00C976C3"/>
    <w:rsid w:val="00CA1663"/>
    <w:rsid w:val="00CA685A"/>
    <w:rsid w:val="00CA7478"/>
    <w:rsid w:val="00CB0FB3"/>
    <w:rsid w:val="00CB11A0"/>
    <w:rsid w:val="00CB2B4C"/>
    <w:rsid w:val="00CB376B"/>
    <w:rsid w:val="00CB5430"/>
    <w:rsid w:val="00CB6EA4"/>
    <w:rsid w:val="00CB711D"/>
    <w:rsid w:val="00CC0018"/>
    <w:rsid w:val="00CC444E"/>
    <w:rsid w:val="00CD493F"/>
    <w:rsid w:val="00CD6D43"/>
    <w:rsid w:val="00CE0565"/>
    <w:rsid w:val="00CE36F5"/>
    <w:rsid w:val="00CE413C"/>
    <w:rsid w:val="00CE4377"/>
    <w:rsid w:val="00CE724B"/>
    <w:rsid w:val="00CE7FBD"/>
    <w:rsid w:val="00CF3793"/>
    <w:rsid w:val="00CF3ED9"/>
    <w:rsid w:val="00CF5796"/>
    <w:rsid w:val="00D045A8"/>
    <w:rsid w:val="00D05022"/>
    <w:rsid w:val="00D0703B"/>
    <w:rsid w:val="00D07E73"/>
    <w:rsid w:val="00D10D0F"/>
    <w:rsid w:val="00D1753B"/>
    <w:rsid w:val="00D20249"/>
    <w:rsid w:val="00D2228E"/>
    <w:rsid w:val="00D232D6"/>
    <w:rsid w:val="00D234E4"/>
    <w:rsid w:val="00D25F31"/>
    <w:rsid w:val="00D268C4"/>
    <w:rsid w:val="00D33CE6"/>
    <w:rsid w:val="00D340E4"/>
    <w:rsid w:val="00D34946"/>
    <w:rsid w:val="00D37885"/>
    <w:rsid w:val="00D40031"/>
    <w:rsid w:val="00D410F7"/>
    <w:rsid w:val="00D41645"/>
    <w:rsid w:val="00D424F2"/>
    <w:rsid w:val="00D42DDD"/>
    <w:rsid w:val="00D4355F"/>
    <w:rsid w:val="00D43FA7"/>
    <w:rsid w:val="00D53432"/>
    <w:rsid w:val="00D601FE"/>
    <w:rsid w:val="00D60F29"/>
    <w:rsid w:val="00D613CE"/>
    <w:rsid w:val="00D613D3"/>
    <w:rsid w:val="00D61CAE"/>
    <w:rsid w:val="00D633C1"/>
    <w:rsid w:val="00D6526A"/>
    <w:rsid w:val="00D652BF"/>
    <w:rsid w:val="00D658E1"/>
    <w:rsid w:val="00D65EC5"/>
    <w:rsid w:val="00D6735E"/>
    <w:rsid w:val="00D70DCC"/>
    <w:rsid w:val="00D71AAE"/>
    <w:rsid w:val="00D7264E"/>
    <w:rsid w:val="00D8020C"/>
    <w:rsid w:val="00D82D7F"/>
    <w:rsid w:val="00D83883"/>
    <w:rsid w:val="00D84ABA"/>
    <w:rsid w:val="00D87A8B"/>
    <w:rsid w:val="00D87D80"/>
    <w:rsid w:val="00D93D7D"/>
    <w:rsid w:val="00D943B0"/>
    <w:rsid w:val="00D95FA3"/>
    <w:rsid w:val="00D96829"/>
    <w:rsid w:val="00D97ED8"/>
    <w:rsid w:val="00DA06F9"/>
    <w:rsid w:val="00DB1E3D"/>
    <w:rsid w:val="00DB40CC"/>
    <w:rsid w:val="00DB458D"/>
    <w:rsid w:val="00DB50AC"/>
    <w:rsid w:val="00DB54AF"/>
    <w:rsid w:val="00DB5E90"/>
    <w:rsid w:val="00DB61CB"/>
    <w:rsid w:val="00DC02B3"/>
    <w:rsid w:val="00DC0787"/>
    <w:rsid w:val="00DC2570"/>
    <w:rsid w:val="00DD1AA1"/>
    <w:rsid w:val="00DD47F1"/>
    <w:rsid w:val="00DE50EF"/>
    <w:rsid w:val="00DE666A"/>
    <w:rsid w:val="00DE736D"/>
    <w:rsid w:val="00DF16A3"/>
    <w:rsid w:val="00DF35F7"/>
    <w:rsid w:val="00DF5EB7"/>
    <w:rsid w:val="00E01361"/>
    <w:rsid w:val="00E0232B"/>
    <w:rsid w:val="00E03BEF"/>
    <w:rsid w:val="00E04901"/>
    <w:rsid w:val="00E0491D"/>
    <w:rsid w:val="00E06273"/>
    <w:rsid w:val="00E12DAE"/>
    <w:rsid w:val="00E2287C"/>
    <w:rsid w:val="00E3074E"/>
    <w:rsid w:val="00E31529"/>
    <w:rsid w:val="00E33D85"/>
    <w:rsid w:val="00E36480"/>
    <w:rsid w:val="00E45A2F"/>
    <w:rsid w:val="00E47EAC"/>
    <w:rsid w:val="00E5273A"/>
    <w:rsid w:val="00E53D58"/>
    <w:rsid w:val="00E56467"/>
    <w:rsid w:val="00E619AA"/>
    <w:rsid w:val="00E6376E"/>
    <w:rsid w:val="00E63CED"/>
    <w:rsid w:val="00E6521D"/>
    <w:rsid w:val="00E6671D"/>
    <w:rsid w:val="00E67C3C"/>
    <w:rsid w:val="00E7078F"/>
    <w:rsid w:val="00E73B4C"/>
    <w:rsid w:val="00E74B68"/>
    <w:rsid w:val="00E75547"/>
    <w:rsid w:val="00E803C2"/>
    <w:rsid w:val="00E80F23"/>
    <w:rsid w:val="00E810D3"/>
    <w:rsid w:val="00E81F94"/>
    <w:rsid w:val="00E81FE7"/>
    <w:rsid w:val="00E85F14"/>
    <w:rsid w:val="00E905FA"/>
    <w:rsid w:val="00E939BE"/>
    <w:rsid w:val="00E94F5C"/>
    <w:rsid w:val="00E96759"/>
    <w:rsid w:val="00EA2B25"/>
    <w:rsid w:val="00EA38B9"/>
    <w:rsid w:val="00EA3E61"/>
    <w:rsid w:val="00EA4C52"/>
    <w:rsid w:val="00EA582B"/>
    <w:rsid w:val="00EB09CB"/>
    <w:rsid w:val="00EB4136"/>
    <w:rsid w:val="00EB69A4"/>
    <w:rsid w:val="00EC0DBD"/>
    <w:rsid w:val="00EC28FB"/>
    <w:rsid w:val="00EC33E9"/>
    <w:rsid w:val="00EC3946"/>
    <w:rsid w:val="00EC3992"/>
    <w:rsid w:val="00EC5010"/>
    <w:rsid w:val="00EC5855"/>
    <w:rsid w:val="00ED5227"/>
    <w:rsid w:val="00EE0F0F"/>
    <w:rsid w:val="00EE72BF"/>
    <w:rsid w:val="00EF2693"/>
    <w:rsid w:val="00EF4375"/>
    <w:rsid w:val="00EF673E"/>
    <w:rsid w:val="00F01D94"/>
    <w:rsid w:val="00F02B7C"/>
    <w:rsid w:val="00F03500"/>
    <w:rsid w:val="00F059ED"/>
    <w:rsid w:val="00F06517"/>
    <w:rsid w:val="00F104A5"/>
    <w:rsid w:val="00F11B43"/>
    <w:rsid w:val="00F12A4C"/>
    <w:rsid w:val="00F12C83"/>
    <w:rsid w:val="00F166AB"/>
    <w:rsid w:val="00F2046E"/>
    <w:rsid w:val="00F209B6"/>
    <w:rsid w:val="00F230F8"/>
    <w:rsid w:val="00F249AE"/>
    <w:rsid w:val="00F272E4"/>
    <w:rsid w:val="00F32275"/>
    <w:rsid w:val="00F33E4D"/>
    <w:rsid w:val="00F367A2"/>
    <w:rsid w:val="00F40DE5"/>
    <w:rsid w:val="00F4152A"/>
    <w:rsid w:val="00F501D4"/>
    <w:rsid w:val="00F5181D"/>
    <w:rsid w:val="00F5618E"/>
    <w:rsid w:val="00F6231A"/>
    <w:rsid w:val="00F65644"/>
    <w:rsid w:val="00F72C93"/>
    <w:rsid w:val="00F72F5E"/>
    <w:rsid w:val="00F773D5"/>
    <w:rsid w:val="00F77F42"/>
    <w:rsid w:val="00F807B3"/>
    <w:rsid w:val="00F80E3A"/>
    <w:rsid w:val="00F81F9E"/>
    <w:rsid w:val="00F82CE9"/>
    <w:rsid w:val="00F83D9C"/>
    <w:rsid w:val="00F8634C"/>
    <w:rsid w:val="00F91C9E"/>
    <w:rsid w:val="00F933A7"/>
    <w:rsid w:val="00F96689"/>
    <w:rsid w:val="00F974E0"/>
    <w:rsid w:val="00F97A36"/>
    <w:rsid w:val="00FA77C0"/>
    <w:rsid w:val="00FB0278"/>
    <w:rsid w:val="00FB6A3E"/>
    <w:rsid w:val="00FB7F36"/>
    <w:rsid w:val="00FC1BA6"/>
    <w:rsid w:val="00FC306F"/>
    <w:rsid w:val="00FC6865"/>
    <w:rsid w:val="00FC72F7"/>
    <w:rsid w:val="00FD1885"/>
    <w:rsid w:val="00FD44D4"/>
    <w:rsid w:val="00FD6903"/>
    <w:rsid w:val="00FE2CDB"/>
    <w:rsid w:val="00FE3040"/>
    <w:rsid w:val="00FE51C8"/>
    <w:rsid w:val="00FF4ACD"/>
    <w:rsid w:val="00FF639F"/>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3113A-3AE6-4EAE-B6ED-EBC7940E1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2295</Words>
  <Characters>13546</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Klempířová Iveta</cp:lastModifiedBy>
  <cp:revision>2</cp:revision>
  <cp:lastPrinted>2019-05-31T14:10:00Z</cp:lastPrinted>
  <dcterms:created xsi:type="dcterms:W3CDTF">2019-07-04T13:01:00Z</dcterms:created>
  <dcterms:modified xsi:type="dcterms:W3CDTF">2019-07-04T13:01:00Z</dcterms:modified>
</cp:coreProperties>
</file>