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1B609E"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 xml:space="preserve">LISTOPAD </w:t>
      </w:r>
      <w:bookmarkStart w:id="0" w:name="_GoBack"/>
      <w:bookmarkEnd w:id="0"/>
      <w:r w:rsidR="00B445FA">
        <w:rPr>
          <w:rFonts w:ascii="Tahoma" w:hAnsi="Tahoma" w:cs="Tahoma"/>
          <w:b/>
          <w:color w:val="000000" w:themeColor="text1"/>
          <w:sz w:val="32"/>
          <w:szCs w:val="20"/>
        </w:rPr>
        <w:t>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616728" w:rsidRPr="001B609E" w:rsidRDefault="001B609E"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Vyhláška </w:t>
      </w:r>
      <w:r w:rsidRPr="001B609E">
        <w:rPr>
          <w:rFonts w:ascii="Tahoma" w:hAnsi="Tahoma" w:cs="Tahoma"/>
          <w:color w:val="000000" w:themeColor="text1"/>
          <w:sz w:val="20"/>
          <w:szCs w:val="20"/>
        </w:rPr>
        <w:t>č. 254/2018 Sb.</w:t>
      </w:r>
      <w:r>
        <w:rPr>
          <w:rFonts w:ascii="Tahoma" w:hAnsi="Tahoma" w:cs="Tahoma"/>
          <w:color w:val="000000" w:themeColor="text1"/>
          <w:sz w:val="20"/>
          <w:szCs w:val="20"/>
        </w:rPr>
        <w:t xml:space="preserve">, </w:t>
      </w:r>
      <w:r w:rsidRPr="001B609E">
        <w:rPr>
          <w:rFonts w:ascii="Tahoma" w:hAnsi="Tahoma" w:cs="Tahoma"/>
          <w:color w:val="000000" w:themeColor="text1"/>
          <w:sz w:val="20"/>
          <w:szCs w:val="20"/>
        </w:rPr>
        <w:t>o stanovení výše základních sazeb zahraničního stravného pro rok 2019</w:t>
      </w:r>
    </w:p>
    <w:p w:rsidR="002E0119" w:rsidRPr="000331FE" w:rsidRDefault="002E0119" w:rsidP="00616728">
      <w:pPr>
        <w:pStyle w:val="Bezmezer"/>
        <w:spacing w:line="360" w:lineRule="auto"/>
        <w:ind w:left="786"/>
        <w:jc w:val="both"/>
        <w:rPr>
          <w:rFonts w:ascii="Tahoma" w:hAnsi="Tahoma" w:cs="Tahoma"/>
          <w:color w:val="000000" w:themeColor="text1"/>
          <w:sz w:val="20"/>
          <w:szCs w:val="20"/>
        </w:rPr>
      </w:pPr>
    </w:p>
    <w:p w:rsidR="00661CF8" w:rsidRPr="0061672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2E0119" w:rsidRDefault="001B609E"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Nový zákon o zpracování osobních údajů</w:t>
      </w:r>
    </w:p>
    <w:p w:rsidR="001B609E" w:rsidRDefault="001B609E" w:rsidP="001311AC">
      <w:pPr>
        <w:pStyle w:val="Bezmezer"/>
        <w:spacing w:line="360" w:lineRule="auto"/>
        <w:jc w:val="both"/>
        <w:rPr>
          <w:rFonts w:ascii="Tahoma" w:hAnsi="Tahoma" w:cs="Tahoma"/>
          <w:b/>
          <w:color w:val="000000" w:themeColor="text1"/>
          <w:sz w:val="24"/>
          <w:szCs w:val="20"/>
        </w:rPr>
      </w:pPr>
    </w:p>
    <w:p w:rsidR="00661CF8" w:rsidRPr="00024EFD" w:rsidRDefault="00292D21" w:rsidP="001311A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B445FA" w:rsidRDefault="001B609E"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Označení nespolehlivého plátce</w:t>
      </w:r>
    </w:p>
    <w:p w:rsidR="001B609E" w:rsidRDefault="001B609E"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Náhrada za omezení užívání pozemku z důvodu zřízení veřejně prospěšné stavby</w:t>
      </w:r>
    </w:p>
    <w:p w:rsidR="001B609E" w:rsidRDefault="001B609E"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Náhrada za nesjednané vícepráce</w:t>
      </w:r>
    </w:p>
    <w:p w:rsidR="004F0300" w:rsidRDefault="004F0300"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Krácení variabilní složky mzdy</w:t>
      </w:r>
    </w:p>
    <w:p w:rsidR="000331FE" w:rsidRDefault="000331F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BC27A0" w:rsidRPr="00DB40CC" w:rsidRDefault="00BC27A0" w:rsidP="00636CC5">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Platné právní předpisy vyhlášené ve Sbírce zákonů</w:t>
      </w:r>
    </w:p>
    <w:p w:rsidR="009D37B7" w:rsidRPr="00A17C8E" w:rsidRDefault="009D37B7" w:rsidP="00A17C8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p>
    <w:p w:rsidR="00A17C8E" w:rsidRPr="00A17C8E" w:rsidRDefault="001B609E" w:rsidP="00A17C8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1B609E">
        <w:rPr>
          <w:rStyle w:val="Hypertextovodkaz"/>
          <w:rFonts w:ascii="Tahoma" w:eastAsia="Times New Roman" w:hAnsi="Tahoma" w:cs="Tahoma"/>
          <w:b/>
          <w:bCs/>
          <w:color w:val="000000" w:themeColor="text1"/>
          <w:kern w:val="36"/>
          <w:sz w:val="24"/>
          <w:u w:val="none"/>
          <w:lang w:eastAsia="cs-CZ"/>
        </w:rPr>
        <w:t>Vyhláška č. 254/2018 Sb., o stanovení výše základních sazeb zahraničního stravného pro rok 2019</w:t>
      </w:r>
    </w:p>
    <w:p w:rsidR="005C3F6A" w:rsidRDefault="00A17C8E" w:rsidP="00A17C8E">
      <w:pPr>
        <w:pStyle w:val="Bezmezer"/>
        <w:jc w:val="right"/>
        <w:rPr>
          <w:rFonts w:ascii="Tahoma" w:hAnsi="Tahoma" w:cs="Tahoma"/>
          <w:sz w:val="20"/>
          <w:szCs w:val="20"/>
        </w:rPr>
      </w:pPr>
      <w:r>
        <w:rPr>
          <w:rFonts w:ascii="Tahoma" w:hAnsi="Tahoma" w:cs="Tahoma"/>
          <w:sz w:val="20"/>
          <w:szCs w:val="20"/>
        </w:rPr>
        <w:t xml:space="preserve">Účinnost od </w:t>
      </w:r>
      <w:r w:rsidR="001B609E">
        <w:rPr>
          <w:rFonts w:ascii="Tahoma" w:hAnsi="Tahoma" w:cs="Tahoma"/>
          <w:sz w:val="20"/>
          <w:szCs w:val="20"/>
        </w:rPr>
        <w:t>1. 1. 2019</w:t>
      </w:r>
    </w:p>
    <w:p w:rsidR="00A17C8E" w:rsidRDefault="00A17C8E" w:rsidP="00A17C8E">
      <w:pPr>
        <w:pStyle w:val="Bezmezer"/>
        <w:jc w:val="right"/>
        <w:rPr>
          <w:rFonts w:ascii="Tahoma" w:hAnsi="Tahoma" w:cs="Tahoma"/>
          <w:sz w:val="20"/>
          <w:szCs w:val="20"/>
        </w:rPr>
      </w:pPr>
    </w:p>
    <w:p w:rsidR="001B609E" w:rsidRPr="001F16D1" w:rsidRDefault="001B609E" w:rsidP="008230B0">
      <w:pPr>
        <w:pStyle w:val="Bezmezer"/>
        <w:jc w:val="both"/>
        <w:rPr>
          <w:rStyle w:val="Hypertextovodkaz"/>
          <w:rFonts w:ascii="Tahoma" w:eastAsia="Times New Roman" w:hAnsi="Tahoma" w:cs="Tahoma"/>
          <w:bCs/>
          <w:color w:val="000000" w:themeColor="text1"/>
          <w:kern w:val="36"/>
          <w:sz w:val="20"/>
          <w:szCs w:val="20"/>
          <w:u w:val="none"/>
          <w:lang w:eastAsia="cs-CZ"/>
        </w:rPr>
      </w:pPr>
      <w:r w:rsidRPr="001F16D1">
        <w:rPr>
          <w:rStyle w:val="Hypertextovodkaz"/>
          <w:rFonts w:ascii="Tahoma" w:eastAsia="Times New Roman" w:hAnsi="Tahoma" w:cs="Tahoma"/>
          <w:bCs/>
          <w:color w:val="000000" w:themeColor="text1"/>
          <w:kern w:val="36"/>
          <w:sz w:val="20"/>
          <w:szCs w:val="20"/>
          <w:u w:val="none"/>
          <w:lang w:eastAsia="cs-CZ"/>
        </w:rPr>
        <w:t xml:space="preserve">Dne 9. 11. 2018 byla ve sbírce zákonů publikována </w:t>
      </w:r>
      <w:r w:rsidR="00F02B7C" w:rsidRPr="001F16D1">
        <w:rPr>
          <w:rStyle w:val="Hypertextovodkaz"/>
          <w:rFonts w:ascii="Tahoma" w:eastAsia="Times New Roman" w:hAnsi="Tahoma" w:cs="Tahoma"/>
          <w:bCs/>
          <w:color w:val="000000" w:themeColor="text1"/>
          <w:kern w:val="36"/>
          <w:sz w:val="20"/>
          <w:szCs w:val="20"/>
          <w:u w:val="none"/>
          <w:lang w:eastAsia="cs-CZ"/>
        </w:rPr>
        <w:t>na základě § 189 odst. 4 zákona</w:t>
      </w:r>
      <w:r w:rsidR="00017AE6">
        <w:rPr>
          <w:rStyle w:val="Hypertextovodkaz"/>
          <w:rFonts w:ascii="Tahoma" w:eastAsia="Times New Roman" w:hAnsi="Tahoma" w:cs="Tahoma"/>
          <w:bCs/>
          <w:color w:val="000000" w:themeColor="text1"/>
          <w:kern w:val="36"/>
          <w:sz w:val="20"/>
          <w:szCs w:val="20"/>
          <w:u w:val="none"/>
          <w:lang w:eastAsia="cs-CZ"/>
        </w:rPr>
        <w:t xml:space="preserve"> č. 262/2006 Sb., zákoník práce</w:t>
      </w:r>
      <w:r w:rsidR="00F02B7C" w:rsidRPr="001F16D1">
        <w:rPr>
          <w:rStyle w:val="Hypertextovodkaz"/>
          <w:rFonts w:ascii="Tahoma" w:eastAsia="Times New Roman" w:hAnsi="Tahoma" w:cs="Tahoma"/>
          <w:bCs/>
          <w:color w:val="000000" w:themeColor="text1"/>
          <w:kern w:val="36"/>
          <w:sz w:val="20"/>
          <w:szCs w:val="20"/>
          <w:u w:val="none"/>
          <w:lang w:eastAsia="cs-CZ"/>
        </w:rPr>
        <w:t xml:space="preserve"> </w:t>
      </w:r>
      <w:r w:rsidRPr="001F16D1">
        <w:rPr>
          <w:rStyle w:val="Hypertextovodkaz"/>
          <w:rFonts w:ascii="Tahoma" w:eastAsia="Times New Roman" w:hAnsi="Tahoma" w:cs="Tahoma"/>
          <w:bCs/>
          <w:color w:val="000000" w:themeColor="text1"/>
          <w:kern w:val="36"/>
          <w:sz w:val="20"/>
          <w:szCs w:val="20"/>
          <w:u w:val="none"/>
          <w:lang w:eastAsia="cs-CZ"/>
        </w:rPr>
        <w:t>nov</w:t>
      </w:r>
      <w:r w:rsidR="00F02B7C" w:rsidRPr="001F16D1">
        <w:rPr>
          <w:rStyle w:val="Hypertextovodkaz"/>
          <w:rFonts w:ascii="Tahoma" w:eastAsia="Times New Roman" w:hAnsi="Tahoma" w:cs="Tahoma"/>
          <w:bCs/>
          <w:color w:val="000000" w:themeColor="text1"/>
          <w:kern w:val="36"/>
          <w:sz w:val="20"/>
          <w:szCs w:val="20"/>
          <w:u w:val="none"/>
          <w:lang w:eastAsia="cs-CZ"/>
        </w:rPr>
        <w:t>á</w:t>
      </w:r>
      <w:r w:rsidRPr="001F16D1">
        <w:rPr>
          <w:rStyle w:val="Hypertextovodkaz"/>
          <w:rFonts w:ascii="Tahoma" w:eastAsia="Times New Roman" w:hAnsi="Tahoma" w:cs="Tahoma"/>
          <w:bCs/>
          <w:color w:val="000000" w:themeColor="text1"/>
          <w:kern w:val="36"/>
          <w:sz w:val="20"/>
          <w:szCs w:val="20"/>
          <w:u w:val="none"/>
          <w:lang w:eastAsia="cs-CZ"/>
        </w:rPr>
        <w:t xml:space="preserve"> vyhláška </w:t>
      </w:r>
      <w:r w:rsidR="00F02B7C" w:rsidRPr="001F16D1">
        <w:rPr>
          <w:rStyle w:val="Hypertextovodkaz"/>
          <w:rFonts w:ascii="Tahoma" w:eastAsia="Times New Roman" w:hAnsi="Tahoma" w:cs="Tahoma"/>
          <w:bCs/>
          <w:color w:val="000000" w:themeColor="text1"/>
          <w:kern w:val="36"/>
          <w:sz w:val="20"/>
          <w:szCs w:val="20"/>
          <w:u w:val="none"/>
          <w:lang w:eastAsia="cs-CZ"/>
        </w:rPr>
        <w:t xml:space="preserve">Ministerstva financí </w:t>
      </w:r>
      <w:r w:rsidRPr="001F16D1">
        <w:rPr>
          <w:rStyle w:val="Hypertextovodkaz"/>
          <w:rFonts w:ascii="Tahoma" w:eastAsia="Times New Roman" w:hAnsi="Tahoma" w:cs="Tahoma"/>
          <w:bCs/>
          <w:color w:val="000000" w:themeColor="text1"/>
          <w:kern w:val="36"/>
          <w:sz w:val="20"/>
          <w:szCs w:val="20"/>
          <w:u w:val="none"/>
          <w:lang w:eastAsia="cs-CZ"/>
        </w:rPr>
        <w:t xml:space="preserve">pro stanovení výše základních sazeb stravného na rok 2019. Nové základní sazby jsou uvedeny </w:t>
      </w:r>
      <w:r w:rsidR="00F02B7C" w:rsidRPr="001F16D1">
        <w:rPr>
          <w:rStyle w:val="Hypertextovodkaz"/>
          <w:rFonts w:ascii="Tahoma" w:eastAsia="Times New Roman" w:hAnsi="Tahoma" w:cs="Tahoma"/>
          <w:bCs/>
          <w:color w:val="000000" w:themeColor="text1"/>
          <w:kern w:val="36"/>
          <w:sz w:val="20"/>
          <w:szCs w:val="20"/>
          <w:u w:val="none"/>
          <w:lang w:eastAsia="cs-CZ"/>
        </w:rPr>
        <w:t xml:space="preserve">v příloze této vyhlášky. </w:t>
      </w:r>
    </w:p>
    <w:p w:rsidR="001B609E" w:rsidRPr="001F16D1" w:rsidRDefault="001B609E" w:rsidP="008230B0">
      <w:pPr>
        <w:pStyle w:val="Bezmezer"/>
        <w:jc w:val="both"/>
        <w:rPr>
          <w:rStyle w:val="Hypertextovodkaz"/>
          <w:rFonts w:ascii="Tahoma" w:eastAsia="Times New Roman" w:hAnsi="Tahoma" w:cs="Tahoma"/>
          <w:bCs/>
          <w:color w:val="000000" w:themeColor="text1"/>
          <w:kern w:val="36"/>
          <w:sz w:val="20"/>
          <w:szCs w:val="20"/>
          <w:u w:val="none"/>
          <w:lang w:eastAsia="cs-CZ"/>
        </w:rPr>
      </w:pPr>
    </w:p>
    <w:p w:rsidR="008230B0" w:rsidRPr="001F16D1" w:rsidRDefault="00F02B7C" w:rsidP="008230B0">
      <w:pPr>
        <w:pStyle w:val="Bezmezer"/>
        <w:jc w:val="both"/>
        <w:rPr>
          <w:rStyle w:val="Hypertextovodkaz"/>
          <w:rFonts w:ascii="Tahoma" w:eastAsia="Times New Roman" w:hAnsi="Tahoma" w:cs="Tahoma"/>
          <w:bCs/>
          <w:color w:val="000000" w:themeColor="text1"/>
          <w:kern w:val="36"/>
          <w:sz w:val="20"/>
          <w:szCs w:val="20"/>
          <w:u w:val="none"/>
          <w:lang w:eastAsia="cs-CZ"/>
        </w:rPr>
      </w:pPr>
      <w:r w:rsidRPr="001F16D1">
        <w:rPr>
          <w:rStyle w:val="Hypertextovodkaz"/>
          <w:rFonts w:ascii="Tahoma" w:eastAsia="Times New Roman" w:hAnsi="Tahoma" w:cs="Tahoma"/>
          <w:bCs/>
          <w:color w:val="000000" w:themeColor="text1"/>
          <w:kern w:val="36"/>
          <w:sz w:val="20"/>
          <w:szCs w:val="20"/>
          <w:u w:val="none"/>
          <w:lang w:eastAsia="cs-CZ"/>
        </w:rPr>
        <w:t>Nová vyhláška zrušuje původní vyhlášku</w:t>
      </w:r>
      <w:r w:rsidR="001B609E" w:rsidRPr="001F16D1">
        <w:rPr>
          <w:rStyle w:val="Hypertextovodkaz"/>
          <w:rFonts w:ascii="Tahoma" w:eastAsia="Times New Roman" w:hAnsi="Tahoma" w:cs="Tahoma"/>
          <w:bCs/>
          <w:color w:val="000000" w:themeColor="text1"/>
          <w:kern w:val="36"/>
          <w:sz w:val="20"/>
          <w:szCs w:val="20"/>
          <w:u w:val="none"/>
          <w:lang w:eastAsia="cs-CZ"/>
        </w:rPr>
        <w:t xml:space="preserve"> č. 401/2017 Sb.</w:t>
      </w:r>
    </w:p>
    <w:p w:rsidR="00F02B7C" w:rsidRDefault="00F02B7C" w:rsidP="008230B0">
      <w:pPr>
        <w:pStyle w:val="Bezmezer"/>
        <w:jc w:val="both"/>
        <w:rPr>
          <w:rFonts w:ascii="Tahoma" w:hAnsi="Tahoma" w:cs="Tahoma"/>
          <w:sz w:val="20"/>
          <w:szCs w:val="20"/>
        </w:rPr>
      </w:pPr>
    </w:p>
    <w:p w:rsidR="008230B0" w:rsidRDefault="008230B0" w:rsidP="008230B0">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F02B7C">
        <w:rPr>
          <w:rStyle w:val="Hypertextovodkaz"/>
          <w:rFonts w:ascii="Tahoma" w:eastAsia="Times New Roman" w:hAnsi="Tahoma" w:cs="Tahoma"/>
          <w:bCs/>
          <w:i/>
          <w:color w:val="000000" w:themeColor="text1"/>
          <w:kern w:val="36"/>
          <w:sz w:val="20"/>
          <w:szCs w:val="20"/>
          <w:u w:val="none"/>
          <w:lang w:eastAsia="cs-CZ"/>
        </w:rPr>
        <w:t>Vyhláška bude postoupena odboru řízení lidských zdrojů k aplikaci pro rok 2019.</w:t>
      </w:r>
    </w:p>
    <w:p w:rsidR="00A17C8E" w:rsidRDefault="00A17C8E" w:rsidP="0099311C">
      <w:pPr>
        <w:pStyle w:val="Bezmezer"/>
        <w:jc w:val="both"/>
        <w:rPr>
          <w:rFonts w:ascii="Tahoma" w:hAnsi="Tahoma" w:cs="Tahoma"/>
          <w:sz w:val="20"/>
          <w:szCs w:val="20"/>
        </w:rPr>
      </w:pPr>
    </w:p>
    <w:p w:rsidR="00F02B7C" w:rsidRDefault="00F02B7C" w:rsidP="0099311C">
      <w:pPr>
        <w:pStyle w:val="Bezmezer"/>
        <w:jc w:val="both"/>
        <w:rPr>
          <w:rFonts w:ascii="Tahoma" w:hAnsi="Tahoma" w:cs="Tahoma"/>
          <w:sz w:val="20"/>
          <w:szCs w:val="20"/>
        </w:rPr>
      </w:pPr>
    </w:p>
    <w:p w:rsidR="001F16D1" w:rsidRDefault="001F16D1" w:rsidP="0099311C">
      <w:pPr>
        <w:pStyle w:val="Bezmezer"/>
        <w:jc w:val="both"/>
        <w:rPr>
          <w:rFonts w:ascii="Tahoma" w:hAnsi="Tahoma" w:cs="Tahoma"/>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CE7FBD" w:rsidRPr="002B11D7" w:rsidRDefault="00F02B7C" w:rsidP="004549D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Nový zákon o zpracování osobních údajů</w:t>
      </w:r>
    </w:p>
    <w:p w:rsidR="0099311C" w:rsidRDefault="003D1358"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míří do Senátu</w:t>
      </w:r>
    </w:p>
    <w:p w:rsidR="00790364" w:rsidRDefault="00A40EF3"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138</w:t>
      </w:r>
    </w:p>
    <w:p w:rsidR="00A32137" w:rsidRDefault="00A32137"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A40EF3" w:rsidRPr="00A40EF3" w:rsidRDefault="00636CC5" w:rsidP="00A40EF3">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Poslanecká sněmovna dne </w:t>
      </w:r>
      <w:r w:rsidR="00A40EF3">
        <w:rPr>
          <w:rStyle w:val="Hypertextovodkaz"/>
          <w:rFonts w:ascii="Tahoma" w:eastAsia="Times New Roman" w:hAnsi="Tahoma" w:cs="Tahoma"/>
          <w:bCs/>
          <w:color w:val="000000" w:themeColor="text1"/>
          <w:kern w:val="36"/>
          <w:sz w:val="20"/>
          <w:szCs w:val="20"/>
          <w:u w:val="none"/>
          <w:lang w:eastAsia="cs-CZ"/>
        </w:rPr>
        <w:t>5. 12</w:t>
      </w:r>
      <w:r>
        <w:rPr>
          <w:rStyle w:val="Hypertextovodkaz"/>
          <w:rFonts w:ascii="Tahoma" w:eastAsia="Times New Roman" w:hAnsi="Tahoma" w:cs="Tahoma"/>
          <w:bCs/>
          <w:color w:val="000000" w:themeColor="text1"/>
          <w:kern w:val="36"/>
          <w:sz w:val="20"/>
          <w:szCs w:val="20"/>
          <w:u w:val="none"/>
          <w:lang w:eastAsia="cs-CZ"/>
        </w:rPr>
        <w:t xml:space="preserve">. 2018 ve třetím čtení schválila návrh </w:t>
      </w:r>
      <w:r w:rsidR="00A40EF3">
        <w:rPr>
          <w:rStyle w:val="Hypertextovodkaz"/>
          <w:rFonts w:ascii="Tahoma" w:eastAsia="Times New Roman" w:hAnsi="Tahoma" w:cs="Tahoma"/>
          <w:bCs/>
          <w:color w:val="000000" w:themeColor="text1"/>
          <w:kern w:val="36"/>
          <w:sz w:val="20"/>
          <w:szCs w:val="20"/>
          <w:u w:val="none"/>
          <w:lang w:eastAsia="cs-CZ"/>
        </w:rPr>
        <w:t xml:space="preserve">nového zákona o zpracování osobních údajů. </w:t>
      </w:r>
      <w:r w:rsidR="00A40EF3" w:rsidRPr="00A40EF3">
        <w:rPr>
          <w:rStyle w:val="Hypertextovodkaz"/>
          <w:rFonts w:ascii="Tahoma" w:eastAsia="Times New Roman" w:hAnsi="Tahoma" w:cs="Tahoma"/>
          <w:bCs/>
          <w:color w:val="000000" w:themeColor="text1"/>
          <w:kern w:val="36"/>
          <w:sz w:val="20"/>
          <w:szCs w:val="20"/>
          <w:u w:val="none"/>
          <w:lang w:eastAsia="cs-CZ"/>
        </w:rPr>
        <w:t xml:space="preserve">Do českého právního řádu tak implementuje evropské Obecné nařízení k ochraně osobních údajů (GDPR). </w:t>
      </w:r>
    </w:p>
    <w:p w:rsidR="00A40EF3" w:rsidRPr="00A40EF3" w:rsidRDefault="00A40EF3" w:rsidP="00A40EF3">
      <w:pPr>
        <w:pStyle w:val="Bezmezer"/>
        <w:jc w:val="both"/>
        <w:rPr>
          <w:rStyle w:val="Hypertextovodkaz"/>
          <w:rFonts w:ascii="Tahoma" w:eastAsia="Times New Roman" w:hAnsi="Tahoma" w:cs="Tahoma"/>
          <w:bCs/>
          <w:color w:val="000000" w:themeColor="text1"/>
          <w:kern w:val="36"/>
          <w:sz w:val="20"/>
          <w:szCs w:val="20"/>
          <w:u w:val="none"/>
          <w:lang w:eastAsia="cs-CZ"/>
        </w:rPr>
      </w:pPr>
    </w:p>
    <w:p w:rsidR="00A40EF3" w:rsidRPr="00A40EF3" w:rsidRDefault="00A40EF3" w:rsidP="00A40EF3">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Nový zákon s</w:t>
      </w:r>
      <w:r w:rsidRPr="00A40EF3">
        <w:rPr>
          <w:rStyle w:val="Hypertextovodkaz"/>
          <w:rFonts w:ascii="Tahoma" w:eastAsia="Times New Roman" w:hAnsi="Tahoma" w:cs="Tahoma"/>
          <w:bCs/>
          <w:color w:val="000000" w:themeColor="text1"/>
          <w:kern w:val="36"/>
          <w:sz w:val="20"/>
          <w:szCs w:val="20"/>
          <w:u w:val="none"/>
          <w:lang w:eastAsia="cs-CZ"/>
        </w:rPr>
        <w:t>tanoví například postavení Úřadu pro ochranu osobních údajů nebo výjimky z GDPR. Dosavadní zákon o ochraně osobních údajů se zruší. Kromě adaptace GDPR zákon provede i trestněprávní směrnici, která upravuje zpracování osobních údajů justičními a policejními orgány.</w:t>
      </w:r>
    </w:p>
    <w:p w:rsidR="00A40EF3" w:rsidRPr="00A40EF3" w:rsidRDefault="00A40EF3" w:rsidP="00A40EF3">
      <w:pPr>
        <w:pStyle w:val="Bezmezer"/>
        <w:jc w:val="both"/>
        <w:rPr>
          <w:rStyle w:val="Hypertextovodkaz"/>
          <w:rFonts w:ascii="Tahoma" w:eastAsia="Times New Roman" w:hAnsi="Tahoma" w:cs="Tahoma"/>
          <w:bCs/>
          <w:color w:val="000000" w:themeColor="text1"/>
          <w:kern w:val="36"/>
          <w:sz w:val="20"/>
          <w:szCs w:val="20"/>
          <w:u w:val="none"/>
          <w:lang w:eastAsia="cs-CZ"/>
        </w:rPr>
      </w:pPr>
    </w:p>
    <w:p w:rsidR="00A40EF3" w:rsidRDefault="00A40EF3" w:rsidP="00A40EF3">
      <w:pPr>
        <w:pStyle w:val="Bezmezer"/>
        <w:jc w:val="both"/>
        <w:rPr>
          <w:rStyle w:val="Hypertextovodkaz"/>
          <w:rFonts w:ascii="Tahoma" w:eastAsia="Times New Roman" w:hAnsi="Tahoma" w:cs="Tahoma"/>
          <w:bCs/>
          <w:color w:val="000000" w:themeColor="text1"/>
          <w:kern w:val="36"/>
          <w:sz w:val="20"/>
          <w:szCs w:val="20"/>
          <w:u w:val="none"/>
          <w:lang w:eastAsia="cs-CZ"/>
        </w:rPr>
      </w:pPr>
      <w:r w:rsidRPr="00A40EF3">
        <w:rPr>
          <w:rStyle w:val="Hypertextovodkaz"/>
          <w:rFonts w:ascii="Tahoma" w:eastAsia="Times New Roman" w:hAnsi="Tahoma" w:cs="Tahoma"/>
          <w:bCs/>
          <w:color w:val="000000" w:themeColor="text1"/>
          <w:kern w:val="36"/>
          <w:sz w:val="20"/>
          <w:szCs w:val="20"/>
          <w:u w:val="none"/>
          <w:lang w:eastAsia="cs-CZ"/>
        </w:rPr>
        <w:t xml:space="preserve">Návrh zákona </w:t>
      </w:r>
      <w:r w:rsidR="00017AE6">
        <w:rPr>
          <w:rStyle w:val="Hypertextovodkaz"/>
          <w:rFonts w:ascii="Tahoma" w:eastAsia="Times New Roman" w:hAnsi="Tahoma" w:cs="Tahoma"/>
          <w:bCs/>
          <w:color w:val="000000" w:themeColor="text1"/>
          <w:kern w:val="36"/>
          <w:sz w:val="20"/>
          <w:szCs w:val="20"/>
          <w:u w:val="none"/>
          <w:lang w:eastAsia="cs-CZ"/>
        </w:rPr>
        <w:t>zakotvuje některé</w:t>
      </w:r>
      <w:r w:rsidRPr="00A40EF3">
        <w:rPr>
          <w:rStyle w:val="Hypertextovodkaz"/>
          <w:rFonts w:ascii="Tahoma" w:eastAsia="Times New Roman" w:hAnsi="Tahoma" w:cs="Tahoma"/>
          <w:bCs/>
          <w:color w:val="000000" w:themeColor="text1"/>
          <w:kern w:val="36"/>
          <w:sz w:val="20"/>
          <w:szCs w:val="20"/>
          <w:u w:val="none"/>
          <w:lang w:eastAsia="cs-CZ"/>
        </w:rPr>
        <w:t xml:space="preserve"> výjimk</w:t>
      </w:r>
      <w:r w:rsidR="00017AE6">
        <w:rPr>
          <w:rStyle w:val="Hypertextovodkaz"/>
          <w:rFonts w:ascii="Tahoma" w:eastAsia="Times New Roman" w:hAnsi="Tahoma" w:cs="Tahoma"/>
          <w:bCs/>
          <w:color w:val="000000" w:themeColor="text1"/>
          <w:kern w:val="36"/>
          <w:sz w:val="20"/>
          <w:szCs w:val="20"/>
          <w:u w:val="none"/>
          <w:lang w:eastAsia="cs-CZ"/>
        </w:rPr>
        <w:t>y z obecné úpravy</w:t>
      </w:r>
      <w:r w:rsidRPr="00A40EF3">
        <w:rPr>
          <w:rStyle w:val="Hypertextovodkaz"/>
          <w:rFonts w:ascii="Tahoma" w:eastAsia="Times New Roman" w:hAnsi="Tahoma" w:cs="Tahoma"/>
          <w:bCs/>
          <w:color w:val="000000" w:themeColor="text1"/>
          <w:kern w:val="36"/>
          <w:sz w:val="20"/>
          <w:szCs w:val="20"/>
          <w:u w:val="none"/>
          <w:lang w:eastAsia="cs-CZ"/>
        </w:rPr>
        <w:t>, které GDPR členským státům umožňuje.</w:t>
      </w:r>
    </w:p>
    <w:p w:rsidR="00A40EF3" w:rsidRDefault="00A40EF3" w:rsidP="00A40EF3">
      <w:pPr>
        <w:pStyle w:val="Bezmezer"/>
        <w:jc w:val="both"/>
        <w:rPr>
          <w:rStyle w:val="Hypertextovodkaz"/>
          <w:rFonts w:ascii="Tahoma" w:eastAsia="Times New Roman" w:hAnsi="Tahoma" w:cs="Tahoma"/>
          <w:bCs/>
          <w:color w:val="000000" w:themeColor="text1"/>
          <w:kern w:val="36"/>
          <w:sz w:val="20"/>
          <w:szCs w:val="20"/>
          <w:u w:val="none"/>
          <w:lang w:eastAsia="cs-CZ"/>
        </w:rPr>
      </w:pPr>
    </w:p>
    <w:p w:rsidR="00636CC5" w:rsidRDefault="00A40EF3" w:rsidP="00A40EF3">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Aktuálně probíhá z</w:t>
      </w:r>
      <w:r w:rsidRPr="00A40EF3">
        <w:rPr>
          <w:rStyle w:val="Hypertextovodkaz"/>
          <w:rFonts w:ascii="Tahoma" w:eastAsia="Times New Roman" w:hAnsi="Tahoma" w:cs="Tahoma"/>
          <w:bCs/>
          <w:color w:val="000000" w:themeColor="text1"/>
          <w:kern w:val="36"/>
          <w:sz w:val="20"/>
          <w:szCs w:val="20"/>
          <w:u w:val="none"/>
          <w:lang w:eastAsia="cs-CZ"/>
        </w:rPr>
        <w:t xml:space="preserve">apracovávání pozměňovacích návrhů přijatých ve 3. </w:t>
      </w:r>
      <w:r>
        <w:rPr>
          <w:rStyle w:val="Hypertextovodkaz"/>
          <w:rFonts w:ascii="Tahoma" w:eastAsia="Times New Roman" w:hAnsi="Tahoma" w:cs="Tahoma"/>
          <w:bCs/>
          <w:color w:val="000000" w:themeColor="text1"/>
          <w:kern w:val="36"/>
          <w:sz w:val="20"/>
          <w:szCs w:val="20"/>
          <w:u w:val="none"/>
          <w:lang w:eastAsia="cs-CZ"/>
        </w:rPr>
        <w:t>čtení. Následně bude nový zákon postoupen</w:t>
      </w:r>
      <w:r w:rsidR="00636CC5" w:rsidRPr="00636CC5">
        <w:rPr>
          <w:rStyle w:val="Hypertextovodkaz"/>
          <w:rFonts w:ascii="Tahoma" w:eastAsia="Times New Roman" w:hAnsi="Tahoma" w:cs="Tahoma"/>
          <w:bCs/>
          <w:color w:val="000000" w:themeColor="text1"/>
          <w:kern w:val="36"/>
          <w:sz w:val="20"/>
          <w:szCs w:val="20"/>
          <w:u w:val="none"/>
          <w:lang w:eastAsia="cs-CZ"/>
        </w:rPr>
        <w:t xml:space="preserve"> Senát</w:t>
      </w:r>
      <w:r w:rsidR="00636CC5">
        <w:rPr>
          <w:rStyle w:val="Hypertextovodkaz"/>
          <w:rFonts w:ascii="Tahoma" w:eastAsia="Times New Roman" w:hAnsi="Tahoma" w:cs="Tahoma"/>
          <w:bCs/>
          <w:color w:val="000000" w:themeColor="text1"/>
          <w:kern w:val="36"/>
          <w:sz w:val="20"/>
          <w:szCs w:val="20"/>
          <w:u w:val="none"/>
          <w:lang w:eastAsia="cs-CZ"/>
        </w:rPr>
        <w:t>u</w:t>
      </w:r>
      <w:r>
        <w:rPr>
          <w:rStyle w:val="Hypertextovodkaz"/>
          <w:rFonts w:ascii="Tahoma" w:eastAsia="Times New Roman" w:hAnsi="Tahoma" w:cs="Tahoma"/>
          <w:bCs/>
          <w:color w:val="000000" w:themeColor="text1"/>
          <w:kern w:val="36"/>
          <w:sz w:val="20"/>
          <w:szCs w:val="20"/>
          <w:u w:val="none"/>
          <w:lang w:eastAsia="cs-CZ"/>
        </w:rPr>
        <w:t>.</w:t>
      </w:r>
    </w:p>
    <w:p w:rsidR="00A40EF3" w:rsidRDefault="00A40EF3" w:rsidP="00A40EF3">
      <w:pPr>
        <w:pStyle w:val="Bezmezer"/>
        <w:jc w:val="both"/>
        <w:rPr>
          <w:rStyle w:val="Hypertextovodkaz"/>
          <w:rFonts w:ascii="Tahoma" w:eastAsia="Times New Roman" w:hAnsi="Tahoma" w:cs="Tahoma"/>
          <w:bCs/>
          <w:color w:val="000000" w:themeColor="text1"/>
          <w:kern w:val="36"/>
          <w:sz w:val="20"/>
          <w:szCs w:val="20"/>
          <w:u w:val="none"/>
          <w:lang w:eastAsia="cs-CZ"/>
        </w:rPr>
      </w:pPr>
    </w:p>
    <w:p w:rsidR="00636CC5" w:rsidRDefault="00636CC5"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B555E" w:rsidRDefault="004B555E" w:rsidP="004549D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Pr="00384022" w:rsidRDefault="00384022" w:rsidP="0038402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2D1507">
        <w:rPr>
          <w:rStyle w:val="Hypertextovodkaz"/>
          <w:rFonts w:ascii="Tahoma" w:eastAsia="Times New Roman" w:hAnsi="Tahoma" w:cs="Tahoma"/>
          <w:bCs/>
          <w:i/>
          <w:color w:val="000000" w:themeColor="text1"/>
          <w:kern w:val="36"/>
          <w:sz w:val="20"/>
          <w:szCs w:val="20"/>
          <w:u w:val="none"/>
          <w:lang w:eastAsia="cs-CZ"/>
        </w:rPr>
        <w:t xml:space="preserve">OPS </w:t>
      </w:r>
      <w:r w:rsidR="00A40EF3">
        <w:rPr>
          <w:rStyle w:val="Hypertextovodkaz"/>
          <w:rFonts w:ascii="Tahoma" w:eastAsia="Times New Roman" w:hAnsi="Tahoma" w:cs="Tahoma"/>
          <w:bCs/>
          <w:i/>
          <w:color w:val="000000" w:themeColor="text1"/>
          <w:kern w:val="36"/>
          <w:sz w:val="20"/>
          <w:szCs w:val="20"/>
          <w:u w:val="none"/>
          <w:lang w:eastAsia="cs-CZ"/>
        </w:rPr>
        <w:t>provede po zapracování pozměňovacích návrhů přijatých ve 3. čtení podrobnou analýzu zákona</w:t>
      </w:r>
      <w:r w:rsidR="002D1507">
        <w:rPr>
          <w:rStyle w:val="Hypertextovodkaz"/>
          <w:rFonts w:ascii="Tahoma" w:eastAsia="Times New Roman" w:hAnsi="Tahoma" w:cs="Tahoma"/>
          <w:bCs/>
          <w:i/>
          <w:color w:val="000000" w:themeColor="text1"/>
          <w:kern w:val="36"/>
          <w:sz w:val="20"/>
          <w:szCs w:val="20"/>
          <w:u w:val="none"/>
          <w:lang w:eastAsia="cs-CZ"/>
        </w:rPr>
        <w:t>.</w:t>
      </w:r>
    </w:p>
    <w:p w:rsidR="005B3219" w:rsidRDefault="005B3219" w:rsidP="001F16D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1F16D1" w:rsidRDefault="001F16D1" w:rsidP="001F16D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1F16D1" w:rsidRDefault="001F16D1" w:rsidP="001F16D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1F16D1" w:rsidRDefault="001F16D1" w:rsidP="001F16D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1F16D1" w:rsidRDefault="001F16D1" w:rsidP="001F16D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37D46" w:rsidRDefault="00037D46" w:rsidP="00037D46">
      <w:pPr>
        <w:pStyle w:val="Bezmezer"/>
        <w:jc w:val="both"/>
        <w:rPr>
          <w:rStyle w:val="Hypertextovodkaz"/>
          <w:rFonts w:ascii="Tahoma" w:eastAsia="Times New Roman" w:hAnsi="Tahoma" w:cs="Tahoma"/>
          <w:bCs/>
          <w:color w:val="000000" w:themeColor="text1"/>
          <w:kern w:val="36"/>
          <w:sz w:val="20"/>
          <w:szCs w:val="20"/>
          <w:u w:val="none"/>
          <w:lang w:eastAsia="cs-CZ"/>
        </w:rPr>
      </w:pPr>
    </w:p>
    <w:p w:rsidR="00440048" w:rsidRDefault="00440048" w:rsidP="00A17C8E">
      <w:pPr>
        <w:pStyle w:val="Bezmezer"/>
        <w:jc w:val="right"/>
        <w:rPr>
          <w:rStyle w:val="Hypertextovodkaz"/>
          <w:rFonts w:ascii="Tahoma" w:eastAsia="Times New Roman" w:hAnsi="Tahoma" w:cs="Tahoma"/>
          <w:bCs/>
          <w:color w:val="000000" w:themeColor="text1"/>
          <w:kern w:val="36"/>
          <w:sz w:val="20"/>
          <w:szCs w:val="20"/>
          <w:u w:val="none"/>
          <w:lang w:eastAsia="cs-CZ"/>
        </w:rPr>
      </w:pPr>
    </w:p>
    <w:p w:rsidR="00A17C8E" w:rsidRDefault="00A17C8E"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t>Aktuální judikatura a stanoviska</w:t>
      </w:r>
    </w:p>
    <w:p w:rsidR="00CB0FB3" w:rsidRDefault="00CB0FB3" w:rsidP="00CB0FB3">
      <w:pPr>
        <w:pStyle w:val="Bezmezer"/>
        <w:spacing w:line="360" w:lineRule="auto"/>
        <w:jc w:val="both"/>
        <w:rPr>
          <w:rFonts w:ascii="Tahoma" w:hAnsi="Tahoma" w:cs="Tahoma"/>
          <w:color w:val="000000" w:themeColor="text1"/>
          <w:sz w:val="20"/>
          <w:szCs w:val="20"/>
        </w:rPr>
      </w:pPr>
    </w:p>
    <w:p w:rsidR="00CB376B" w:rsidRPr="00CB376B" w:rsidRDefault="00A40EF3" w:rsidP="00A40EF3">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40EF3">
        <w:rPr>
          <w:rStyle w:val="Hypertextovodkaz"/>
          <w:rFonts w:ascii="Tahoma" w:eastAsia="Times New Roman" w:hAnsi="Tahoma" w:cs="Tahoma"/>
          <w:b/>
          <w:bCs/>
          <w:color w:val="000000" w:themeColor="text1"/>
          <w:kern w:val="36"/>
          <w:sz w:val="24"/>
          <w:szCs w:val="24"/>
          <w:u w:val="none"/>
          <w:lang w:eastAsia="cs-CZ"/>
        </w:rPr>
        <w:t>Označení nespolehlivého plátce</w:t>
      </w:r>
    </w:p>
    <w:p w:rsidR="004C27B8" w:rsidRDefault="00A40EF3" w:rsidP="00CB376B">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správní soud, sp. zn. </w:t>
      </w:r>
      <w:r w:rsidRPr="00A40EF3">
        <w:rPr>
          <w:rStyle w:val="Hypertextovodkaz"/>
          <w:rFonts w:ascii="Tahoma" w:eastAsia="Times New Roman" w:hAnsi="Tahoma" w:cs="Tahoma"/>
          <w:bCs/>
          <w:color w:val="000000" w:themeColor="text1"/>
          <w:kern w:val="36"/>
          <w:sz w:val="20"/>
          <w:szCs w:val="20"/>
          <w:u w:val="none"/>
          <w:lang w:eastAsia="cs-CZ"/>
        </w:rPr>
        <w:t xml:space="preserve">4 Afs 190/2018 </w:t>
      </w:r>
      <w:r>
        <w:rPr>
          <w:rStyle w:val="Hypertextovodkaz"/>
          <w:rFonts w:ascii="Tahoma" w:eastAsia="Times New Roman" w:hAnsi="Tahoma" w:cs="Tahoma"/>
          <w:bCs/>
          <w:color w:val="000000" w:themeColor="text1"/>
          <w:kern w:val="36"/>
          <w:sz w:val="20"/>
          <w:szCs w:val="20"/>
          <w:u w:val="none"/>
          <w:lang w:eastAsia="cs-CZ"/>
        </w:rPr>
        <w:t>–</w:t>
      </w:r>
      <w:r w:rsidRPr="00A40EF3">
        <w:rPr>
          <w:rStyle w:val="Hypertextovodkaz"/>
          <w:rFonts w:ascii="Tahoma" w:eastAsia="Times New Roman" w:hAnsi="Tahoma" w:cs="Tahoma"/>
          <w:bCs/>
          <w:color w:val="000000" w:themeColor="text1"/>
          <w:kern w:val="36"/>
          <w:sz w:val="20"/>
          <w:szCs w:val="20"/>
          <w:u w:val="none"/>
          <w:lang w:eastAsia="cs-CZ"/>
        </w:rPr>
        <w:t xml:space="preserve"> 26</w:t>
      </w:r>
    </w:p>
    <w:p w:rsidR="00017AE6" w:rsidRDefault="00017AE6" w:rsidP="001F16D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C27B8" w:rsidRDefault="00A56390" w:rsidP="001F16D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správní soud</w:t>
      </w:r>
      <w:r w:rsidR="00A40EF3" w:rsidRPr="00A40EF3">
        <w:rPr>
          <w:rStyle w:val="Hypertextovodkaz"/>
          <w:rFonts w:ascii="Tahoma" w:eastAsia="Times New Roman" w:hAnsi="Tahoma" w:cs="Tahoma"/>
          <w:bCs/>
          <w:color w:val="000000" w:themeColor="text1"/>
          <w:kern w:val="36"/>
          <w:sz w:val="20"/>
          <w:szCs w:val="20"/>
          <w:u w:val="none"/>
          <w:lang w:eastAsia="cs-CZ"/>
        </w:rPr>
        <w:t xml:space="preserve"> v posuzované věci </w:t>
      </w:r>
      <w:r>
        <w:rPr>
          <w:rStyle w:val="Hypertextovodkaz"/>
          <w:rFonts w:ascii="Tahoma" w:eastAsia="Times New Roman" w:hAnsi="Tahoma" w:cs="Tahoma"/>
          <w:bCs/>
          <w:color w:val="000000" w:themeColor="text1"/>
          <w:kern w:val="36"/>
          <w:sz w:val="20"/>
          <w:szCs w:val="20"/>
          <w:u w:val="none"/>
          <w:lang w:eastAsia="cs-CZ"/>
        </w:rPr>
        <w:t>konstatoval</w:t>
      </w:r>
      <w:r w:rsidR="00A40EF3" w:rsidRPr="00A40EF3">
        <w:rPr>
          <w:rStyle w:val="Hypertextovodkaz"/>
          <w:rFonts w:ascii="Tahoma" w:eastAsia="Times New Roman" w:hAnsi="Tahoma" w:cs="Tahoma"/>
          <w:bCs/>
          <w:color w:val="000000" w:themeColor="text1"/>
          <w:kern w:val="36"/>
          <w:sz w:val="20"/>
          <w:szCs w:val="20"/>
          <w:u w:val="none"/>
          <w:lang w:eastAsia="cs-CZ"/>
        </w:rPr>
        <w:t>, že podkladem pro zveřejnění informace o nespolehlivosti plátce daně z přidané hodnoty podle § 106ab odst. 4 zákona o dani z přidané hodnoty je toliko rozhodnutí správce daně o nespolehlivosti plátce podle § 106a odst. 1 téhož zákona, pokud je způsobilé vyvolávat právní účinky</w:t>
      </w:r>
      <w:r>
        <w:rPr>
          <w:rStyle w:val="Hypertextovodkaz"/>
          <w:rFonts w:ascii="Tahoma" w:eastAsia="Times New Roman" w:hAnsi="Tahoma" w:cs="Tahoma"/>
          <w:bCs/>
          <w:color w:val="000000" w:themeColor="text1"/>
          <w:kern w:val="36"/>
          <w:sz w:val="20"/>
          <w:szCs w:val="20"/>
          <w:u w:val="none"/>
          <w:lang w:eastAsia="cs-CZ"/>
        </w:rPr>
        <w:t xml:space="preserve">, </w:t>
      </w:r>
      <w:r w:rsidRPr="001F16D1">
        <w:rPr>
          <w:rStyle w:val="Hypertextovodkaz"/>
          <w:rFonts w:ascii="Tahoma" w:eastAsia="Times New Roman" w:hAnsi="Tahoma" w:cs="Tahoma"/>
          <w:bCs/>
          <w:color w:val="000000" w:themeColor="text1"/>
          <w:kern w:val="36"/>
          <w:sz w:val="20"/>
          <w:szCs w:val="20"/>
          <w:u w:val="none"/>
          <w:lang w:eastAsia="cs-CZ"/>
        </w:rPr>
        <w:t>tj. po dobu, kdy je v právní moci</w:t>
      </w:r>
      <w:r w:rsidR="00A40EF3" w:rsidRPr="00A40EF3">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t xml:space="preserve">Pokud poté plátce, který byl označen za nespolehlivého, využije opravných prostředků a bude mu vyhověno, je povinen správce daně učinit vše potřebné k odstranění informace o nespolehlivosti plátce, a to bez zbytečných průtahů. </w:t>
      </w:r>
      <w:r w:rsidR="00A40EF3" w:rsidRPr="00A40EF3">
        <w:rPr>
          <w:rStyle w:val="Hypertextovodkaz"/>
          <w:rFonts w:ascii="Tahoma" w:eastAsia="Times New Roman" w:hAnsi="Tahoma" w:cs="Tahoma"/>
          <w:bCs/>
          <w:color w:val="000000" w:themeColor="text1"/>
          <w:kern w:val="36"/>
          <w:sz w:val="20"/>
          <w:szCs w:val="20"/>
          <w:u w:val="none"/>
          <w:lang w:eastAsia="cs-CZ"/>
        </w:rPr>
        <w:t xml:space="preserve">Ze skutečnosti, že se znění § 7 odst. 1 daňového řádu podobá § 6 odst. 1 správního řádu, nevyplývá, že žalovaná měla k odstranění informace o nespolehlivosti stěžovatelky coby plátkyně daně z přidané </w:t>
      </w:r>
      <w:r w:rsidR="001F16D1">
        <w:rPr>
          <w:rStyle w:val="Hypertextovodkaz"/>
          <w:rFonts w:ascii="Tahoma" w:eastAsia="Times New Roman" w:hAnsi="Tahoma" w:cs="Tahoma"/>
          <w:bCs/>
          <w:color w:val="000000" w:themeColor="text1"/>
          <w:kern w:val="36"/>
          <w:sz w:val="20"/>
          <w:szCs w:val="20"/>
          <w:u w:val="none"/>
          <w:lang w:eastAsia="cs-CZ"/>
        </w:rPr>
        <w:t xml:space="preserve">hodnoty z registru plátců této </w:t>
      </w:r>
      <w:r w:rsidR="00A40EF3" w:rsidRPr="00A40EF3">
        <w:rPr>
          <w:rStyle w:val="Hypertextovodkaz"/>
          <w:rFonts w:ascii="Tahoma" w:eastAsia="Times New Roman" w:hAnsi="Tahoma" w:cs="Tahoma"/>
          <w:bCs/>
          <w:color w:val="000000" w:themeColor="text1"/>
          <w:kern w:val="36"/>
          <w:sz w:val="20"/>
          <w:szCs w:val="20"/>
          <w:u w:val="none"/>
          <w:lang w:eastAsia="cs-CZ"/>
        </w:rPr>
        <w:t xml:space="preserve">daně lhůtu až 30 dnů podle § 71 odst. 1 správního řádu. </w:t>
      </w:r>
    </w:p>
    <w:p w:rsidR="004C27B8" w:rsidRDefault="004C27B8" w:rsidP="004C27B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C27B8" w:rsidRPr="00C17383" w:rsidRDefault="004C27B8" w:rsidP="004C27B8">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A56390">
        <w:rPr>
          <w:rStyle w:val="Hypertextovodkaz"/>
          <w:rFonts w:ascii="Tahoma" w:eastAsia="Times New Roman" w:hAnsi="Tahoma" w:cs="Tahoma"/>
          <w:bCs/>
          <w:i/>
          <w:color w:val="000000" w:themeColor="text1"/>
          <w:kern w:val="36"/>
          <w:sz w:val="20"/>
          <w:szCs w:val="20"/>
          <w:u w:val="none"/>
          <w:lang w:eastAsia="cs-CZ"/>
        </w:rPr>
        <w:t>POŘ.</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F249AE" w:rsidRDefault="00A56390" w:rsidP="00A5639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56390">
        <w:rPr>
          <w:rStyle w:val="Hypertextovodkaz"/>
          <w:rFonts w:ascii="Tahoma" w:eastAsia="Times New Roman" w:hAnsi="Tahoma" w:cs="Tahoma"/>
          <w:b/>
          <w:bCs/>
          <w:color w:val="000000" w:themeColor="text1"/>
          <w:kern w:val="36"/>
          <w:sz w:val="24"/>
          <w:szCs w:val="24"/>
          <w:u w:val="none"/>
          <w:lang w:eastAsia="cs-CZ"/>
        </w:rPr>
        <w:t>Náhrada za omezení užívání pozemku z důvodu zřízení veřejně prospěšné stavby</w:t>
      </w:r>
    </w:p>
    <w:p w:rsidR="00F249AE" w:rsidRDefault="00A56390"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22 Cdo 1651/2018; 22 Cdo 1425/2014</w:t>
      </w:r>
    </w:p>
    <w:p w:rsidR="00A56390" w:rsidRDefault="00A56390"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A56390" w:rsidRDefault="00A56390"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konstatoval, že pokud přijatý územní plán předpokládá, že na vlastníkově pozemku bude zřízena veřejně prospěšná stavba, a proto územní plán omezuje vlastníka v užívání jeho pozemku, a to navíc po nepřiměřeně dlouhou dobu a nad spravedlivou míru, pak má vlastník pozemku právo na peněžitou náhradu. Její výši soud určí s přihlédnutím k hodnotě pozemku a intenzitě omezení vlastnického práva.</w:t>
      </w:r>
    </w:p>
    <w:p w:rsidR="00A56390" w:rsidRDefault="00A56390"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Náhradu soudu zpravidla nepřizná, pokud stavebník vyvine v přiměřené době adekvátní úsilí k získání do</w:t>
      </w:r>
      <w:r w:rsidR="001F16D1">
        <w:rPr>
          <w:rStyle w:val="Hypertextovodkaz"/>
          <w:rFonts w:ascii="Tahoma" w:eastAsia="Times New Roman" w:hAnsi="Tahoma" w:cs="Tahoma"/>
          <w:bCs/>
          <w:color w:val="000000" w:themeColor="text1"/>
          <w:kern w:val="36"/>
          <w:sz w:val="20"/>
          <w:szCs w:val="20"/>
          <w:u w:val="none"/>
          <w:lang w:eastAsia="cs-CZ"/>
        </w:rPr>
        <w:t>tčeného pozemku (např. navrhne jeho směnu za jiný přiměřený pozemek nebo jeho koupi za přiměřenou cenu nebo podá návrh na jeho vyvlastnění); nebo ustoupí v přiměřené době od svého záměru zřídit veřejně prospěšnou stavbu a iniciuje změnu územního plánu takovou, aby vlastník pozemku nebyl již omezován.</w:t>
      </w:r>
    </w:p>
    <w:p w:rsidR="00F249AE" w:rsidRDefault="00F249AE"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95537D" w:rsidRPr="00C17383" w:rsidRDefault="0095537D" w:rsidP="0095537D">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1F16D1">
        <w:rPr>
          <w:rStyle w:val="Hypertextovodkaz"/>
          <w:rFonts w:ascii="Tahoma" w:eastAsia="Times New Roman" w:hAnsi="Tahoma" w:cs="Tahoma"/>
          <w:bCs/>
          <w:i/>
          <w:color w:val="000000" w:themeColor="text1"/>
          <w:kern w:val="36"/>
          <w:sz w:val="20"/>
          <w:szCs w:val="20"/>
          <w:u w:val="none"/>
          <w:lang w:eastAsia="cs-CZ"/>
        </w:rPr>
        <w:t>Odboru realizace investic a oddělení evidence a správy nemovitostí.</w:t>
      </w:r>
    </w:p>
    <w:p w:rsidR="005132D4" w:rsidRDefault="005132D4"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F16D1" w:rsidRDefault="001F16D1"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F16D1" w:rsidRDefault="001F16D1"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F16D1" w:rsidRPr="00F249AE" w:rsidRDefault="001F16D1"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249AE" w:rsidRDefault="001F16D1" w:rsidP="0095537D">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Náhrada za nesjednané vícepráce</w:t>
      </w:r>
    </w:p>
    <w:p w:rsidR="0095537D" w:rsidRDefault="001F16D1" w:rsidP="0095537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 sp. zn. I. ÚS 1283/16</w:t>
      </w:r>
    </w:p>
    <w:p w:rsidR="00CB376B" w:rsidRDefault="00CB376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F16D1" w:rsidRDefault="001F16D1"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Zhotoviteli nenáleží náhrada (a to ani podle ustanovení o bezdůvodném obohacení) za vícepráce, které provedl na díle nad rámec toho, co sjednal s objednatelem („nesjednané vícepráce“). O takové nesjednané vícepráce se však jedná jen tehdy, pokud dostatečně souvisí se sjednaným dílem. Obecné soudy se musí v každém případě zabývat tím, zda je naplněna dodatečná souvislost mezi provedenými pracemi, které nebyly sjednány ve smlouvě o dílo, a tímto dílem.</w:t>
      </w:r>
    </w:p>
    <w:p w:rsidR="0095537D" w:rsidRDefault="0095537D" w:rsidP="009553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F0300" w:rsidRPr="00F249AE" w:rsidRDefault="0095537D" w:rsidP="00017AE6">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1F16D1">
        <w:rPr>
          <w:rStyle w:val="Hypertextovodkaz"/>
          <w:rFonts w:ascii="Tahoma" w:eastAsia="Times New Roman" w:hAnsi="Tahoma" w:cs="Tahoma"/>
          <w:bCs/>
          <w:i/>
          <w:color w:val="000000" w:themeColor="text1"/>
          <w:kern w:val="36"/>
          <w:sz w:val="20"/>
          <w:szCs w:val="20"/>
          <w:u w:val="none"/>
          <w:lang w:eastAsia="cs-CZ"/>
        </w:rPr>
        <w:t>POŘ</w:t>
      </w:r>
      <w:r w:rsidR="004F0300" w:rsidRPr="004F0300">
        <w:rPr>
          <w:rStyle w:val="Hypertextovodkaz"/>
          <w:rFonts w:ascii="Tahoma" w:eastAsia="Times New Roman" w:hAnsi="Tahoma" w:cs="Tahoma"/>
          <w:bCs/>
          <w:color w:val="000000" w:themeColor="text1"/>
          <w:kern w:val="36"/>
          <w:sz w:val="20"/>
          <w:szCs w:val="20"/>
          <w:u w:val="none"/>
          <w:lang w:eastAsia="cs-CZ"/>
        </w:rPr>
        <w:t xml:space="preserve"> </w:t>
      </w:r>
    </w:p>
    <w:p w:rsidR="00017AE6" w:rsidRDefault="00017AE6" w:rsidP="004F030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4F0300" w:rsidRDefault="004F0300" w:rsidP="004F030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Variabilní složky mzdy</w:t>
      </w:r>
    </w:p>
    <w:p w:rsidR="004F0300" w:rsidRDefault="004F0300" w:rsidP="004F030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 sp. zn. I. ÚS 1283/16</w:t>
      </w:r>
    </w:p>
    <w:p w:rsidR="004F0300" w:rsidRDefault="004F0300" w:rsidP="004F030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F0300" w:rsidRDefault="004F0300" w:rsidP="004F030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potvrdil, </w:t>
      </w:r>
      <w:r w:rsidRPr="004F0300">
        <w:rPr>
          <w:rStyle w:val="Hypertextovodkaz"/>
          <w:rFonts w:ascii="Tahoma" w:eastAsia="Times New Roman" w:hAnsi="Tahoma" w:cs="Tahoma"/>
          <w:bCs/>
          <w:color w:val="000000" w:themeColor="text1"/>
          <w:kern w:val="36"/>
          <w:sz w:val="20"/>
          <w:szCs w:val="20"/>
          <w:u w:val="none"/>
          <w:lang w:eastAsia="cs-CZ"/>
        </w:rPr>
        <w:t>zaměstnanec a zaměstnavatel si mohou smluvně ujednat nebo může být stanoveno jednostranně zaměstnavatelem, že bude určitá část mzdy nenároková (fakultativní), tedy závislá na rozhodnutí zaměstnavatele o jejím vyplacení, krácení či nevyplacení na základě posouzení výsledků práce zaměstnance. Má-li však toto rozhodnutí zaměstnavatele záležet na zhodnocení splnění určitých sjednaných či stanovených předpokladů, je zřejmé, že výsledky práce zaměstnance nelze odhadovat předem a oznámit zaměstnanci, že v příštím období již nebude mít dobré pracovní výsledky. V tomto ohledu je proto možné, že tato část mzdy bude skutečně pohyblivá, tedy její výše za určité sledované období (měsíc, čtvrtletí, pololetí či rok) bude rozdílná, a to na základě posouzení rozdílných výsledků práce zaměstnavatelem, které lze učinit až po uplynutí sledovaného období. Jiná je ovšem situace, hodlá-li zaměstnavatel odejmout (odebrat) pohyblivou složku jako takovou, tedy nikoli na základě hodnocení výsledků práce nepřiznat pohyblivou složku mzdy jen za určité sledované období.</w:t>
      </w:r>
      <w:r w:rsidR="00E0232B" w:rsidRPr="00E0232B">
        <w:t xml:space="preserve"> </w:t>
      </w:r>
      <w:r w:rsidR="00E0232B" w:rsidRPr="00E0232B">
        <w:rPr>
          <w:rStyle w:val="Hypertextovodkaz"/>
          <w:rFonts w:ascii="Tahoma" w:eastAsia="Times New Roman" w:hAnsi="Tahoma" w:cs="Tahoma"/>
          <w:bCs/>
          <w:color w:val="000000" w:themeColor="text1"/>
          <w:kern w:val="36"/>
          <w:sz w:val="20"/>
          <w:szCs w:val="20"/>
          <w:u w:val="none"/>
          <w:lang w:eastAsia="cs-CZ"/>
        </w:rPr>
        <w:t>Zde je třeba mít na zřeteli, že zaměstnanec má právo znát podmínky, za nichž má pro zaměstnavatele konat práci; proto sjednání, stanovení nebo určení mzdy musí vždy předcházet výkonu práce, za kterou má tato mzda příslušet (srov. § 113 odst. 3 zák. práce</w:t>
      </w:r>
      <w:r w:rsidR="00E0232B">
        <w:rPr>
          <w:rStyle w:val="Hypertextovodkaz"/>
          <w:rFonts w:ascii="Tahoma" w:eastAsia="Times New Roman" w:hAnsi="Tahoma" w:cs="Tahoma"/>
          <w:bCs/>
          <w:color w:val="000000" w:themeColor="text1"/>
          <w:kern w:val="36"/>
          <w:sz w:val="20"/>
          <w:szCs w:val="20"/>
          <w:u w:val="none"/>
          <w:lang w:eastAsia="cs-CZ"/>
        </w:rPr>
        <w:t>).</w:t>
      </w:r>
    </w:p>
    <w:p w:rsidR="00E0232B" w:rsidRDefault="00E0232B" w:rsidP="004F030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F0300" w:rsidRPr="00C17383" w:rsidRDefault="004F0300" w:rsidP="004F030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POŘ</w:t>
      </w:r>
    </w:p>
    <w:sectPr w:rsidR="004F0300" w:rsidRPr="00C17383"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0F" w:rsidRDefault="00EE0F0F" w:rsidP="004F17ED">
      <w:pPr>
        <w:spacing w:after="0" w:line="240" w:lineRule="auto"/>
      </w:pPr>
      <w:r>
        <w:separator/>
      </w:r>
    </w:p>
  </w:endnote>
  <w:endnote w:type="continuationSeparator" w:id="0">
    <w:p w:rsidR="00EE0F0F" w:rsidRDefault="00EE0F0F"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E0F0F" w:rsidRDefault="00EE0F0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0F69B8">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0F69B8">
              <w:rPr>
                <w:rFonts w:ascii="Tahoma" w:hAnsi="Tahoma" w:cs="Tahoma"/>
                <w:b/>
                <w:bCs/>
                <w:noProof/>
                <w:sz w:val="16"/>
                <w:szCs w:val="16"/>
              </w:rPr>
              <w:t>4</w:t>
            </w:r>
            <w:r w:rsidRPr="00FB7F36">
              <w:rPr>
                <w:rFonts w:ascii="Tahoma" w:hAnsi="Tahoma" w:cs="Tahoma"/>
                <w:b/>
                <w:bCs/>
                <w:sz w:val="16"/>
                <w:szCs w:val="16"/>
              </w:rPr>
              <w:fldChar w:fldCharType="end"/>
            </w:r>
          </w:p>
        </w:sdtContent>
      </w:sdt>
    </w:sdtContent>
  </w:sdt>
  <w:p w:rsidR="00EE0F0F" w:rsidRDefault="00EE0F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0F" w:rsidRDefault="00EE0F0F" w:rsidP="004F17ED">
      <w:pPr>
        <w:spacing w:after="0" w:line="240" w:lineRule="auto"/>
      </w:pPr>
      <w:r>
        <w:separator/>
      </w:r>
    </w:p>
  </w:footnote>
  <w:footnote w:type="continuationSeparator" w:id="0">
    <w:p w:rsidR="00EE0F0F" w:rsidRDefault="00EE0F0F"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nsid w:val="29027D9B"/>
    <w:multiLevelType w:val="hybridMultilevel"/>
    <w:tmpl w:val="687CF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1">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2"/>
  </w:num>
  <w:num w:numId="4">
    <w:abstractNumId w:val="19"/>
  </w:num>
  <w:num w:numId="5">
    <w:abstractNumId w:val="20"/>
  </w:num>
  <w:num w:numId="6">
    <w:abstractNumId w:val="11"/>
  </w:num>
  <w:num w:numId="7">
    <w:abstractNumId w:val="10"/>
  </w:num>
  <w:num w:numId="8">
    <w:abstractNumId w:val="13"/>
  </w:num>
  <w:num w:numId="9">
    <w:abstractNumId w:val="29"/>
  </w:num>
  <w:num w:numId="10">
    <w:abstractNumId w:val="12"/>
  </w:num>
  <w:num w:numId="11">
    <w:abstractNumId w:val="31"/>
  </w:num>
  <w:num w:numId="12">
    <w:abstractNumId w:val="26"/>
  </w:num>
  <w:num w:numId="13">
    <w:abstractNumId w:val="28"/>
  </w:num>
  <w:num w:numId="14">
    <w:abstractNumId w:val="27"/>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4"/>
  </w:num>
  <w:num w:numId="26">
    <w:abstractNumId w:val="18"/>
  </w:num>
  <w:num w:numId="27">
    <w:abstractNumId w:val="15"/>
  </w:num>
  <w:num w:numId="28">
    <w:abstractNumId w:val="30"/>
  </w:num>
  <w:num w:numId="29">
    <w:abstractNumId w:val="25"/>
  </w:num>
  <w:num w:numId="30">
    <w:abstractNumId w:val="21"/>
  </w:num>
  <w:num w:numId="31">
    <w:abstractNumId w:val="17"/>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592E"/>
    <w:rsid w:val="00035A22"/>
    <w:rsid w:val="00037D46"/>
    <w:rsid w:val="00037E81"/>
    <w:rsid w:val="000400D6"/>
    <w:rsid w:val="00040942"/>
    <w:rsid w:val="00040B86"/>
    <w:rsid w:val="00042450"/>
    <w:rsid w:val="00045E2F"/>
    <w:rsid w:val="000478D3"/>
    <w:rsid w:val="00047C25"/>
    <w:rsid w:val="00062A39"/>
    <w:rsid w:val="00070061"/>
    <w:rsid w:val="00071319"/>
    <w:rsid w:val="00071E57"/>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43A2"/>
    <w:rsid w:val="000D5A9A"/>
    <w:rsid w:val="000D7741"/>
    <w:rsid w:val="000F2090"/>
    <w:rsid w:val="000F401A"/>
    <w:rsid w:val="000F4720"/>
    <w:rsid w:val="000F5A9C"/>
    <w:rsid w:val="000F69B8"/>
    <w:rsid w:val="001017A9"/>
    <w:rsid w:val="001028D7"/>
    <w:rsid w:val="00106526"/>
    <w:rsid w:val="001065AE"/>
    <w:rsid w:val="0010675A"/>
    <w:rsid w:val="001109EF"/>
    <w:rsid w:val="00117697"/>
    <w:rsid w:val="001236D2"/>
    <w:rsid w:val="001241C8"/>
    <w:rsid w:val="001265DA"/>
    <w:rsid w:val="00126CB8"/>
    <w:rsid w:val="001277A2"/>
    <w:rsid w:val="001311AC"/>
    <w:rsid w:val="00131647"/>
    <w:rsid w:val="00134EB5"/>
    <w:rsid w:val="001351A0"/>
    <w:rsid w:val="00135BEF"/>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A0C83"/>
    <w:rsid w:val="001A1785"/>
    <w:rsid w:val="001A3D61"/>
    <w:rsid w:val="001A62A6"/>
    <w:rsid w:val="001A6AF4"/>
    <w:rsid w:val="001B5DB3"/>
    <w:rsid w:val="001B609E"/>
    <w:rsid w:val="001B66D4"/>
    <w:rsid w:val="001C27F8"/>
    <w:rsid w:val="001C4A0C"/>
    <w:rsid w:val="001C509B"/>
    <w:rsid w:val="001D0703"/>
    <w:rsid w:val="001D070C"/>
    <w:rsid w:val="001D0880"/>
    <w:rsid w:val="001D488C"/>
    <w:rsid w:val="001D7CC3"/>
    <w:rsid w:val="001E247A"/>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5086C"/>
    <w:rsid w:val="0025209F"/>
    <w:rsid w:val="00252C33"/>
    <w:rsid w:val="00253681"/>
    <w:rsid w:val="00254879"/>
    <w:rsid w:val="00257465"/>
    <w:rsid w:val="00257D6C"/>
    <w:rsid w:val="00263CDC"/>
    <w:rsid w:val="002738A3"/>
    <w:rsid w:val="00276A8C"/>
    <w:rsid w:val="00276F8F"/>
    <w:rsid w:val="00283D2E"/>
    <w:rsid w:val="0028797B"/>
    <w:rsid w:val="00292D21"/>
    <w:rsid w:val="00296169"/>
    <w:rsid w:val="002A082D"/>
    <w:rsid w:val="002A255B"/>
    <w:rsid w:val="002A2F5C"/>
    <w:rsid w:val="002A7232"/>
    <w:rsid w:val="002B0E18"/>
    <w:rsid w:val="002B11D7"/>
    <w:rsid w:val="002B3FF4"/>
    <w:rsid w:val="002B4CA4"/>
    <w:rsid w:val="002B6A65"/>
    <w:rsid w:val="002B7C80"/>
    <w:rsid w:val="002C0879"/>
    <w:rsid w:val="002C27F8"/>
    <w:rsid w:val="002D1507"/>
    <w:rsid w:val="002D6498"/>
    <w:rsid w:val="002D7924"/>
    <w:rsid w:val="002E0119"/>
    <w:rsid w:val="002E0228"/>
    <w:rsid w:val="002E065A"/>
    <w:rsid w:val="002E0C9E"/>
    <w:rsid w:val="002E151F"/>
    <w:rsid w:val="002E3FD5"/>
    <w:rsid w:val="002E7FFC"/>
    <w:rsid w:val="002F207D"/>
    <w:rsid w:val="002F57E7"/>
    <w:rsid w:val="00305BBB"/>
    <w:rsid w:val="003077D1"/>
    <w:rsid w:val="00311B5F"/>
    <w:rsid w:val="00311C47"/>
    <w:rsid w:val="003131F8"/>
    <w:rsid w:val="00322DF8"/>
    <w:rsid w:val="003249E2"/>
    <w:rsid w:val="00330B21"/>
    <w:rsid w:val="00333363"/>
    <w:rsid w:val="00335BB7"/>
    <w:rsid w:val="00343B36"/>
    <w:rsid w:val="00344F47"/>
    <w:rsid w:val="00351243"/>
    <w:rsid w:val="00351349"/>
    <w:rsid w:val="003526B8"/>
    <w:rsid w:val="003530C9"/>
    <w:rsid w:val="0035378B"/>
    <w:rsid w:val="00355EAB"/>
    <w:rsid w:val="00360D1A"/>
    <w:rsid w:val="003628E1"/>
    <w:rsid w:val="0036402D"/>
    <w:rsid w:val="00370ABB"/>
    <w:rsid w:val="00371022"/>
    <w:rsid w:val="00372802"/>
    <w:rsid w:val="00376752"/>
    <w:rsid w:val="00380F22"/>
    <w:rsid w:val="00384022"/>
    <w:rsid w:val="00386132"/>
    <w:rsid w:val="00392A6A"/>
    <w:rsid w:val="00395866"/>
    <w:rsid w:val="003A5632"/>
    <w:rsid w:val="003B1E33"/>
    <w:rsid w:val="003B2837"/>
    <w:rsid w:val="003B3592"/>
    <w:rsid w:val="003B59D1"/>
    <w:rsid w:val="003B5C88"/>
    <w:rsid w:val="003B7170"/>
    <w:rsid w:val="003B74D1"/>
    <w:rsid w:val="003C03D9"/>
    <w:rsid w:val="003C3862"/>
    <w:rsid w:val="003C5DCF"/>
    <w:rsid w:val="003D05CF"/>
    <w:rsid w:val="003D1358"/>
    <w:rsid w:val="003D13B0"/>
    <w:rsid w:val="003D387C"/>
    <w:rsid w:val="003E7434"/>
    <w:rsid w:val="003F33C4"/>
    <w:rsid w:val="003F5319"/>
    <w:rsid w:val="00403BCB"/>
    <w:rsid w:val="00403E80"/>
    <w:rsid w:val="004048A1"/>
    <w:rsid w:val="0040539D"/>
    <w:rsid w:val="00407A61"/>
    <w:rsid w:val="004128FE"/>
    <w:rsid w:val="00413E46"/>
    <w:rsid w:val="00417839"/>
    <w:rsid w:val="00422050"/>
    <w:rsid w:val="00423FDD"/>
    <w:rsid w:val="004242DB"/>
    <w:rsid w:val="004353BF"/>
    <w:rsid w:val="00440048"/>
    <w:rsid w:val="0044093C"/>
    <w:rsid w:val="004450E2"/>
    <w:rsid w:val="004536BC"/>
    <w:rsid w:val="00454762"/>
    <w:rsid w:val="004549DE"/>
    <w:rsid w:val="004559EA"/>
    <w:rsid w:val="00465991"/>
    <w:rsid w:val="00466E48"/>
    <w:rsid w:val="0047044D"/>
    <w:rsid w:val="00471191"/>
    <w:rsid w:val="004826DF"/>
    <w:rsid w:val="004901A5"/>
    <w:rsid w:val="0049025F"/>
    <w:rsid w:val="00490473"/>
    <w:rsid w:val="00491428"/>
    <w:rsid w:val="00491EB7"/>
    <w:rsid w:val="004935E1"/>
    <w:rsid w:val="00496091"/>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501365"/>
    <w:rsid w:val="005024A6"/>
    <w:rsid w:val="005042A6"/>
    <w:rsid w:val="00505738"/>
    <w:rsid w:val="00505B58"/>
    <w:rsid w:val="005062F3"/>
    <w:rsid w:val="00506981"/>
    <w:rsid w:val="005132D4"/>
    <w:rsid w:val="005170B6"/>
    <w:rsid w:val="00521193"/>
    <w:rsid w:val="005226BE"/>
    <w:rsid w:val="00524448"/>
    <w:rsid w:val="00525327"/>
    <w:rsid w:val="0052707D"/>
    <w:rsid w:val="00527B4E"/>
    <w:rsid w:val="005302F5"/>
    <w:rsid w:val="00530CBE"/>
    <w:rsid w:val="00533958"/>
    <w:rsid w:val="00540EA0"/>
    <w:rsid w:val="00542B36"/>
    <w:rsid w:val="00543D4A"/>
    <w:rsid w:val="00544C49"/>
    <w:rsid w:val="005452CF"/>
    <w:rsid w:val="005629AE"/>
    <w:rsid w:val="005635CB"/>
    <w:rsid w:val="005725FF"/>
    <w:rsid w:val="00572A6B"/>
    <w:rsid w:val="0057392F"/>
    <w:rsid w:val="005824E2"/>
    <w:rsid w:val="00584AD1"/>
    <w:rsid w:val="005874EF"/>
    <w:rsid w:val="00590D0D"/>
    <w:rsid w:val="00595560"/>
    <w:rsid w:val="005A5321"/>
    <w:rsid w:val="005B1C5E"/>
    <w:rsid w:val="005B3219"/>
    <w:rsid w:val="005C2727"/>
    <w:rsid w:val="005C311E"/>
    <w:rsid w:val="005C3F6A"/>
    <w:rsid w:val="005C44B7"/>
    <w:rsid w:val="005C5748"/>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33D0B"/>
    <w:rsid w:val="00634759"/>
    <w:rsid w:val="00634BBB"/>
    <w:rsid w:val="00636CC5"/>
    <w:rsid w:val="0064007D"/>
    <w:rsid w:val="00640821"/>
    <w:rsid w:val="006419FC"/>
    <w:rsid w:val="00642B92"/>
    <w:rsid w:val="0064695A"/>
    <w:rsid w:val="00651B06"/>
    <w:rsid w:val="00655121"/>
    <w:rsid w:val="00656175"/>
    <w:rsid w:val="00661CF8"/>
    <w:rsid w:val="00664BFA"/>
    <w:rsid w:val="00681668"/>
    <w:rsid w:val="00685036"/>
    <w:rsid w:val="00687E51"/>
    <w:rsid w:val="0069081D"/>
    <w:rsid w:val="006909A9"/>
    <w:rsid w:val="00692BAF"/>
    <w:rsid w:val="006A1F9A"/>
    <w:rsid w:val="006A2727"/>
    <w:rsid w:val="006A4A20"/>
    <w:rsid w:val="006B0435"/>
    <w:rsid w:val="006B1D5C"/>
    <w:rsid w:val="006B2EB6"/>
    <w:rsid w:val="006B6895"/>
    <w:rsid w:val="006B7EE9"/>
    <w:rsid w:val="006C005F"/>
    <w:rsid w:val="006C459B"/>
    <w:rsid w:val="006C4699"/>
    <w:rsid w:val="006C6DAC"/>
    <w:rsid w:val="006C6F55"/>
    <w:rsid w:val="006D2E1E"/>
    <w:rsid w:val="006D437B"/>
    <w:rsid w:val="006D468C"/>
    <w:rsid w:val="006D487E"/>
    <w:rsid w:val="006E09B3"/>
    <w:rsid w:val="006E57D1"/>
    <w:rsid w:val="006F2E08"/>
    <w:rsid w:val="006F443D"/>
    <w:rsid w:val="00701B95"/>
    <w:rsid w:val="00706A9F"/>
    <w:rsid w:val="00711F19"/>
    <w:rsid w:val="007148E4"/>
    <w:rsid w:val="00715A6F"/>
    <w:rsid w:val="00721803"/>
    <w:rsid w:val="00724B67"/>
    <w:rsid w:val="0073165C"/>
    <w:rsid w:val="00741601"/>
    <w:rsid w:val="00745373"/>
    <w:rsid w:val="00751E42"/>
    <w:rsid w:val="00760E95"/>
    <w:rsid w:val="00761984"/>
    <w:rsid w:val="00765FD7"/>
    <w:rsid w:val="00773243"/>
    <w:rsid w:val="007825CD"/>
    <w:rsid w:val="00783961"/>
    <w:rsid w:val="00785AB4"/>
    <w:rsid w:val="00790364"/>
    <w:rsid w:val="0079795D"/>
    <w:rsid w:val="007A7BE0"/>
    <w:rsid w:val="007B7559"/>
    <w:rsid w:val="007C2983"/>
    <w:rsid w:val="007C36DB"/>
    <w:rsid w:val="007C51BB"/>
    <w:rsid w:val="007C520E"/>
    <w:rsid w:val="007D72DA"/>
    <w:rsid w:val="007E053D"/>
    <w:rsid w:val="007E317C"/>
    <w:rsid w:val="007E6A31"/>
    <w:rsid w:val="007E7045"/>
    <w:rsid w:val="007F09E2"/>
    <w:rsid w:val="007F3540"/>
    <w:rsid w:val="0080530B"/>
    <w:rsid w:val="008105BA"/>
    <w:rsid w:val="00812AEE"/>
    <w:rsid w:val="0081766C"/>
    <w:rsid w:val="00817BD5"/>
    <w:rsid w:val="00822C34"/>
    <w:rsid w:val="008230B0"/>
    <w:rsid w:val="0082325F"/>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5061"/>
    <w:rsid w:val="008B5D32"/>
    <w:rsid w:val="008C1454"/>
    <w:rsid w:val="008C43D6"/>
    <w:rsid w:val="008C5AFD"/>
    <w:rsid w:val="008D0BF0"/>
    <w:rsid w:val="008D1F1C"/>
    <w:rsid w:val="008D540D"/>
    <w:rsid w:val="008D626F"/>
    <w:rsid w:val="008D6BFF"/>
    <w:rsid w:val="008E77C3"/>
    <w:rsid w:val="008E7880"/>
    <w:rsid w:val="008F311F"/>
    <w:rsid w:val="008F3C49"/>
    <w:rsid w:val="00910943"/>
    <w:rsid w:val="00912943"/>
    <w:rsid w:val="009143FC"/>
    <w:rsid w:val="009230B5"/>
    <w:rsid w:val="009231A5"/>
    <w:rsid w:val="009248C4"/>
    <w:rsid w:val="0092710B"/>
    <w:rsid w:val="009279A4"/>
    <w:rsid w:val="00927C2D"/>
    <w:rsid w:val="00930985"/>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6431"/>
    <w:rsid w:val="00990563"/>
    <w:rsid w:val="009914AF"/>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5B9C"/>
    <w:rsid w:val="00A00B1A"/>
    <w:rsid w:val="00A00D5C"/>
    <w:rsid w:val="00A00EFE"/>
    <w:rsid w:val="00A06F92"/>
    <w:rsid w:val="00A1138A"/>
    <w:rsid w:val="00A14697"/>
    <w:rsid w:val="00A17C8E"/>
    <w:rsid w:val="00A20227"/>
    <w:rsid w:val="00A235E1"/>
    <w:rsid w:val="00A2427F"/>
    <w:rsid w:val="00A25A93"/>
    <w:rsid w:val="00A26266"/>
    <w:rsid w:val="00A304F2"/>
    <w:rsid w:val="00A32137"/>
    <w:rsid w:val="00A35E63"/>
    <w:rsid w:val="00A40D88"/>
    <w:rsid w:val="00A40EF3"/>
    <w:rsid w:val="00A425CF"/>
    <w:rsid w:val="00A4328E"/>
    <w:rsid w:val="00A4785C"/>
    <w:rsid w:val="00A51F87"/>
    <w:rsid w:val="00A53592"/>
    <w:rsid w:val="00A56390"/>
    <w:rsid w:val="00A64610"/>
    <w:rsid w:val="00A724E2"/>
    <w:rsid w:val="00A72D2E"/>
    <w:rsid w:val="00A74D91"/>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E0E69"/>
    <w:rsid w:val="00AE1C12"/>
    <w:rsid w:val="00AE6FE8"/>
    <w:rsid w:val="00B01EFD"/>
    <w:rsid w:val="00B02CA3"/>
    <w:rsid w:val="00B11E72"/>
    <w:rsid w:val="00B23DBB"/>
    <w:rsid w:val="00B2481A"/>
    <w:rsid w:val="00B256C5"/>
    <w:rsid w:val="00B260C9"/>
    <w:rsid w:val="00B2624B"/>
    <w:rsid w:val="00B37871"/>
    <w:rsid w:val="00B445FA"/>
    <w:rsid w:val="00B469B4"/>
    <w:rsid w:val="00B503F5"/>
    <w:rsid w:val="00B53ECD"/>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07F1"/>
    <w:rsid w:val="00BC27A0"/>
    <w:rsid w:val="00BC329B"/>
    <w:rsid w:val="00BC6286"/>
    <w:rsid w:val="00BC63BD"/>
    <w:rsid w:val="00BE541E"/>
    <w:rsid w:val="00BE5B7A"/>
    <w:rsid w:val="00BF6038"/>
    <w:rsid w:val="00BF70FD"/>
    <w:rsid w:val="00C023AC"/>
    <w:rsid w:val="00C02A29"/>
    <w:rsid w:val="00C05079"/>
    <w:rsid w:val="00C1167A"/>
    <w:rsid w:val="00C17383"/>
    <w:rsid w:val="00C17D68"/>
    <w:rsid w:val="00C31C60"/>
    <w:rsid w:val="00C3782E"/>
    <w:rsid w:val="00C47E3E"/>
    <w:rsid w:val="00C50A52"/>
    <w:rsid w:val="00C55B8C"/>
    <w:rsid w:val="00C57BCD"/>
    <w:rsid w:val="00C619D5"/>
    <w:rsid w:val="00C6602B"/>
    <w:rsid w:val="00C70383"/>
    <w:rsid w:val="00C72818"/>
    <w:rsid w:val="00C77004"/>
    <w:rsid w:val="00C87754"/>
    <w:rsid w:val="00C915B1"/>
    <w:rsid w:val="00C928B3"/>
    <w:rsid w:val="00C92B7D"/>
    <w:rsid w:val="00C976C3"/>
    <w:rsid w:val="00CA1663"/>
    <w:rsid w:val="00CA685A"/>
    <w:rsid w:val="00CA7478"/>
    <w:rsid w:val="00CB0FB3"/>
    <w:rsid w:val="00CB11A0"/>
    <w:rsid w:val="00CB376B"/>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34E4"/>
    <w:rsid w:val="00D268C4"/>
    <w:rsid w:val="00D33CE6"/>
    <w:rsid w:val="00D340E4"/>
    <w:rsid w:val="00D34946"/>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2D7F"/>
    <w:rsid w:val="00D83883"/>
    <w:rsid w:val="00D87A8B"/>
    <w:rsid w:val="00D93D7D"/>
    <w:rsid w:val="00D95FA3"/>
    <w:rsid w:val="00D96829"/>
    <w:rsid w:val="00D97ED8"/>
    <w:rsid w:val="00DA06F9"/>
    <w:rsid w:val="00DB1E3D"/>
    <w:rsid w:val="00DB40CC"/>
    <w:rsid w:val="00DB458D"/>
    <w:rsid w:val="00DB50AC"/>
    <w:rsid w:val="00DB5E90"/>
    <w:rsid w:val="00DB61CB"/>
    <w:rsid w:val="00DC0787"/>
    <w:rsid w:val="00DC2570"/>
    <w:rsid w:val="00DD1AA1"/>
    <w:rsid w:val="00DD47F1"/>
    <w:rsid w:val="00DE50EF"/>
    <w:rsid w:val="00DE666A"/>
    <w:rsid w:val="00DE736D"/>
    <w:rsid w:val="00DF16A3"/>
    <w:rsid w:val="00DF35F7"/>
    <w:rsid w:val="00E01361"/>
    <w:rsid w:val="00E0232B"/>
    <w:rsid w:val="00E03BEF"/>
    <w:rsid w:val="00E12DAE"/>
    <w:rsid w:val="00E3074E"/>
    <w:rsid w:val="00E31529"/>
    <w:rsid w:val="00E36480"/>
    <w:rsid w:val="00E45A2F"/>
    <w:rsid w:val="00E53D58"/>
    <w:rsid w:val="00E56467"/>
    <w:rsid w:val="00E619AA"/>
    <w:rsid w:val="00E6376E"/>
    <w:rsid w:val="00E63CED"/>
    <w:rsid w:val="00E6521D"/>
    <w:rsid w:val="00E6671D"/>
    <w:rsid w:val="00E73B4C"/>
    <w:rsid w:val="00E74B68"/>
    <w:rsid w:val="00E75547"/>
    <w:rsid w:val="00E80F23"/>
    <w:rsid w:val="00E81F94"/>
    <w:rsid w:val="00E81FE7"/>
    <w:rsid w:val="00E85F14"/>
    <w:rsid w:val="00E905FA"/>
    <w:rsid w:val="00E939BE"/>
    <w:rsid w:val="00E96759"/>
    <w:rsid w:val="00EA38B9"/>
    <w:rsid w:val="00EA3E61"/>
    <w:rsid w:val="00EA4C52"/>
    <w:rsid w:val="00EA582B"/>
    <w:rsid w:val="00EB09CB"/>
    <w:rsid w:val="00EB69A4"/>
    <w:rsid w:val="00EC0DBD"/>
    <w:rsid w:val="00EC28FB"/>
    <w:rsid w:val="00EC33E9"/>
    <w:rsid w:val="00EC3946"/>
    <w:rsid w:val="00EC3992"/>
    <w:rsid w:val="00EC5855"/>
    <w:rsid w:val="00EE0F0F"/>
    <w:rsid w:val="00EE72BF"/>
    <w:rsid w:val="00EF4375"/>
    <w:rsid w:val="00F01D94"/>
    <w:rsid w:val="00F02B7C"/>
    <w:rsid w:val="00F03500"/>
    <w:rsid w:val="00F059ED"/>
    <w:rsid w:val="00F104A5"/>
    <w:rsid w:val="00F12A4C"/>
    <w:rsid w:val="00F12C83"/>
    <w:rsid w:val="00F166AB"/>
    <w:rsid w:val="00F209B6"/>
    <w:rsid w:val="00F230F8"/>
    <w:rsid w:val="00F249AE"/>
    <w:rsid w:val="00F32275"/>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5985-7F6A-4271-B3BA-6851619B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867</Words>
  <Characters>5121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Šmahelová Michala</cp:lastModifiedBy>
  <cp:revision>4</cp:revision>
  <cp:lastPrinted>2018-12-10T12:16:00Z</cp:lastPrinted>
  <dcterms:created xsi:type="dcterms:W3CDTF">2018-12-10T10:47:00Z</dcterms:created>
  <dcterms:modified xsi:type="dcterms:W3CDTF">2018-12-11T10:43:00Z</dcterms:modified>
</cp:coreProperties>
</file>