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-1009650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E81FE7"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BŘEZEN - DUBEN</w:t>
      </w:r>
      <w:r w:rsidR="00B445FA">
        <w:rPr>
          <w:rFonts w:ascii="Tahoma" w:hAnsi="Tahoma" w:cs="Tahoma"/>
          <w:b/>
          <w:color w:val="000000" w:themeColor="text1"/>
          <w:sz w:val="32"/>
          <w:szCs w:val="20"/>
        </w:rPr>
        <w:t xml:space="preserve"> 2018</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417839" w:rsidRPr="000331FE" w:rsidRDefault="00E81FE7" w:rsidP="00384022">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Vyhláška č. 61/2018 Sb., </w:t>
      </w:r>
      <w:r w:rsidRPr="00E81FE7">
        <w:rPr>
          <w:rFonts w:ascii="Tahoma" w:hAnsi="Tahoma" w:cs="Tahoma"/>
          <w:color w:val="000000" w:themeColor="text1"/>
          <w:sz w:val="20"/>
          <w:szCs w:val="20"/>
        </w:rPr>
        <w:t>o seznamu nebezpečných chemických látek, směsí a prachů a podmínkách nakládání s nebezpečnými chemickými látkami a směsmi a podmínkách výkonu činností spojených s nebezpečnou expozicí prachů</w:t>
      </w:r>
    </w:p>
    <w:p w:rsidR="000331FE" w:rsidRPr="000331FE" w:rsidRDefault="000331FE" w:rsidP="000331FE">
      <w:pPr>
        <w:pStyle w:val="Bezmezer"/>
        <w:spacing w:line="360" w:lineRule="auto"/>
        <w:ind w:left="786"/>
        <w:jc w:val="both"/>
        <w:rPr>
          <w:rFonts w:ascii="Tahoma" w:hAnsi="Tahoma" w:cs="Tahoma"/>
          <w:color w:val="000000" w:themeColor="text1"/>
          <w:sz w:val="20"/>
          <w:szCs w:val="20"/>
        </w:rPr>
      </w:pPr>
    </w:p>
    <w:p w:rsidR="00661CF8" w:rsidRPr="00330B21" w:rsidRDefault="00661CF8" w:rsidP="001311AC">
      <w:pPr>
        <w:pStyle w:val="Bezmezer"/>
        <w:spacing w:line="360" w:lineRule="auto"/>
        <w:jc w:val="both"/>
        <w:rPr>
          <w:rFonts w:ascii="Tahoma" w:hAnsi="Tahoma" w:cs="Tahoma"/>
          <w:b/>
          <w:color w:val="000000" w:themeColor="text1"/>
          <w:sz w:val="24"/>
          <w:szCs w:val="20"/>
        </w:rPr>
      </w:pPr>
      <w:r w:rsidRPr="00330B21">
        <w:rPr>
          <w:rFonts w:ascii="Tahoma" w:hAnsi="Tahoma" w:cs="Tahoma"/>
          <w:b/>
          <w:color w:val="000000" w:themeColor="text1"/>
          <w:sz w:val="24"/>
          <w:szCs w:val="20"/>
        </w:rPr>
        <w:t>II. Připravovaná legislativa</w:t>
      </w:r>
    </w:p>
    <w:p w:rsidR="00292D21" w:rsidRDefault="004549DE" w:rsidP="00384022">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Zákon o výběru osob do řídi</w:t>
      </w:r>
      <w:r w:rsidRPr="004549DE">
        <w:rPr>
          <w:rFonts w:ascii="Tahoma" w:hAnsi="Tahoma" w:cs="Tahoma"/>
          <w:color w:val="000000" w:themeColor="text1"/>
          <w:sz w:val="20"/>
          <w:szCs w:val="20"/>
        </w:rPr>
        <w:t>cích a kontrolních orgánů právnických osob s majetkovou účastí</w:t>
      </w:r>
      <w:r>
        <w:rPr>
          <w:rFonts w:ascii="Tahoma" w:hAnsi="Tahoma" w:cs="Tahoma"/>
          <w:color w:val="000000" w:themeColor="text1"/>
          <w:sz w:val="20"/>
          <w:szCs w:val="20"/>
        </w:rPr>
        <w:t xml:space="preserve"> </w:t>
      </w:r>
      <w:r w:rsidRPr="004549DE">
        <w:rPr>
          <w:rFonts w:ascii="Tahoma" w:hAnsi="Tahoma" w:cs="Tahoma"/>
          <w:color w:val="000000" w:themeColor="text1"/>
          <w:sz w:val="20"/>
          <w:szCs w:val="20"/>
        </w:rPr>
        <w:t>státu (nominační zákon)</w:t>
      </w:r>
    </w:p>
    <w:p w:rsidR="004B555E" w:rsidRDefault="004B555E" w:rsidP="00384022">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Návrh zákona, kterým se mění zákony v oblasti daní</w:t>
      </w:r>
    </w:p>
    <w:p w:rsidR="00BF6038" w:rsidRDefault="00BF6038" w:rsidP="00384022">
      <w:pPr>
        <w:pStyle w:val="Bezmezer"/>
        <w:numPr>
          <w:ilvl w:val="0"/>
          <w:numId w:val="3"/>
        </w:numPr>
        <w:spacing w:line="360" w:lineRule="auto"/>
        <w:jc w:val="both"/>
        <w:rPr>
          <w:rFonts w:ascii="Tahoma" w:hAnsi="Tahoma" w:cs="Tahoma"/>
          <w:color w:val="000000" w:themeColor="text1"/>
          <w:sz w:val="20"/>
          <w:szCs w:val="20"/>
        </w:rPr>
      </w:pPr>
      <w:r w:rsidRPr="00BF6038">
        <w:rPr>
          <w:rFonts w:ascii="Tahoma" w:hAnsi="Tahoma" w:cs="Tahoma"/>
          <w:color w:val="000000" w:themeColor="text1"/>
          <w:sz w:val="20"/>
          <w:szCs w:val="20"/>
        </w:rPr>
        <w:t>Novela zákona o hospodaření energií</w:t>
      </w:r>
    </w:p>
    <w:p w:rsidR="00BF6038" w:rsidRDefault="00BF6038" w:rsidP="00384022">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zákona o NKÚ</w:t>
      </w:r>
    </w:p>
    <w:p w:rsidR="00BF6038" w:rsidRDefault="00384022" w:rsidP="00384022">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zákona o obchodních korporacích</w:t>
      </w:r>
    </w:p>
    <w:p w:rsidR="005B1C5E" w:rsidRDefault="005B1C5E" w:rsidP="005B1C5E">
      <w:pPr>
        <w:pStyle w:val="Bezmezer"/>
        <w:spacing w:line="360" w:lineRule="auto"/>
        <w:ind w:left="786"/>
        <w:jc w:val="both"/>
        <w:rPr>
          <w:rFonts w:ascii="Tahoma" w:hAnsi="Tahoma" w:cs="Tahoma"/>
          <w:color w:val="000000" w:themeColor="text1"/>
          <w:sz w:val="20"/>
          <w:szCs w:val="20"/>
        </w:rPr>
      </w:pPr>
    </w:p>
    <w:p w:rsidR="00661CF8" w:rsidRPr="00024EFD" w:rsidRDefault="00292D21" w:rsidP="001311A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5226BE" w:rsidRDefault="00AE6FE8" w:rsidP="00AE6FE8">
      <w:pPr>
        <w:pStyle w:val="Bezmezer"/>
        <w:numPr>
          <w:ilvl w:val="0"/>
          <w:numId w:val="1"/>
        </w:numPr>
        <w:spacing w:line="360" w:lineRule="auto"/>
        <w:jc w:val="both"/>
        <w:rPr>
          <w:rFonts w:ascii="Tahoma" w:hAnsi="Tahoma" w:cs="Tahoma"/>
          <w:color w:val="000000" w:themeColor="text1"/>
          <w:sz w:val="20"/>
          <w:szCs w:val="20"/>
        </w:rPr>
      </w:pPr>
      <w:r w:rsidRPr="00AE6FE8">
        <w:rPr>
          <w:rFonts w:ascii="Tahoma" w:hAnsi="Tahoma" w:cs="Tahoma"/>
          <w:color w:val="000000" w:themeColor="text1"/>
          <w:sz w:val="20"/>
          <w:szCs w:val="20"/>
        </w:rPr>
        <w:t>Daň z přidané hodnoty: daňový podvod</w:t>
      </w:r>
    </w:p>
    <w:p w:rsidR="00DE736D" w:rsidRDefault="00AE6FE8" w:rsidP="00AE6FE8">
      <w:pPr>
        <w:pStyle w:val="Bezmezer"/>
        <w:numPr>
          <w:ilvl w:val="0"/>
          <w:numId w:val="1"/>
        </w:numPr>
        <w:spacing w:line="360" w:lineRule="auto"/>
        <w:jc w:val="both"/>
        <w:rPr>
          <w:rFonts w:ascii="Tahoma" w:hAnsi="Tahoma" w:cs="Tahoma"/>
          <w:color w:val="000000" w:themeColor="text1"/>
          <w:sz w:val="20"/>
          <w:szCs w:val="20"/>
        </w:rPr>
      </w:pPr>
      <w:r w:rsidRPr="00AE6FE8">
        <w:rPr>
          <w:rFonts w:ascii="Tahoma" w:hAnsi="Tahoma" w:cs="Tahoma"/>
          <w:color w:val="000000" w:themeColor="text1"/>
          <w:sz w:val="20"/>
          <w:szCs w:val="20"/>
        </w:rPr>
        <w:t>Obchodní společnost Pražská plynárenská Servis distribuce, a. s. je povinným subjektem podle zákona o svobodném přístupu k</w:t>
      </w:r>
      <w:r>
        <w:rPr>
          <w:rFonts w:ascii="Tahoma" w:hAnsi="Tahoma" w:cs="Tahoma"/>
          <w:color w:val="000000" w:themeColor="text1"/>
          <w:sz w:val="20"/>
          <w:szCs w:val="20"/>
        </w:rPr>
        <w:t> </w:t>
      </w:r>
      <w:r w:rsidRPr="00AE6FE8">
        <w:rPr>
          <w:rFonts w:ascii="Tahoma" w:hAnsi="Tahoma" w:cs="Tahoma"/>
          <w:color w:val="000000" w:themeColor="text1"/>
          <w:sz w:val="20"/>
          <w:szCs w:val="20"/>
        </w:rPr>
        <w:t>informacím</w:t>
      </w:r>
    </w:p>
    <w:p w:rsidR="00AE6FE8" w:rsidRDefault="00AE6FE8" w:rsidP="00AE6FE8">
      <w:pPr>
        <w:pStyle w:val="Bezmezer"/>
        <w:numPr>
          <w:ilvl w:val="0"/>
          <w:numId w:val="1"/>
        </w:numPr>
        <w:spacing w:line="360" w:lineRule="auto"/>
        <w:jc w:val="both"/>
        <w:rPr>
          <w:rFonts w:ascii="Tahoma" w:hAnsi="Tahoma" w:cs="Tahoma"/>
          <w:color w:val="000000" w:themeColor="text1"/>
          <w:sz w:val="20"/>
          <w:szCs w:val="20"/>
        </w:rPr>
      </w:pPr>
      <w:r w:rsidRPr="00AE6FE8">
        <w:rPr>
          <w:rFonts w:ascii="Tahoma" w:hAnsi="Tahoma" w:cs="Tahoma"/>
          <w:color w:val="000000" w:themeColor="text1"/>
          <w:sz w:val="20"/>
          <w:szCs w:val="20"/>
        </w:rPr>
        <w:t>Zvukový záznam tzv. monitorovaného hovoru jako důkazní prostředek v občanském soudním řízení</w:t>
      </w:r>
    </w:p>
    <w:p w:rsidR="00C915B1" w:rsidRPr="005226BE" w:rsidRDefault="00C915B1" w:rsidP="00C915B1">
      <w:pPr>
        <w:pStyle w:val="Bezmezer"/>
        <w:numPr>
          <w:ilvl w:val="0"/>
          <w:numId w:val="1"/>
        </w:numPr>
        <w:spacing w:line="360" w:lineRule="auto"/>
        <w:jc w:val="both"/>
        <w:rPr>
          <w:rFonts w:ascii="Tahoma" w:hAnsi="Tahoma" w:cs="Tahoma"/>
          <w:color w:val="000000" w:themeColor="text1"/>
          <w:sz w:val="20"/>
          <w:szCs w:val="20"/>
        </w:rPr>
      </w:pPr>
      <w:r w:rsidRPr="00C915B1">
        <w:rPr>
          <w:rFonts w:ascii="Tahoma" w:hAnsi="Tahoma" w:cs="Tahoma"/>
          <w:color w:val="000000" w:themeColor="text1"/>
          <w:sz w:val="20"/>
          <w:szCs w:val="20"/>
        </w:rPr>
        <w:t>Propadlá bankovní záruka je důvodem k vyloučení uchazeče ze zadávacího řízení</w:t>
      </w:r>
    </w:p>
    <w:p w:rsidR="00856973" w:rsidRDefault="00856973" w:rsidP="00B445FA">
      <w:pPr>
        <w:pStyle w:val="Bezmezer"/>
        <w:spacing w:line="360" w:lineRule="auto"/>
        <w:jc w:val="both"/>
        <w:rPr>
          <w:rFonts w:ascii="Tahoma" w:hAnsi="Tahoma" w:cs="Tahoma"/>
          <w:b/>
          <w:color w:val="000000" w:themeColor="text1"/>
          <w:sz w:val="24"/>
          <w:szCs w:val="20"/>
        </w:rPr>
      </w:pPr>
    </w:p>
    <w:p w:rsidR="00B445FA" w:rsidRDefault="00B445FA"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073DF1" w:rsidRDefault="00073DF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BC27A0" w:rsidRPr="00DB40CC" w:rsidRDefault="00BC27A0" w:rsidP="0099311C">
      <w:pPr>
        <w:pStyle w:val="Bezmezer"/>
        <w:numPr>
          <w:ilvl w:val="0"/>
          <w:numId w:val="2"/>
        </w:numPr>
        <w:pBdr>
          <w:bottom w:val="single" w:sz="4" w:space="1" w:color="auto"/>
        </w:pBdr>
        <w:shd w:val="clear" w:color="auto" w:fill="CAEECA"/>
        <w:spacing w:line="360" w:lineRule="auto"/>
        <w:jc w:val="center"/>
        <w:rPr>
          <w:rFonts w:ascii="Tahoma" w:hAnsi="Tahoma" w:cs="Tahoma"/>
          <w:b/>
          <w:sz w:val="28"/>
          <w:szCs w:val="20"/>
        </w:rPr>
      </w:pPr>
      <w:r w:rsidRPr="00DB40CC">
        <w:rPr>
          <w:rFonts w:ascii="Tahoma" w:hAnsi="Tahoma" w:cs="Tahoma"/>
          <w:b/>
          <w:sz w:val="28"/>
          <w:szCs w:val="20"/>
        </w:rPr>
        <w:lastRenderedPageBreak/>
        <w:t>Platné právní předpisy vyhlášené ve Sbírce zákonů</w:t>
      </w:r>
    </w:p>
    <w:p w:rsidR="009D37B7" w:rsidRPr="0099311C" w:rsidRDefault="009D37B7" w:rsidP="0099311C">
      <w:pPr>
        <w:pStyle w:val="Normlnweb"/>
        <w:pBdr>
          <w:bottom w:val="single" w:sz="4" w:space="1" w:color="auto"/>
        </w:pBdr>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99311C" w:rsidRDefault="0099311C" w:rsidP="0099311C">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r w:rsidRPr="0099311C">
        <w:rPr>
          <w:rFonts w:ascii="Tahoma" w:hAnsi="Tahoma" w:cs="Tahoma"/>
          <w:b/>
          <w:color w:val="000000" w:themeColor="text1"/>
          <w:szCs w:val="20"/>
        </w:rPr>
        <w:t>Vyhláška č. 61/2018 Sb., o seznamu nebezpečných chemických látek, směsí a prachů a podmínkách nakládání s nebezpečnými chemickými látkami a směsmi a podmínkách výkonu činností spojených s nebezpečnou expozicí prachů</w:t>
      </w:r>
    </w:p>
    <w:p w:rsidR="0099311C" w:rsidRPr="0099311C" w:rsidRDefault="0099311C" w:rsidP="0099311C">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9D37B7" w:rsidRDefault="0099311C" w:rsidP="0099311C">
      <w:pPr>
        <w:pStyle w:val="Bezmezer"/>
        <w:jc w:val="both"/>
        <w:rPr>
          <w:rFonts w:ascii="Tahoma" w:hAnsi="Tahoma" w:cs="Tahoma"/>
          <w:sz w:val="20"/>
          <w:szCs w:val="20"/>
        </w:rPr>
      </w:pPr>
      <w:r w:rsidRPr="0099311C">
        <w:rPr>
          <w:rFonts w:ascii="Tahoma" w:hAnsi="Tahoma" w:cs="Tahoma"/>
          <w:sz w:val="20"/>
          <w:szCs w:val="20"/>
        </w:rPr>
        <w:t>Dne 12. 4. 2018 byla ve Sbírce zákonů publikována pod č. 61/2018 Sb. vyhláška o seznamu nebezpečných chemických látek, směsí a prachů a podmínkách nakládání s nebezpečnými chemickými látkami a směsmi a podmínkách výkonu činností spojených s nebezpečnou expozicí prachů.</w:t>
      </w:r>
    </w:p>
    <w:p w:rsidR="0099311C" w:rsidRDefault="0099311C" w:rsidP="0099311C">
      <w:pPr>
        <w:pStyle w:val="Bezmezer"/>
        <w:jc w:val="both"/>
        <w:rPr>
          <w:rFonts w:ascii="Tahoma" w:hAnsi="Tahoma" w:cs="Tahoma"/>
          <w:sz w:val="20"/>
          <w:szCs w:val="20"/>
        </w:rPr>
      </w:pPr>
    </w:p>
    <w:p w:rsidR="0099311C" w:rsidRPr="0099311C" w:rsidRDefault="0099311C" w:rsidP="0099311C">
      <w:pPr>
        <w:pStyle w:val="Bezmezer"/>
        <w:jc w:val="both"/>
        <w:rPr>
          <w:rFonts w:ascii="Tahoma" w:hAnsi="Tahoma" w:cs="Tahoma"/>
          <w:sz w:val="20"/>
          <w:szCs w:val="20"/>
        </w:rPr>
      </w:pPr>
      <w:r w:rsidRPr="0099311C">
        <w:rPr>
          <w:rFonts w:ascii="Tahoma" w:hAnsi="Tahoma" w:cs="Tahoma"/>
          <w:sz w:val="20"/>
          <w:szCs w:val="20"/>
        </w:rPr>
        <w:t>Vyhláška byla vydána Ministerstvem školství podle § 65 odst. 4 školského zákona, když nově upravuje seznam nebezpečných chemických látek a směsí, se kterými mohou žáci při praktickém vyučování nakládat pod přímým dohledem nebo dozorem osoby s odbornou způsobilostí podle zákona o ochraně veřejného zdraví, seznam prachů, kterým mohou být žáci v rámci praktického vyučování vystaveni při výkonu činností spojených s nebezpečnou expozicí prachu, podmínky nakládání s nebezpečnými chemickými látkami a směsmi, a podmínky výkonu činností spojených s nebezpečnou expozicí prachu.</w:t>
      </w:r>
    </w:p>
    <w:p w:rsidR="0099311C" w:rsidRPr="0099311C" w:rsidRDefault="0099311C" w:rsidP="0099311C">
      <w:pPr>
        <w:pStyle w:val="Bezmezer"/>
        <w:jc w:val="both"/>
        <w:rPr>
          <w:rFonts w:ascii="Tahoma" w:hAnsi="Tahoma" w:cs="Tahoma"/>
          <w:sz w:val="20"/>
          <w:szCs w:val="20"/>
        </w:rPr>
      </w:pPr>
    </w:p>
    <w:p w:rsidR="0099311C" w:rsidRDefault="0099311C" w:rsidP="0099311C">
      <w:pPr>
        <w:pStyle w:val="Bezmezer"/>
        <w:jc w:val="both"/>
        <w:rPr>
          <w:rFonts w:ascii="Tahoma" w:hAnsi="Tahoma" w:cs="Tahoma"/>
          <w:sz w:val="20"/>
          <w:szCs w:val="20"/>
        </w:rPr>
      </w:pPr>
      <w:r w:rsidRPr="0099311C">
        <w:rPr>
          <w:rFonts w:ascii="Tahoma" w:hAnsi="Tahoma" w:cs="Tahoma"/>
          <w:sz w:val="20"/>
          <w:szCs w:val="20"/>
        </w:rPr>
        <w:t>Vyhláška je projevem transpozice evropské směrnice 94/33/ES o ochraně mladistvých pracovníků, svou úpravou rovněž navazuje na přímo použitelná evropská nařízení, a sice nařízení č. 1907/2006 o registraci, hodnocení, povolování a omezování chemických látek, a nařízení č. 1272/2008 o klasifikaci, označování a balení látek a směsí.</w:t>
      </w:r>
    </w:p>
    <w:p w:rsidR="0099311C" w:rsidRDefault="0099311C" w:rsidP="0099311C">
      <w:pPr>
        <w:pStyle w:val="Bezmezer"/>
        <w:jc w:val="both"/>
        <w:rPr>
          <w:rFonts w:ascii="Tahoma" w:hAnsi="Tahoma" w:cs="Tahoma"/>
          <w:sz w:val="20"/>
          <w:szCs w:val="20"/>
        </w:rPr>
      </w:pPr>
    </w:p>
    <w:p w:rsidR="0099311C" w:rsidRPr="00C17383" w:rsidRDefault="0099311C" w:rsidP="0099311C">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HSE analyzuje možný dopad vyhlášky do výkonu praxe </w:t>
      </w:r>
      <w:r w:rsidR="00333363">
        <w:rPr>
          <w:rStyle w:val="Hypertextovodkaz"/>
          <w:rFonts w:ascii="Tahoma" w:eastAsia="Times New Roman" w:hAnsi="Tahoma" w:cs="Tahoma"/>
          <w:bCs/>
          <w:i/>
          <w:color w:val="000000" w:themeColor="text1"/>
          <w:kern w:val="36"/>
          <w:sz w:val="20"/>
          <w:szCs w:val="20"/>
          <w:u w:val="none"/>
          <w:lang w:eastAsia="cs-CZ"/>
        </w:rPr>
        <w:t>stážistů</w:t>
      </w:r>
      <w:r>
        <w:rPr>
          <w:rStyle w:val="Hypertextovodkaz"/>
          <w:rFonts w:ascii="Tahoma" w:eastAsia="Times New Roman" w:hAnsi="Tahoma" w:cs="Tahoma"/>
          <w:bCs/>
          <w:i/>
          <w:color w:val="000000" w:themeColor="text1"/>
          <w:kern w:val="36"/>
          <w:sz w:val="20"/>
          <w:szCs w:val="20"/>
          <w:u w:val="none"/>
          <w:lang w:eastAsia="cs-CZ"/>
        </w:rPr>
        <w:t xml:space="preserve"> ve skladech ČEPRO.</w:t>
      </w:r>
    </w:p>
    <w:p w:rsidR="0099311C" w:rsidRPr="0099311C" w:rsidRDefault="0099311C" w:rsidP="0099311C">
      <w:pPr>
        <w:pStyle w:val="Bezmezer"/>
        <w:jc w:val="both"/>
        <w:rPr>
          <w:rFonts w:ascii="Tahoma" w:hAnsi="Tahoma" w:cs="Tahoma"/>
          <w:sz w:val="20"/>
          <w:szCs w:val="20"/>
        </w:rPr>
      </w:pPr>
    </w:p>
    <w:p w:rsidR="00A1138A" w:rsidRPr="00DB40CC" w:rsidRDefault="00A1138A"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CE7FBD" w:rsidRPr="002B11D7" w:rsidRDefault="004549DE" w:rsidP="004549D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Zákon o výběru osob do řídi</w:t>
      </w:r>
      <w:r w:rsidRPr="004549DE">
        <w:rPr>
          <w:rStyle w:val="Hypertextovodkaz"/>
          <w:rFonts w:ascii="Tahoma" w:eastAsia="Times New Roman" w:hAnsi="Tahoma" w:cs="Tahoma"/>
          <w:b/>
          <w:bCs/>
          <w:color w:val="000000" w:themeColor="text1"/>
          <w:kern w:val="36"/>
          <w:sz w:val="24"/>
          <w:szCs w:val="20"/>
          <w:u w:val="none"/>
          <w:lang w:eastAsia="cs-CZ"/>
        </w:rPr>
        <w:t xml:space="preserve">cích a kontrolních </w:t>
      </w:r>
      <w:r>
        <w:rPr>
          <w:rStyle w:val="Hypertextovodkaz"/>
          <w:rFonts w:ascii="Tahoma" w:eastAsia="Times New Roman" w:hAnsi="Tahoma" w:cs="Tahoma"/>
          <w:b/>
          <w:bCs/>
          <w:color w:val="000000" w:themeColor="text1"/>
          <w:kern w:val="36"/>
          <w:sz w:val="24"/>
          <w:szCs w:val="20"/>
          <w:u w:val="none"/>
          <w:lang w:eastAsia="cs-CZ"/>
        </w:rPr>
        <w:t xml:space="preserve">orgánů právnických osob s majetkovou účastí </w:t>
      </w:r>
      <w:r w:rsidRPr="004549DE">
        <w:rPr>
          <w:rStyle w:val="Hypertextovodkaz"/>
          <w:rFonts w:ascii="Tahoma" w:eastAsia="Times New Roman" w:hAnsi="Tahoma" w:cs="Tahoma"/>
          <w:b/>
          <w:bCs/>
          <w:color w:val="000000" w:themeColor="text1"/>
          <w:kern w:val="36"/>
          <w:sz w:val="24"/>
          <w:szCs w:val="20"/>
          <w:u w:val="none"/>
          <w:lang w:eastAsia="cs-CZ"/>
        </w:rPr>
        <w:t>státu (nominační zákon)</w:t>
      </w:r>
    </w:p>
    <w:p w:rsidR="0099311C" w:rsidRDefault="0099311C" w:rsidP="0099311C">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w:t>
      </w:r>
      <w:r w:rsidR="004549DE">
        <w:rPr>
          <w:rStyle w:val="Hypertextovodkaz"/>
          <w:rFonts w:ascii="Tahoma" w:eastAsia="Times New Roman" w:hAnsi="Tahoma" w:cs="Tahoma"/>
          <w:bCs/>
          <w:color w:val="000000" w:themeColor="text1"/>
          <w:kern w:val="36"/>
          <w:sz w:val="20"/>
          <w:szCs w:val="20"/>
          <w:u w:val="none"/>
          <w:lang w:eastAsia="cs-CZ"/>
        </w:rPr>
        <w:t xml:space="preserve"> </w:t>
      </w:r>
      <w:proofErr w:type="gramStart"/>
      <w:r w:rsidR="004549DE">
        <w:rPr>
          <w:rStyle w:val="Hypertextovodkaz"/>
          <w:rFonts w:ascii="Tahoma" w:eastAsia="Times New Roman" w:hAnsi="Tahoma" w:cs="Tahoma"/>
          <w:bCs/>
          <w:color w:val="000000" w:themeColor="text1"/>
          <w:kern w:val="36"/>
          <w:sz w:val="20"/>
          <w:szCs w:val="20"/>
          <w:u w:val="none"/>
          <w:lang w:eastAsia="cs-CZ"/>
        </w:rPr>
        <w:t xml:space="preserve">129 </w:t>
      </w:r>
      <w:r>
        <w:rPr>
          <w:rStyle w:val="Hypertextovodkaz"/>
          <w:rFonts w:ascii="Tahoma" w:eastAsia="Times New Roman" w:hAnsi="Tahoma" w:cs="Tahoma"/>
          <w:bCs/>
          <w:color w:val="000000" w:themeColor="text1"/>
          <w:kern w:val="36"/>
          <w:sz w:val="20"/>
          <w:szCs w:val="20"/>
          <w:u w:val="none"/>
          <w:lang w:eastAsia="cs-CZ"/>
        </w:rPr>
        <w:t>)</w:t>
      </w:r>
      <w:proofErr w:type="gramEnd"/>
    </w:p>
    <w:p w:rsidR="008F3C49" w:rsidRDefault="008F3C49" w:rsidP="00993A3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9D37B7" w:rsidRDefault="00640821" w:rsidP="0099311C">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Dne</w:t>
      </w:r>
      <w:r w:rsidR="004549DE">
        <w:rPr>
          <w:rStyle w:val="Hypertextovodkaz"/>
          <w:rFonts w:ascii="Tahoma" w:eastAsia="Times New Roman" w:hAnsi="Tahoma" w:cs="Tahoma"/>
          <w:bCs/>
          <w:color w:val="000000" w:themeColor="text1"/>
          <w:kern w:val="36"/>
          <w:sz w:val="20"/>
          <w:szCs w:val="20"/>
          <w:u w:val="none"/>
          <w:lang w:eastAsia="cs-CZ"/>
        </w:rPr>
        <w:t xml:space="preserve"> 20. 3. 2018 byl předložen Poslanecké sněmovně návrh nového zákona o</w:t>
      </w:r>
      <w:r w:rsidR="004549DE" w:rsidRPr="004549DE">
        <w:rPr>
          <w:rStyle w:val="Hypertextovodkaz"/>
          <w:rFonts w:ascii="Tahoma" w:eastAsia="Times New Roman" w:hAnsi="Tahoma" w:cs="Tahoma"/>
          <w:bCs/>
          <w:color w:val="000000" w:themeColor="text1"/>
          <w:kern w:val="36"/>
          <w:sz w:val="20"/>
          <w:szCs w:val="20"/>
          <w:u w:val="none"/>
          <w:lang w:eastAsia="cs-CZ"/>
        </w:rPr>
        <w:t xml:space="preserve"> výběru osob do řídících a kontrolních orgánů právnických osob s majetkovou účastí státu</w:t>
      </w:r>
      <w:r w:rsidR="004549DE">
        <w:rPr>
          <w:rStyle w:val="Hypertextovodkaz"/>
          <w:rFonts w:ascii="Tahoma" w:eastAsia="Times New Roman" w:hAnsi="Tahoma" w:cs="Tahoma"/>
          <w:bCs/>
          <w:color w:val="000000" w:themeColor="text1"/>
          <w:kern w:val="36"/>
          <w:sz w:val="20"/>
          <w:szCs w:val="20"/>
          <w:u w:val="none"/>
          <w:lang w:eastAsia="cs-CZ"/>
        </w:rPr>
        <w:t>, tzv.</w:t>
      </w:r>
      <w:r w:rsidR="004549DE" w:rsidRPr="004549DE">
        <w:rPr>
          <w:rStyle w:val="Hypertextovodkaz"/>
          <w:rFonts w:ascii="Tahoma" w:eastAsia="Times New Roman" w:hAnsi="Tahoma" w:cs="Tahoma"/>
          <w:bCs/>
          <w:color w:val="000000" w:themeColor="text1"/>
          <w:kern w:val="36"/>
          <w:sz w:val="20"/>
          <w:szCs w:val="20"/>
          <w:u w:val="none"/>
          <w:lang w:eastAsia="cs-CZ"/>
        </w:rPr>
        <w:t xml:space="preserve"> </w:t>
      </w:r>
      <w:r w:rsidR="004549DE">
        <w:rPr>
          <w:rStyle w:val="Hypertextovodkaz"/>
          <w:rFonts w:ascii="Tahoma" w:eastAsia="Times New Roman" w:hAnsi="Tahoma" w:cs="Tahoma"/>
          <w:bCs/>
          <w:color w:val="000000" w:themeColor="text1"/>
          <w:kern w:val="36"/>
          <w:sz w:val="20"/>
          <w:szCs w:val="20"/>
          <w:u w:val="none"/>
          <w:lang w:eastAsia="cs-CZ"/>
        </w:rPr>
        <w:t>nominační zákon, který si klade za cíl zprůhlednit</w:t>
      </w:r>
      <w:r w:rsidR="004549DE" w:rsidRPr="004549DE">
        <w:rPr>
          <w:rStyle w:val="Hypertextovodkaz"/>
          <w:rFonts w:ascii="Tahoma" w:eastAsia="Times New Roman" w:hAnsi="Tahoma" w:cs="Tahoma"/>
          <w:bCs/>
          <w:color w:val="000000" w:themeColor="text1"/>
          <w:kern w:val="36"/>
          <w:sz w:val="20"/>
          <w:szCs w:val="20"/>
          <w:u w:val="none"/>
          <w:lang w:eastAsia="cs-CZ"/>
        </w:rPr>
        <w:t xml:space="preserve"> výběr lidí do řídicích a kontrolních orgánů státních a polostátních společností.</w:t>
      </w:r>
    </w:p>
    <w:p w:rsidR="004549DE" w:rsidRDefault="004549DE"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4549DE" w:rsidRPr="004549DE" w:rsidRDefault="004549DE" w:rsidP="004549DE">
      <w:pPr>
        <w:pStyle w:val="Bezmezer"/>
        <w:jc w:val="both"/>
        <w:rPr>
          <w:rStyle w:val="Hypertextovodkaz"/>
          <w:rFonts w:ascii="Tahoma" w:eastAsia="Times New Roman" w:hAnsi="Tahoma" w:cs="Tahoma"/>
          <w:bCs/>
          <w:color w:val="000000" w:themeColor="text1"/>
          <w:kern w:val="36"/>
          <w:sz w:val="20"/>
          <w:szCs w:val="20"/>
          <w:u w:val="none"/>
          <w:lang w:eastAsia="cs-CZ"/>
        </w:rPr>
      </w:pPr>
      <w:r w:rsidRPr="004549DE">
        <w:rPr>
          <w:rStyle w:val="Hypertextovodkaz"/>
          <w:rFonts w:ascii="Tahoma" w:eastAsia="Times New Roman" w:hAnsi="Tahoma" w:cs="Tahoma"/>
          <w:bCs/>
          <w:color w:val="000000" w:themeColor="text1"/>
          <w:kern w:val="36"/>
          <w:sz w:val="20"/>
          <w:szCs w:val="20"/>
          <w:u w:val="none"/>
          <w:lang w:eastAsia="cs-CZ"/>
        </w:rPr>
        <w:t>Principem navrhované právní úpravy je transparentn</w:t>
      </w:r>
      <w:r>
        <w:rPr>
          <w:rStyle w:val="Hypertextovodkaz"/>
          <w:rFonts w:ascii="Tahoma" w:eastAsia="Times New Roman" w:hAnsi="Tahoma" w:cs="Tahoma"/>
          <w:bCs/>
          <w:color w:val="000000" w:themeColor="text1"/>
          <w:kern w:val="36"/>
          <w:sz w:val="20"/>
          <w:szCs w:val="20"/>
          <w:u w:val="none"/>
          <w:lang w:eastAsia="cs-CZ"/>
        </w:rPr>
        <w:t xml:space="preserve">í výběr odborníků do řídicích a </w:t>
      </w:r>
      <w:r w:rsidRPr="004549DE">
        <w:rPr>
          <w:rStyle w:val="Hypertextovodkaz"/>
          <w:rFonts w:ascii="Tahoma" w:eastAsia="Times New Roman" w:hAnsi="Tahoma" w:cs="Tahoma"/>
          <w:bCs/>
          <w:color w:val="000000" w:themeColor="text1"/>
          <w:kern w:val="36"/>
          <w:sz w:val="20"/>
          <w:szCs w:val="20"/>
          <w:u w:val="none"/>
          <w:lang w:eastAsia="cs-CZ"/>
        </w:rPr>
        <w:t>kontrolních orgánů právnických osob s majetkovou účast</w:t>
      </w:r>
      <w:r>
        <w:rPr>
          <w:rStyle w:val="Hypertextovodkaz"/>
          <w:rFonts w:ascii="Tahoma" w:eastAsia="Times New Roman" w:hAnsi="Tahoma" w:cs="Tahoma"/>
          <w:bCs/>
          <w:color w:val="000000" w:themeColor="text1"/>
          <w:kern w:val="36"/>
          <w:sz w:val="20"/>
          <w:szCs w:val="20"/>
          <w:u w:val="none"/>
          <w:lang w:eastAsia="cs-CZ"/>
        </w:rPr>
        <w:t xml:space="preserve">í státu na základě objektivních </w:t>
      </w:r>
      <w:r w:rsidRPr="004549DE">
        <w:rPr>
          <w:rStyle w:val="Hypertextovodkaz"/>
          <w:rFonts w:ascii="Tahoma" w:eastAsia="Times New Roman" w:hAnsi="Tahoma" w:cs="Tahoma"/>
          <w:bCs/>
          <w:color w:val="000000" w:themeColor="text1"/>
          <w:kern w:val="36"/>
          <w:sz w:val="20"/>
          <w:szCs w:val="20"/>
          <w:u w:val="none"/>
          <w:lang w:eastAsia="cs-CZ"/>
        </w:rPr>
        <w:t>kri</w:t>
      </w:r>
      <w:r>
        <w:rPr>
          <w:rStyle w:val="Hypertextovodkaz"/>
          <w:rFonts w:ascii="Tahoma" w:eastAsia="Times New Roman" w:hAnsi="Tahoma" w:cs="Tahoma"/>
          <w:bCs/>
          <w:color w:val="000000" w:themeColor="text1"/>
          <w:kern w:val="36"/>
          <w:sz w:val="20"/>
          <w:szCs w:val="20"/>
          <w:u w:val="none"/>
          <w:lang w:eastAsia="cs-CZ"/>
        </w:rPr>
        <w:t xml:space="preserve">térií a pod veřejnou kontrolou. </w:t>
      </w:r>
      <w:r w:rsidRPr="004549DE">
        <w:rPr>
          <w:rStyle w:val="Hypertextovodkaz"/>
          <w:rFonts w:ascii="Tahoma" w:eastAsia="Times New Roman" w:hAnsi="Tahoma" w:cs="Tahoma"/>
          <w:bCs/>
          <w:color w:val="000000" w:themeColor="text1"/>
          <w:kern w:val="36"/>
          <w:sz w:val="20"/>
          <w:szCs w:val="20"/>
          <w:u w:val="none"/>
          <w:lang w:eastAsia="cs-CZ"/>
        </w:rPr>
        <w:t>Jde zejména o pravidla spo</w:t>
      </w:r>
      <w:r>
        <w:rPr>
          <w:rStyle w:val="Hypertextovodkaz"/>
          <w:rFonts w:ascii="Tahoma" w:eastAsia="Times New Roman" w:hAnsi="Tahoma" w:cs="Tahoma"/>
          <w:bCs/>
          <w:color w:val="000000" w:themeColor="text1"/>
          <w:kern w:val="36"/>
          <w:sz w:val="20"/>
          <w:szCs w:val="20"/>
          <w:u w:val="none"/>
          <w:lang w:eastAsia="cs-CZ"/>
        </w:rPr>
        <w:t xml:space="preserve">čívající v nastavení výběrových </w:t>
      </w:r>
      <w:r w:rsidRPr="004549DE">
        <w:rPr>
          <w:rStyle w:val="Hypertextovodkaz"/>
          <w:rFonts w:ascii="Tahoma" w:eastAsia="Times New Roman" w:hAnsi="Tahoma" w:cs="Tahoma"/>
          <w:bCs/>
          <w:color w:val="000000" w:themeColor="text1"/>
          <w:kern w:val="36"/>
          <w:sz w:val="20"/>
          <w:szCs w:val="20"/>
          <w:u w:val="none"/>
          <w:lang w:eastAsia="cs-CZ"/>
        </w:rPr>
        <w:t xml:space="preserve">řízení do předmětných orgánů, </w:t>
      </w:r>
      <w:proofErr w:type="spellStart"/>
      <w:r w:rsidRPr="004549DE">
        <w:rPr>
          <w:rStyle w:val="Hypertextovodkaz"/>
          <w:rFonts w:ascii="Tahoma" w:eastAsia="Times New Roman" w:hAnsi="Tahoma" w:cs="Tahoma"/>
          <w:bCs/>
          <w:color w:val="000000" w:themeColor="text1"/>
          <w:kern w:val="36"/>
          <w:sz w:val="20"/>
          <w:szCs w:val="20"/>
          <w:u w:val="none"/>
          <w:lang w:eastAsia="cs-CZ"/>
        </w:rPr>
        <w:t>zveřejňovací</w:t>
      </w:r>
      <w:proofErr w:type="spellEnd"/>
      <w:r w:rsidRPr="004549DE">
        <w:rPr>
          <w:rStyle w:val="Hypertextovodkaz"/>
          <w:rFonts w:ascii="Tahoma" w:eastAsia="Times New Roman" w:hAnsi="Tahoma" w:cs="Tahoma"/>
          <w:bCs/>
          <w:color w:val="000000" w:themeColor="text1"/>
          <w:kern w:val="36"/>
          <w:sz w:val="20"/>
          <w:szCs w:val="20"/>
          <w:u w:val="none"/>
          <w:lang w:eastAsia="cs-CZ"/>
        </w:rPr>
        <w:t xml:space="preserve"> povinnosti (zveřejňování </w:t>
      </w:r>
      <w:proofErr w:type="spellStart"/>
      <w:r w:rsidRPr="004549DE">
        <w:rPr>
          <w:rStyle w:val="Hypertextovodkaz"/>
          <w:rFonts w:ascii="Tahoma" w:eastAsia="Times New Roman" w:hAnsi="Tahoma" w:cs="Tahoma"/>
          <w:bCs/>
          <w:color w:val="000000" w:themeColor="text1"/>
          <w:kern w:val="36"/>
          <w:sz w:val="20"/>
          <w:szCs w:val="20"/>
          <w:u w:val="none"/>
          <w:lang w:eastAsia="cs-CZ"/>
        </w:rPr>
        <w:t>nominantů</w:t>
      </w:r>
      <w:proofErr w:type="spellEnd"/>
      <w:r w:rsidRPr="004549DE">
        <w:rPr>
          <w:rStyle w:val="Hypertextovodkaz"/>
          <w:rFonts w:ascii="Tahoma" w:eastAsia="Times New Roman" w:hAnsi="Tahoma" w:cs="Tahoma"/>
          <w:bCs/>
          <w:color w:val="000000" w:themeColor="text1"/>
          <w:kern w:val="36"/>
          <w:sz w:val="20"/>
          <w:szCs w:val="20"/>
          <w:u w:val="none"/>
          <w:lang w:eastAsia="cs-CZ"/>
        </w:rPr>
        <w:t>, zá</w:t>
      </w:r>
      <w:r>
        <w:rPr>
          <w:rStyle w:val="Hypertextovodkaz"/>
          <w:rFonts w:ascii="Tahoma" w:eastAsia="Times New Roman" w:hAnsi="Tahoma" w:cs="Tahoma"/>
          <w:bCs/>
          <w:color w:val="000000" w:themeColor="text1"/>
          <w:kern w:val="36"/>
          <w:sz w:val="20"/>
          <w:szCs w:val="20"/>
          <w:u w:val="none"/>
          <w:lang w:eastAsia="cs-CZ"/>
        </w:rPr>
        <w:t xml:space="preserve">pisů </w:t>
      </w:r>
      <w:r w:rsidRPr="004549DE">
        <w:rPr>
          <w:rStyle w:val="Hypertextovodkaz"/>
          <w:rFonts w:ascii="Tahoma" w:eastAsia="Times New Roman" w:hAnsi="Tahoma" w:cs="Tahoma"/>
          <w:bCs/>
          <w:color w:val="000000" w:themeColor="text1"/>
          <w:kern w:val="36"/>
          <w:sz w:val="20"/>
          <w:szCs w:val="20"/>
          <w:u w:val="none"/>
          <w:lang w:eastAsia="cs-CZ"/>
        </w:rPr>
        <w:t>z jednání Výboru pro personální nominace atd.).</w:t>
      </w:r>
    </w:p>
    <w:p w:rsidR="004549DE" w:rsidRDefault="004549DE" w:rsidP="004549DE">
      <w:pPr>
        <w:pStyle w:val="Bezmezer"/>
        <w:jc w:val="both"/>
        <w:rPr>
          <w:rStyle w:val="Hypertextovodkaz"/>
          <w:rFonts w:ascii="Tahoma" w:eastAsia="Times New Roman" w:hAnsi="Tahoma" w:cs="Tahoma"/>
          <w:bCs/>
          <w:color w:val="000000" w:themeColor="text1"/>
          <w:kern w:val="36"/>
          <w:sz w:val="20"/>
          <w:szCs w:val="20"/>
          <w:u w:val="none"/>
          <w:lang w:eastAsia="cs-CZ"/>
        </w:rPr>
      </w:pPr>
    </w:p>
    <w:p w:rsidR="004549DE" w:rsidRDefault="004549DE" w:rsidP="004549DE">
      <w:pPr>
        <w:pStyle w:val="Bezmezer"/>
        <w:jc w:val="both"/>
        <w:rPr>
          <w:rStyle w:val="Hypertextovodkaz"/>
          <w:rFonts w:ascii="Tahoma" w:eastAsia="Times New Roman" w:hAnsi="Tahoma" w:cs="Tahoma"/>
          <w:bCs/>
          <w:color w:val="000000" w:themeColor="text1"/>
          <w:kern w:val="36"/>
          <w:sz w:val="20"/>
          <w:szCs w:val="20"/>
          <w:u w:val="none"/>
          <w:lang w:eastAsia="cs-CZ"/>
        </w:rPr>
      </w:pPr>
      <w:r w:rsidRPr="004549DE">
        <w:rPr>
          <w:rStyle w:val="Hypertextovodkaz"/>
          <w:rFonts w:ascii="Tahoma" w:eastAsia="Times New Roman" w:hAnsi="Tahoma" w:cs="Tahoma"/>
          <w:bCs/>
          <w:color w:val="000000" w:themeColor="text1"/>
          <w:kern w:val="36"/>
          <w:sz w:val="20"/>
          <w:szCs w:val="20"/>
          <w:u w:val="none"/>
          <w:lang w:eastAsia="cs-CZ"/>
        </w:rPr>
        <w:t xml:space="preserve">Navrhovaný zákon respektuje zákaz diskriminace </w:t>
      </w:r>
      <w:r>
        <w:rPr>
          <w:rStyle w:val="Hypertextovodkaz"/>
          <w:rFonts w:ascii="Tahoma" w:eastAsia="Times New Roman" w:hAnsi="Tahoma" w:cs="Tahoma"/>
          <w:bCs/>
          <w:color w:val="000000" w:themeColor="text1"/>
          <w:kern w:val="36"/>
          <w:sz w:val="20"/>
          <w:szCs w:val="20"/>
          <w:u w:val="none"/>
          <w:lang w:eastAsia="cs-CZ"/>
        </w:rPr>
        <w:t xml:space="preserve">a rovnost mužů a žen v přístupu </w:t>
      </w:r>
      <w:r w:rsidRPr="004549DE">
        <w:rPr>
          <w:rStyle w:val="Hypertextovodkaz"/>
          <w:rFonts w:ascii="Tahoma" w:eastAsia="Times New Roman" w:hAnsi="Tahoma" w:cs="Tahoma"/>
          <w:bCs/>
          <w:color w:val="000000" w:themeColor="text1"/>
          <w:kern w:val="36"/>
          <w:sz w:val="20"/>
          <w:szCs w:val="20"/>
          <w:u w:val="none"/>
          <w:lang w:eastAsia="cs-CZ"/>
        </w:rPr>
        <w:t>k funkcím v právnických osobách s majetkovou účastí státu.</w:t>
      </w:r>
    </w:p>
    <w:p w:rsidR="004B555E" w:rsidRDefault="004B555E" w:rsidP="004549D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Pr="00384022" w:rsidRDefault="00384022" w:rsidP="00384022">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Bude monitorováno ze strany OPS.</w:t>
      </w:r>
    </w:p>
    <w:p w:rsidR="00333363" w:rsidRDefault="00333363" w:rsidP="00333363">
      <w:pPr>
        <w:pStyle w:val="Bezmezer"/>
        <w:jc w:val="center"/>
        <w:rPr>
          <w:rStyle w:val="Hypertextovodkaz"/>
          <w:rFonts w:ascii="Tahoma" w:eastAsia="Times New Roman" w:hAnsi="Tahoma" w:cs="Tahoma"/>
          <w:b/>
          <w:bCs/>
          <w:color w:val="000000" w:themeColor="text1"/>
          <w:kern w:val="36"/>
          <w:sz w:val="24"/>
          <w:szCs w:val="20"/>
          <w:u w:val="none"/>
          <w:lang w:eastAsia="cs-CZ"/>
        </w:rPr>
      </w:pPr>
    </w:p>
    <w:p w:rsidR="00333363" w:rsidRDefault="00333363" w:rsidP="00333363">
      <w:pPr>
        <w:pStyle w:val="Bezmezer"/>
        <w:jc w:val="center"/>
        <w:rPr>
          <w:rStyle w:val="Hypertextovodkaz"/>
          <w:rFonts w:ascii="Tahoma" w:eastAsia="Times New Roman" w:hAnsi="Tahoma" w:cs="Tahoma"/>
          <w:b/>
          <w:bCs/>
          <w:color w:val="000000" w:themeColor="text1"/>
          <w:kern w:val="36"/>
          <w:sz w:val="24"/>
          <w:szCs w:val="20"/>
          <w:u w:val="none"/>
          <w:lang w:eastAsia="cs-CZ"/>
        </w:rPr>
      </w:pPr>
    </w:p>
    <w:p w:rsidR="00333363" w:rsidRDefault="00333363" w:rsidP="00333363">
      <w:pPr>
        <w:pStyle w:val="Bezmezer"/>
        <w:jc w:val="center"/>
        <w:rPr>
          <w:rStyle w:val="Hypertextovodkaz"/>
          <w:rFonts w:ascii="Tahoma" w:eastAsia="Times New Roman" w:hAnsi="Tahoma" w:cs="Tahoma"/>
          <w:b/>
          <w:bCs/>
          <w:color w:val="000000" w:themeColor="text1"/>
          <w:kern w:val="36"/>
          <w:sz w:val="24"/>
          <w:szCs w:val="20"/>
          <w:u w:val="none"/>
          <w:lang w:eastAsia="cs-CZ"/>
        </w:rPr>
      </w:pPr>
    </w:p>
    <w:p w:rsidR="00333363" w:rsidRDefault="00333363" w:rsidP="00333363">
      <w:pPr>
        <w:pStyle w:val="Bezmezer"/>
        <w:jc w:val="center"/>
        <w:rPr>
          <w:rStyle w:val="Hypertextovodkaz"/>
          <w:rFonts w:ascii="Tahoma" w:eastAsia="Times New Roman" w:hAnsi="Tahoma" w:cs="Tahoma"/>
          <w:b/>
          <w:bCs/>
          <w:color w:val="000000" w:themeColor="text1"/>
          <w:kern w:val="36"/>
          <w:sz w:val="24"/>
          <w:szCs w:val="20"/>
          <w:u w:val="none"/>
          <w:lang w:eastAsia="cs-CZ"/>
        </w:rPr>
      </w:pPr>
    </w:p>
    <w:p w:rsidR="00333363" w:rsidRDefault="00333363" w:rsidP="00333363">
      <w:pPr>
        <w:pStyle w:val="Bezmezer"/>
        <w:jc w:val="center"/>
        <w:rPr>
          <w:rStyle w:val="Hypertextovodkaz"/>
          <w:rFonts w:ascii="Tahoma" w:eastAsia="Times New Roman" w:hAnsi="Tahoma" w:cs="Tahoma"/>
          <w:b/>
          <w:bCs/>
          <w:color w:val="000000" w:themeColor="text1"/>
          <w:kern w:val="36"/>
          <w:sz w:val="24"/>
          <w:szCs w:val="20"/>
          <w:u w:val="none"/>
          <w:lang w:eastAsia="cs-CZ"/>
        </w:rPr>
      </w:pPr>
    </w:p>
    <w:p w:rsidR="00333363" w:rsidRDefault="00333363" w:rsidP="004B555E">
      <w:pPr>
        <w:pStyle w:val="Bezmezer"/>
        <w:pBdr>
          <w:bottom w:val="single" w:sz="4" w:space="1" w:color="auto"/>
        </w:pBdr>
        <w:jc w:val="center"/>
        <w:rPr>
          <w:rStyle w:val="Hypertextovodkaz"/>
          <w:rFonts w:ascii="Tahoma" w:eastAsia="Times New Roman" w:hAnsi="Tahoma" w:cs="Tahoma"/>
          <w:b/>
          <w:bCs/>
          <w:color w:val="000000" w:themeColor="text1"/>
          <w:kern w:val="36"/>
          <w:sz w:val="24"/>
          <w:szCs w:val="20"/>
          <w:u w:val="none"/>
          <w:lang w:eastAsia="cs-CZ"/>
        </w:rPr>
      </w:pPr>
    </w:p>
    <w:p w:rsidR="004B555E" w:rsidRPr="004B555E" w:rsidRDefault="004B555E" w:rsidP="004B555E">
      <w:pPr>
        <w:pStyle w:val="Bezmezer"/>
        <w:pBdr>
          <w:bottom w:val="single" w:sz="4" w:space="1" w:color="auto"/>
        </w:pBdr>
        <w:jc w:val="center"/>
        <w:rPr>
          <w:rStyle w:val="Hypertextovodkaz"/>
          <w:rFonts w:ascii="Tahoma" w:eastAsia="Times New Roman" w:hAnsi="Tahoma" w:cs="Tahoma"/>
          <w:b/>
          <w:bCs/>
          <w:color w:val="000000" w:themeColor="text1"/>
          <w:kern w:val="36"/>
          <w:sz w:val="24"/>
          <w:szCs w:val="20"/>
          <w:u w:val="none"/>
          <w:lang w:eastAsia="cs-CZ"/>
        </w:rPr>
      </w:pPr>
      <w:r w:rsidRPr="004B555E">
        <w:rPr>
          <w:rStyle w:val="Hypertextovodkaz"/>
          <w:rFonts w:ascii="Tahoma" w:eastAsia="Times New Roman" w:hAnsi="Tahoma" w:cs="Tahoma"/>
          <w:b/>
          <w:bCs/>
          <w:color w:val="000000" w:themeColor="text1"/>
          <w:kern w:val="36"/>
          <w:sz w:val="24"/>
          <w:szCs w:val="20"/>
          <w:u w:val="none"/>
          <w:lang w:eastAsia="cs-CZ"/>
        </w:rPr>
        <w:t>Návrh zákona, kterým se mění zákony v oblasti daní</w:t>
      </w:r>
    </w:p>
    <w:p w:rsidR="004549DE" w:rsidRDefault="004B555E" w:rsidP="004B555E">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(ukončeno mezirezortní připomínkové řízení, ID </w:t>
      </w:r>
      <w:r w:rsidRPr="004B555E">
        <w:rPr>
          <w:rStyle w:val="Hypertextovodkaz"/>
          <w:rFonts w:ascii="Tahoma" w:eastAsia="Times New Roman" w:hAnsi="Tahoma" w:cs="Tahoma"/>
          <w:bCs/>
          <w:color w:val="000000" w:themeColor="text1"/>
          <w:kern w:val="36"/>
          <w:sz w:val="20"/>
          <w:szCs w:val="20"/>
          <w:u w:val="none"/>
          <w:lang w:eastAsia="cs-CZ"/>
        </w:rPr>
        <w:t>KORNAVKGT7MQ</w:t>
      </w:r>
      <w:r>
        <w:rPr>
          <w:rStyle w:val="Hypertextovodkaz"/>
          <w:rFonts w:ascii="Tahoma" w:eastAsia="Times New Roman" w:hAnsi="Tahoma" w:cs="Tahoma"/>
          <w:bCs/>
          <w:color w:val="000000" w:themeColor="text1"/>
          <w:kern w:val="36"/>
          <w:sz w:val="20"/>
          <w:szCs w:val="20"/>
          <w:u w:val="none"/>
          <w:lang w:eastAsia="cs-CZ"/>
        </w:rPr>
        <w:t>)</w:t>
      </w:r>
    </w:p>
    <w:p w:rsidR="004B555E" w:rsidRDefault="004B555E" w:rsidP="004B555E">
      <w:pPr>
        <w:pStyle w:val="Bezmezer"/>
        <w:jc w:val="right"/>
        <w:rPr>
          <w:rStyle w:val="Hypertextovodkaz"/>
          <w:rFonts w:ascii="Tahoma" w:eastAsia="Times New Roman" w:hAnsi="Tahoma" w:cs="Tahoma"/>
          <w:bCs/>
          <w:color w:val="000000" w:themeColor="text1"/>
          <w:kern w:val="36"/>
          <w:sz w:val="20"/>
          <w:szCs w:val="20"/>
          <w:u w:val="none"/>
          <w:lang w:eastAsia="cs-CZ"/>
        </w:rPr>
      </w:pPr>
    </w:p>
    <w:p w:rsidR="004B555E" w:rsidRDefault="004B555E" w:rsidP="004B555E">
      <w:pPr>
        <w:pStyle w:val="Bezmeze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 xml:space="preserve">Návrh zákona </w:t>
      </w:r>
      <w:r>
        <w:rPr>
          <w:rStyle w:val="Hypertextovodkaz"/>
          <w:rFonts w:ascii="Tahoma" w:eastAsia="Times New Roman" w:hAnsi="Tahoma" w:cs="Tahoma"/>
          <w:bCs/>
          <w:color w:val="000000" w:themeColor="text1"/>
          <w:kern w:val="36"/>
          <w:sz w:val="20"/>
          <w:szCs w:val="20"/>
          <w:u w:val="none"/>
          <w:lang w:eastAsia="cs-CZ"/>
        </w:rPr>
        <w:t>byl předložen do mezirezortního připomínkového řízení</w:t>
      </w:r>
      <w:r w:rsidRPr="004B555E">
        <w:rPr>
          <w:rStyle w:val="Hypertextovodkaz"/>
          <w:rFonts w:ascii="Tahoma" w:eastAsia="Times New Roman" w:hAnsi="Tahoma" w:cs="Tahoma"/>
          <w:bCs/>
          <w:color w:val="000000" w:themeColor="text1"/>
          <w:kern w:val="36"/>
          <w:sz w:val="20"/>
          <w:szCs w:val="20"/>
          <w:u w:val="none"/>
          <w:lang w:eastAsia="cs-CZ"/>
        </w:rPr>
        <w:t xml:space="preserve"> z nutnosti implementovat unijní právo do českého právního řádu s účinností od </w:t>
      </w:r>
      <w:proofErr w:type="gramStart"/>
      <w:r w:rsidRPr="004B555E">
        <w:rPr>
          <w:rStyle w:val="Hypertextovodkaz"/>
          <w:rFonts w:ascii="Tahoma" w:eastAsia="Times New Roman" w:hAnsi="Tahoma" w:cs="Tahoma"/>
          <w:bCs/>
          <w:color w:val="000000" w:themeColor="text1"/>
          <w:kern w:val="36"/>
          <w:sz w:val="20"/>
          <w:szCs w:val="20"/>
          <w:u w:val="none"/>
          <w:lang w:eastAsia="cs-CZ"/>
        </w:rPr>
        <w:t>1.1.2019</w:t>
      </w:r>
      <w:proofErr w:type="gramEnd"/>
      <w:r w:rsidRPr="004B555E">
        <w:rPr>
          <w:rStyle w:val="Hypertextovodkaz"/>
          <w:rFonts w:ascii="Tahoma" w:eastAsia="Times New Roman" w:hAnsi="Tahoma" w:cs="Tahoma"/>
          <w:bCs/>
          <w:color w:val="000000" w:themeColor="text1"/>
          <w:kern w:val="36"/>
          <w:sz w:val="20"/>
          <w:szCs w:val="20"/>
          <w:u w:val="none"/>
          <w:lang w:eastAsia="cs-CZ"/>
        </w:rPr>
        <w:t>. Obsahem návrhu jsou rovněž některé změny uvedené v Programovém prohlášení vlády.</w:t>
      </w:r>
    </w:p>
    <w:p w:rsidR="004B555E" w:rsidRDefault="004B555E"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4B555E" w:rsidRPr="004B555E" w:rsidRDefault="004B555E" w:rsidP="004B555E">
      <w:pPr>
        <w:pStyle w:val="Bezmeze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Návrh zákona, kterým se mění některé zákony v oblasti daní od roku 2019, je souborem novel těchto daňových zákonů:</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586/1992 Sb., o daních z příjmů, ve znění pozdějších předpisů (dále jen „zákon o daních z příjmů“),</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187/2016 Sb., o dani z hazardních her, ve znění zákona č. 298/2016 Sb. (dále jen „zákon o dani z hazardních her“),</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235/2004 Sb., o dani z přidané hodnoty, ve znění pozdějších předpisů (dále jen „zákon o dani z přidané hodnoty“),</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353/2003 Sb., o spotřebních daních, ve znění pozdějších předpisů (dále jen „zákon o spotřebních daních“),</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242/2016 Sb., celní zákon, ve znění zákona č. 183/2017 Sb. (dále jen „celní zákon“),</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280/2009 Sb., daňový řád, ve znění pozdějších předpisů (dále jen „daňový řád“),</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164/2013 Sb., o mezinárodní spolupráci při správě daní a o změně dalších souvisejících zákonů, ve znění pozdějších předpisů (dále jen „zákon o mezinárodní spolupráci při správě daní“),</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456/2011 Sb., o Finanční správě České republiky, ve znění pozdějších předpisů (dále jen „zákon o Finanční správě“),</w:t>
      </w:r>
    </w:p>
    <w:p w:rsidR="004B555E" w:rsidRDefault="004B555E" w:rsidP="00384022">
      <w:pPr>
        <w:pStyle w:val="Bezmezer"/>
        <w:numPr>
          <w:ilvl w:val="0"/>
          <w:numId w:val="4"/>
        </w:numPr>
        <w:jc w:val="both"/>
        <w:rPr>
          <w:rStyle w:val="Hypertextovodkaz"/>
          <w:rFonts w:ascii="Tahoma" w:eastAsia="Times New Roman" w:hAnsi="Tahoma" w:cs="Tahoma"/>
          <w:bCs/>
          <w:color w:val="000000" w:themeColor="text1"/>
          <w:kern w:val="36"/>
          <w:sz w:val="20"/>
          <w:szCs w:val="20"/>
          <w:u w:val="none"/>
          <w:lang w:eastAsia="cs-CZ"/>
        </w:rPr>
      </w:pPr>
      <w:r w:rsidRPr="004B555E">
        <w:rPr>
          <w:rStyle w:val="Hypertextovodkaz"/>
          <w:rFonts w:ascii="Tahoma" w:eastAsia="Times New Roman" w:hAnsi="Tahoma" w:cs="Tahoma"/>
          <w:bCs/>
          <w:color w:val="000000" w:themeColor="text1"/>
          <w:kern w:val="36"/>
          <w:sz w:val="20"/>
          <w:szCs w:val="20"/>
          <w:u w:val="none"/>
          <w:lang w:eastAsia="cs-CZ"/>
        </w:rPr>
        <w:t>zákona č. 17/2012 Sb., o Celní správě České republiky, ve znění pozdějších předpisů (dále jen „zákon o Celní správě“).</w:t>
      </w:r>
    </w:p>
    <w:p w:rsidR="004B555E" w:rsidRDefault="004B555E"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912943" w:rsidRDefault="004B555E" w:rsidP="00912943">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Jednotlivé oblasti novelizace:</w:t>
      </w:r>
    </w:p>
    <w:p w:rsidR="00912943" w:rsidRDefault="00912943" w:rsidP="00912943">
      <w:pPr>
        <w:pStyle w:val="Bezmezer"/>
        <w:jc w:val="both"/>
        <w:rPr>
          <w:rStyle w:val="Hypertextovodkaz"/>
          <w:rFonts w:ascii="Tahoma" w:eastAsia="Times New Roman" w:hAnsi="Tahoma" w:cs="Tahoma"/>
          <w:bCs/>
          <w:color w:val="000000" w:themeColor="text1"/>
          <w:kern w:val="36"/>
          <w:sz w:val="20"/>
          <w:szCs w:val="20"/>
          <w:u w:val="none"/>
          <w:lang w:eastAsia="cs-CZ"/>
        </w:rPr>
      </w:pP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Omezení uznatelnosti výpůjčních výdajů</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Zdanění při přemístění majetku bez změny vlastnictví</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 xml:space="preserve">Hybridní nesoulady vznikající rozdílným uplatňováním pravidel jednotlivých daňových systémů, rozdílnou právní kvalifikací subjektů, finančních nástrojů nebo komerčních přítomností stálých provozoven. </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Implementace IFRS 9</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Kmenové listy oceňované reálnou hodnotou</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Oznámení o příjmech plynoucích do zahraničí</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Daň z hazardních her</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Uplatňování daně z přidané hodnoty v případě poukazů</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Místo plnění u přeshraničních digitálních služeb poskytovaných spotřebitelům v Evropské unii</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Určení pravidel pro vystavování daňových dokladů v rámci zvláštního režimu jednoho správního místa</w:t>
      </w:r>
    </w:p>
    <w:p w:rsid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Osoby oprávněné používat zvláštní režim jednoho správního místa (režim mimo Evropskou unii)</w:t>
      </w:r>
    </w:p>
    <w:p w:rsidR="004B555E" w:rsidRPr="00912943" w:rsidRDefault="004B555E" w:rsidP="00384022">
      <w:pPr>
        <w:pStyle w:val="Bezmezer"/>
        <w:numPr>
          <w:ilvl w:val="0"/>
          <w:numId w:val="29"/>
        </w:numPr>
        <w:shd w:val="clear" w:color="auto" w:fill="FFFFFF"/>
        <w:spacing w:before="120" w:after="120"/>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Uplatňování daně z přidané hodnoty u rozhlasového a televizního vysílání prováděné provozovateli vysílání ze zákona</w:t>
      </w:r>
    </w:p>
    <w:p w:rsidR="004B555E" w:rsidRPr="00912943" w:rsidRDefault="004B555E" w:rsidP="00384022">
      <w:pPr>
        <w:pStyle w:val="Nadpis5"/>
        <w:keepLines w:val="0"/>
        <w:numPr>
          <w:ilvl w:val="0"/>
          <w:numId w:val="29"/>
        </w:numPr>
        <w:shd w:val="clear" w:color="auto" w:fill="FFFFFF"/>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lastRenderedPageBreak/>
        <w:t>Nárok na odpočet daně při registraci plátce</w:t>
      </w:r>
    </w:p>
    <w:p w:rsidR="004B555E" w:rsidRPr="00912943" w:rsidRDefault="004B555E" w:rsidP="00384022">
      <w:pPr>
        <w:pStyle w:val="Nadpis5"/>
        <w:keepLines w:val="0"/>
        <w:numPr>
          <w:ilvl w:val="0"/>
          <w:numId w:val="29"/>
        </w:numPr>
        <w:shd w:val="clear" w:color="auto" w:fill="FFFFFF"/>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Osvobození od daně z přidané hodnoty při dodání plazmy získané z lidské krve</w:t>
      </w:r>
    </w:p>
    <w:p w:rsidR="00912943" w:rsidRPr="00912943" w:rsidRDefault="004B555E" w:rsidP="00384022">
      <w:pPr>
        <w:pStyle w:val="Nadpis5"/>
        <w:keepLines w:val="0"/>
        <w:numPr>
          <w:ilvl w:val="0"/>
          <w:numId w:val="29"/>
        </w:numPr>
        <w:shd w:val="clear" w:color="auto" w:fill="FFFFFF"/>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Oprava základu daně při nezaplacení ceny za zdanitelné plnění</w:t>
      </w:r>
    </w:p>
    <w:p w:rsidR="00912943" w:rsidRPr="00912943" w:rsidRDefault="004B555E" w:rsidP="00384022">
      <w:pPr>
        <w:pStyle w:val="Nadpis5"/>
        <w:keepLines w:val="0"/>
        <w:numPr>
          <w:ilvl w:val="0"/>
          <w:numId w:val="29"/>
        </w:numPr>
        <w:shd w:val="clear" w:color="auto" w:fill="FFFFFF"/>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Zdanění zahřívaných tabákových výrobků</w:t>
      </w:r>
    </w:p>
    <w:p w:rsidR="00912943" w:rsidRPr="00912943" w:rsidRDefault="004B555E" w:rsidP="00384022">
      <w:pPr>
        <w:pStyle w:val="Nadpis5"/>
        <w:keepLines w:val="0"/>
        <w:numPr>
          <w:ilvl w:val="0"/>
          <w:numId w:val="29"/>
        </w:numPr>
        <w:shd w:val="clear" w:color="auto" w:fill="FFFFFF"/>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Aktualizace kódů nomenklatury v zákoně o spotřebních daních</w:t>
      </w:r>
    </w:p>
    <w:p w:rsidR="00912943" w:rsidRPr="00912943" w:rsidRDefault="004B555E" w:rsidP="00384022">
      <w:pPr>
        <w:pStyle w:val="Nadpis5"/>
        <w:keepLines w:val="0"/>
        <w:numPr>
          <w:ilvl w:val="0"/>
          <w:numId w:val="29"/>
        </w:numPr>
        <w:shd w:val="clear" w:color="auto" w:fill="FFFFFF"/>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Zpřesnění procesní úpravy</w:t>
      </w:r>
      <w:r w:rsidR="00912943" w:rsidRPr="00912943">
        <w:rPr>
          <w:rStyle w:val="Hypertextovodkaz"/>
          <w:rFonts w:ascii="Tahoma" w:eastAsia="Times New Roman" w:hAnsi="Tahoma" w:cs="Tahoma"/>
          <w:bCs/>
          <w:color w:val="000000" w:themeColor="text1"/>
          <w:kern w:val="36"/>
          <w:sz w:val="20"/>
          <w:szCs w:val="20"/>
          <w:u w:val="none"/>
          <w:lang w:eastAsia="cs-CZ"/>
        </w:rPr>
        <w:t xml:space="preserve"> v celním zákoně</w:t>
      </w:r>
      <w:r w:rsidRPr="00912943">
        <w:rPr>
          <w:rStyle w:val="Hypertextovodkaz"/>
          <w:rFonts w:ascii="Tahoma" w:eastAsia="Times New Roman" w:hAnsi="Tahoma" w:cs="Tahoma"/>
          <w:bCs/>
          <w:color w:val="000000" w:themeColor="text1"/>
          <w:kern w:val="36"/>
          <w:sz w:val="20"/>
          <w:szCs w:val="20"/>
          <w:u w:val="none"/>
          <w:lang w:eastAsia="cs-CZ"/>
        </w:rPr>
        <w:t xml:space="preserve"> v návaznosti na obecné procesní předpisy a evropskou a mezinárodní úpravu </w:t>
      </w:r>
    </w:p>
    <w:p w:rsidR="004B555E" w:rsidRPr="00912943" w:rsidRDefault="004B555E" w:rsidP="00384022">
      <w:pPr>
        <w:pStyle w:val="Nadpis5"/>
        <w:keepLines w:val="0"/>
        <w:numPr>
          <w:ilvl w:val="0"/>
          <w:numId w:val="29"/>
        </w:numPr>
        <w:shd w:val="clear" w:color="auto" w:fill="FFFFFF"/>
        <w:spacing w:before="120" w:after="120" w:line="240" w:lineRule="auto"/>
        <w:jc w:val="both"/>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Zúžení povinnosti zajistit daň z přidané hodnoty spolu se clem ve vybraných případech</w:t>
      </w:r>
    </w:p>
    <w:p w:rsidR="00912943" w:rsidRDefault="00912943" w:rsidP="00384022">
      <w:pPr>
        <w:pStyle w:val="Odstavecseseznamem"/>
        <w:numPr>
          <w:ilvl w:val="0"/>
          <w:numId w:val="29"/>
        </w:numPr>
        <w:rPr>
          <w:rStyle w:val="Hypertextovodkaz"/>
          <w:rFonts w:ascii="Tahoma" w:eastAsia="Times New Roman" w:hAnsi="Tahoma" w:cs="Tahoma"/>
          <w:bCs/>
          <w:color w:val="000000" w:themeColor="text1"/>
          <w:kern w:val="36"/>
          <w:sz w:val="20"/>
          <w:szCs w:val="20"/>
          <w:u w:val="none"/>
          <w:lang w:eastAsia="cs-CZ"/>
        </w:rPr>
      </w:pPr>
      <w:r w:rsidRPr="00912943">
        <w:rPr>
          <w:rStyle w:val="Hypertextovodkaz"/>
          <w:rFonts w:ascii="Tahoma" w:eastAsia="Times New Roman" w:hAnsi="Tahoma" w:cs="Tahoma"/>
          <w:bCs/>
          <w:color w:val="000000" w:themeColor="text1"/>
          <w:kern w:val="36"/>
          <w:sz w:val="20"/>
          <w:szCs w:val="20"/>
          <w:u w:val="none"/>
          <w:lang w:eastAsia="cs-CZ"/>
        </w:rPr>
        <w:t xml:space="preserve">Obecné </w:t>
      </w:r>
      <w:proofErr w:type="spellStart"/>
      <w:r w:rsidRPr="00912943">
        <w:rPr>
          <w:rStyle w:val="Hypertextovodkaz"/>
          <w:rFonts w:ascii="Tahoma" w:eastAsia="Times New Roman" w:hAnsi="Tahoma" w:cs="Tahoma"/>
          <w:bCs/>
          <w:color w:val="000000" w:themeColor="text1"/>
          <w:kern w:val="36"/>
          <w:sz w:val="20"/>
          <w:szCs w:val="20"/>
          <w:u w:val="none"/>
          <w:lang w:eastAsia="cs-CZ"/>
        </w:rPr>
        <w:t>protizneužívací</w:t>
      </w:r>
      <w:proofErr w:type="spellEnd"/>
      <w:r w:rsidRPr="00912943">
        <w:rPr>
          <w:rStyle w:val="Hypertextovodkaz"/>
          <w:rFonts w:ascii="Tahoma" w:eastAsia="Times New Roman" w:hAnsi="Tahoma" w:cs="Tahoma"/>
          <w:bCs/>
          <w:color w:val="000000" w:themeColor="text1"/>
          <w:kern w:val="36"/>
          <w:sz w:val="20"/>
          <w:szCs w:val="20"/>
          <w:u w:val="none"/>
          <w:lang w:eastAsia="cs-CZ"/>
        </w:rPr>
        <w:t xml:space="preserve"> pravidlo v daňovém řádu</w:t>
      </w:r>
    </w:p>
    <w:p w:rsidR="00BF6038" w:rsidRDefault="00BF6038" w:rsidP="00333363">
      <w:pPr>
        <w:pStyle w:val="Odstavecseseznamem"/>
        <w:rPr>
          <w:rStyle w:val="Hypertextovodkaz"/>
          <w:rFonts w:ascii="Tahoma" w:eastAsia="Times New Roman" w:hAnsi="Tahoma" w:cs="Tahoma"/>
          <w:bCs/>
          <w:color w:val="000000" w:themeColor="text1"/>
          <w:kern w:val="36"/>
          <w:sz w:val="20"/>
          <w:szCs w:val="20"/>
          <w:u w:val="none"/>
          <w:lang w:eastAsia="cs-CZ"/>
        </w:rPr>
      </w:pPr>
    </w:p>
    <w:p w:rsidR="00BF6038" w:rsidRPr="00C17383" w:rsidRDefault="00BF6038" w:rsidP="00BF6038">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Návrh </w:t>
      </w:r>
      <w:r w:rsidR="00333363">
        <w:rPr>
          <w:rStyle w:val="Hypertextovodkaz"/>
          <w:rFonts w:ascii="Tahoma" w:eastAsia="Times New Roman" w:hAnsi="Tahoma" w:cs="Tahoma"/>
          <w:bCs/>
          <w:i/>
          <w:color w:val="000000" w:themeColor="text1"/>
          <w:kern w:val="36"/>
          <w:sz w:val="20"/>
          <w:szCs w:val="20"/>
          <w:u w:val="none"/>
          <w:lang w:eastAsia="cs-CZ"/>
        </w:rPr>
        <w:t xml:space="preserve">dle legislativního plánu ČEPRO je v gesci </w:t>
      </w:r>
      <w:r>
        <w:rPr>
          <w:rStyle w:val="Hypertextovodkaz"/>
          <w:rFonts w:ascii="Tahoma" w:eastAsia="Times New Roman" w:hAnsi="Tahoma" w:cs="Tahoma"/>
          <w:bCs/>
          <w:i/>
          <w:color w:val="000000" w:themeColor="text1"/>
          <w:kern w:val="36"/>
          <w:sz w:val="20"/>
          <w:szCs w:val="20"/>
          <w:u w:val="none"/>
          <w:lang w:eastAsia="cs-CZ"/>
        </w:rPr>
        <w:t>FÚ</w:t>
      </w:r>
      <w:r w:rsidR="00333363">
        <w:rPr>
          <w:rStyle w:val="Hypertextovodkaz"/>
          <w:rFonts w:ascii="Tahoma" w:eastAsia="Times New Roman" w:hAnsi="Tahoma" w:cs="Tahoma"/>
          <w:bCs/>
          <w:i/>
          <w:color w:val="000000" w:themeColor="text1"/>
          <w:kern w:val="36"/>
          <w:sz w:val="20"/>
          <w:szCs w:val="20"/>
          <w:u w:val="none"/>
          <w:lang w:eastAsia="cs-CZ"/>
        </w:rPr>
        <w:t>.</w:t>
      </w:r>
    </w:p>
    <w:p w:rsidR="00BF6038" w:rsidRPr="00BF6038" w:rsidRDefault="00BF6038" w:rsidP="00BF6038">
      <w:pPr>
        <w:rPr>
          <w:rStyle w:val="Hypertextovodkaz"/>
          <w:rFonts w:ascii="Tahoma" w:eastAsia="Times New Roman" w:hAnsi="Tahoma" w:cs="Tahoma"/>
          <w:bCs/>
          <w:color w:val="000000" w:themeColor="text1"/>
          <w:kern w:val="36"/>
          <w:sz w:val="20"/>
          <w:szCs w:val="20"/>
          <w:u w:val="none"/>
          <w:lang w:eastAsia="cs-CZ"/>
        </w:rPr>
      </w:pPr>
    </w:p>
    <w:p w:rsidR="00BF6038" w:rsidRPr="004B555E" w:rsidRDefault="00BF6038" w:rsidP="00BF6038">
      <w:pPr>
        <w:pStyle w:val="Bezmezer"/>
        <w:pBdr>
          <w:bottom w:val="single" w:sz="4" w:space="1" w:color="auto"/>
        </w:pBdr>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Novela zákona o hospodaření energií</w:t>
      </w:r>
    </w:p>
    <w:p w:rsidR="00BF6038" w:rsidRDefault="00BF6038" w:rsidP="00BF6038">
      <w:pPr>
        <w:pStyle w:val="Bezmezer"/>
        <w:ind w:left="720"/>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(ukončeno mezirezortní připomínkové řízení, ID </w:t>
      </w:r>
      <w:r w:rsidRPr="00BF6038">
        <w:rPr>
          <w:rStyle w:val="Hypertextovodkaz"/>
          <w:rFonts w:ascii="Tahoma" w:eastAsia="Times New Roman" w:hAnsi="Tahoma" w:cs="Tahoma"/>
          <w:bCs/>
          <w:color w:val="000000" w:themeColor="text1"/>
          <w:kern w:val="36"/>
          <w:sz w:val="20"/>
          <w:szCs w:val="20"/>
          <w:u w:val="none"/>
          <w:lang w:eastAsia="cs-CZ"/>
        </w:rPr>
        <w:t>ALBSAX2LB5VD</w:t>
      </w:r>
      <w:r>
        <w:rPr>
          <w:rStyle w:val="Hypertextovodkaz"/>
          <w:rFonts w:ascii="Tahoma" w:eastAsia="Times New Roman" w:hAnsi="Tahoma" w:cs="Tahoma"/>
          <w:bCs/>
          <w:color w:val="000000" w:themeColor="text1"/>
          <w:kern w:val="36"/>
          <w:sz w:val="20"/>
          <w:szCs w:val="20"/>
          <w:u w:val="none"/>
          <w:lang w:eastAsia="cs-CZ"/>
        </w:rPr>
        <w:t>)</w:t>
      </w:r>
    </w:p>
    <w:p w:rsidR="00BF6038" w:rsidRDefault="00BF6038" w:rsidP="00BF6038">
      <w:pPr>
        <w:pStyle w:val="Bezmezer"/>
        <w:ind w:left="720"/>
        <w:jc w:val="center"/>
        <w:rPr>
          <w:rStyle w:val="Hypertextovodkaz"/>
          <w:rFonts w:ascii="Tahoma" w:eastAsia="Times New Roman" w:hAnsi="Tahoma" w:cs="Tahoma"/>
          <w:bCs/>
          <w:color w:val="000000" w:themeColor="text1"/>
          <w:kern w:val="36"/>
          <w:sz w:val="20"/>
          <w:szCs w:val="20"/>
          <w:u w:val="none"/>
          <w:lang w:eastAsia="cs-CZ"/>
        </w:rPr>
      </w:pPr>
    </w:p>
    <w:p w:rsidR="00BF6038" w:rsidRPr="00BF6038" w:rsidRDefault="00BF6038" w:rsidP="00BF6038">
      <w:pPr>
        <w:pStyle w:val="Bezmezer"/>
        <w:jc w:val="both"/>
        <w:rPr>
          <w:rStyle w:val="Hypertextovodkaz"/>
          <w:rFonts w:ascii="Tahoma" w:eastAsia="Times New Roman" w:hAnsi="Tahoma" w:cs="Tahoma"/>
          <w:bCs/>
          <w:color w:val="000000" w:themeColor="text1"/>
          <w:kern w:val="36"/>
          <w:sz w:val="20"/>
          <w:szCs w:val="20"/>
          <w:u w:val="none"/>
          <w:lang w:eastAsia="cs-CZ"/>
        </w:rPr>
      </w:pPr>
      <w:r w:rsidRPr="00BF6038">
        <w:rPr>
          <w:rStyle w:val="Hypertextovodkaz"/>
          <w:rFonts w:ascii="Tahoma" w:eastAsia="Times New Roman" w:hAnsi="Tahoma" w:cs="Tahoma"/>
          <w:bCs/>
          <w:color w:val="000000" w:themeColor="text1"/>
          <w:kern w:val="36"/>
          <w:sz w:val="20"/>
          <w:szCs w:val="20"/>
          <w:u w:val="none"/>
          <w:lang w:eastAsia="cs-CZ"/>
        </w:rPr>
        <w:t>Dle důvodové zprávy je záměrem novelizace oprava nevhodné transpozice směrnice o energetické náročnosti budov, kdy nebyla transponována nutnost veřejně umístit certifikát energetické náročnosti budov na viditelném místě u budov s užitnou plochou větší než 500 m², které často navštěvuje veřejnost.</w:t>
      </w:r>
    </w:p>
    <w:p w:rsidR="00BF6038" w:rsidRPr="00BF6038" w:rsidRDefault="00BF6038" w:rsidP="00BF6038">
      <w:pPr>
        <w:pStyle w:val="Bezmezer"/>
        <w:jc w:val="both"/>
        <w:rPr>
          <w:rStyle w:val="Hypertextovodkaz"/>
          <w:rFonts w:ascii="Tahoma" w:eastAsia="Times New Roman" w:hAnsi="Tahoma" w:cs="Tahoma"/>
          <w:bCs/>
          <w:color w:val="000000" w:themeColor="text1"/>
          <w:kern w:val="36"/>
          <w:sz w:val="20"/>
          <w:szCs w:val="20"/>
          <w:u w:val="none"/>
          <w:lang w:eastAsia="cs-CZ"/>
        </w:rPr>
      </w:pPr>
    </w:p>
    <w:p w:rsidR="00BF6038" w:rsidRPr="00BF6038" w:rsidRDefault="00BF6038" w:rsidP="00BF6038">
      <w:pPr>
        <w:pStyle w:val="Bezmezer"/>
        <w:jc w:val="both"/>
        <w:rPr>
          <w:rStyle w:val="Hypertextovodkaz"/>
          <w:rFonts w:ascii="Tahoma" w:eastAsia="Times New Roman" w:hAnsi="Tahoma" w:cs="Tahoma"/>
          <w:bCs/>
          <w:color w:val="000000" w:themeColor="text1"/>
          <w:kern w:val="36"/>
          <w:sz w:val="20"/>
          <w:szCs w:val="20"/>
          <w:u w:val="none"/>
          <w:lang w:eastAsia="cs-CZ"/>
        </w:rPr>
      </w:pPr>
      <w:r w:rsidRPr="00BF6038">
        <w:rPr>
          <w:rStyle w:val="Hypertextovodkaz"/>
          <w:rFonts w:ascii="Tahoma" w:eastAsia="Times New Roman" w:hAnsi="Tahoma" w:cs="Tahoma"/>
          <w:bCs/>
          <w:color w:val="000000" w:themeColor="text1"/>
          <w:kern w:val="36"/>
          <w:sz w:val="20"/>
          <w:szCs w:val="20"/>
          <w:u w:val="none"/>
          <w:lang w:eastAsia="cs-CZ"/>
        </w:rPr>
        <w:t xml:space="preserve">Odstraněny jsou rovněž §8 a §8a, které se vztahují k energetickým štítkům a </w:t>
      </w:r>
      <w:proofErr w:type="spellStart"/>
      <w:r w:rsidRPr="00BF6038">
        <w:rPr>
          <w:rStyle w:val="Hypertextovodkaz"/>
          <w:rFonts w:ascii="Tahoma" w:eastAsia="Times New Roman" w:hAnsi="Tahoma" w:cs="Tahoma"/>
          <w:bCs/>
          <w:color w:val="000000" w:themeColor="text1"/>
          <w:kern w:val="36"/>
          <w:sz w:val="20"/>
          <w:szCs w:val="20"/>
          <w:u w:val="none"/>
          <w:lang w:eastAsia="cs-CZ"/>
        </w:rPr>
        <w:t>ekodesignu</w:t>
      </w:r>
      <w:proofErr w:type="spellEnd"/>
      <w:r w:rsidRPr="00BF6038">
        <w:rPr>
          <w:rStyle w:val="Hypertextovodkaz"/>
          <w:rFonts w:ascii="Tahoma" w:eastAsia="Times New Roman" w:hAnsi="Tahoma" w:cs="Tahoma"/>
          <w:bCs/>
          <w:color w:val="000000" w:themeColor="text1"/>
          <w:kern w:val="36"/>
          <w:sz w:val="20"/>
          <w:szCs w:val="20"/>
          <w:u w:val="none"/>
          <w:lang w:eastAsia="cs-CZ"/>
        </w:rPr>
        <w:t>. Díky nařízení Evropského parlamentu a Rady (EU) 2017/1369 ze dne 4. července, kterým se stanoví rámec pro označování energetickými štítky a ruší směrnice 2010/30/EU, je transpozice v českém zákoně nadbytečná. Nařízení má totiž vyšší právní váhu. Zachován je pouze první odstavec v §8, jakožto odkaz na evropský předpis.</w:t>
      </w:r>
    </w:p>
    <w:p w:rsidR="00BF6038" w:rsidRPr="00BF6038" w:rsidRDefault="00BF6038" w:rsidP="00BF6038">
      <w:pPr>
        <w:pStyle w:val="Bezmezer"/>
        <w:jc w:val="both"/>
        <w:rPr>
          <w:rStyle w:val="Hypertextovodkaz"/>
          <w:rFonts w:ascii="Tahoma" w:eastAsia="Times New Roman" w:hAnsi="Tahoma" w:cs="Tahoma"/>
          <w:bCs/>
          <w:color w:val="000000" w:themeColor="text1"/>
          <w:kern w:val="36"/>
          <w:sz w:val="20"/>
          <w:szCs w:val="20"/>
          <w:u w:val="none"/>
          <w:lang w:eastAsia="cs-CZ"/>
        </w:rPr>
      </w:pPr>
    </w:p>
    <w:p w:rsidR="00BF6038" w:rsidRPr="00BF6038" w:rsidRDefault="00BF6038" w:rsidP="00BF6038">
      <w:pPr>
        <w:pStyle w:val="Bezmezer"/>
        <w:jc w:val="both"/>
        <w:rPr>
          <w:rStyle w:val="Hypertextovodkaz"/>
          <w:rFonts w:ascii="Tahoma" w:eastAsia="Times New Roman" w:hAnsi="Tahoma" w:cs="Tahoma"/>
          <w:bCs/>
          <w:color w:val="000000" w:themeColor="text1"/>
          <w:kern w:val="36"/>
          <w:sz w:val="20"/>
          <w:szCs w:val="20"/>
          <w:u w:val="none"/>
          <w:lang w:eastAsia="cs-CZ"/>
        </w:rPr>
      </w:pPr>
      <w:r w:rsidRPr="00BF6038">
        <w:rPr>
          <w:rStyle w:val="Hypertextovodkaz"/>
          <w:rFonts w:ascii="Tahoma" w:eastAsia="Times New Roman" w:hAnsi="Tahoma" w:cs="Tahoma"/>
          <w:bCs/>
          <w:color w:val="000000" w:themeColor="text1"/>
          <w:kern w:val="36"/>
          <w:sz w:val="20"/>
          <w:szCs w:val="20"/>
          <w:u w:val="none"/>
          <w:lang w:eastAsia="cs-CZ"/>
        </w:rPr>
        <w:t xml:space="preserve">Další změnou je i administrativní úprava definice podnikatele, který musí každé čtyři roky zpracovávat energetický audit. Problémem bylo zařazení určitých malých a středních podnikatelů do kategorie velkých podniků, kvůli mateřským zahraničním firmám, byť výsledné úspory plynoucí z auditů v ČR nejsou významné. Nové znění v §9 využívá Evropské definice SME. </w:t>
      </w:r>
      <w:r w:rsidRPr="00333363">
        <w:rPr>
          <w:rStyle w:val="Hypertextovodkaz"/>
          <w:rFonts w:ascii="Tahoma" w:eastAsia="Times New Roman" w:hAnsi="Tahoma" w:cs="Tahoma"/>
          <w:b/>
          <w:bCs/>
          <w:color w:val="000000" w:themeColor="text1"/>
          <w:kern w:val="36"/>
          <w:sz w:val="20"/>
          <w:szCs w:val="20"/>
          <w:u w:val="none"/>
          <w:lang w:eastAsia="cs-CZ"/>
        </w:rPr>
        <w:t>Povinnost tedy platí pro podniky nad 250 zaměstnanců a s ročním obratem nad 1,3 mld. Kč a roční bilanční sumou rozvahy vyšší než 1,1 mld. Kč.</w:t>
      </w:r>
    </w:p>
    <w:p w:rsidR="00BF6038" w:rsidRPr="00BF6038" w:rsidRDefault="00BF6038" w:rsidP="00BF6038">
      <w:pPr>
        <w:pStyle w:val="Bezmezer"/>
        <w:jc w:val="both"/>
        <w:rPr>
          <w:rStyle w:val="Hypertextovodkaz"/>
          <w:rFonts w:ascii="Tahoma" w:eastAsia="Times New Roman" w:hAnsi="Tahoma" w:cs="Tahoma"/>
          <w:bCs/>
          <w:color w:val="000000" w:themeColor="text1"/>
          <w:kern w:val="36"/>
          <w:sz w:val="20"/>
          <w:szCs w:val="20"/>
          <w:u w:val="none"/>
          <w:lang w:eastAsia="cs-CZ"/>
        </w:rPr>
      </w:pPr>
    </w:p>
    <w:p w:rsidR="00BF6038" w:rsidRDefault="00BF6038" w:rsidP="00BF6038">
      <w:pPr>
        <w:pStyle w:val="Bezmezer"/>
        <w:jc w:val="both"/>
        <w:rPr>
          <w:rStyle w:val="Hypertextovodkaz"/>
          <w:rFonts w:ascii="Tahoma" w:eastAsia="Times New Roman" w:hAnsi="Tahoma" w:cs="Tahoma"/>
          <w:bCs/>
          <w:color w:val="000000" w:themeColor="text1"/>
          <w:kern w:val="36"/>
          <w:sz w:val="20"/>
          <w:szCs w:val="20"/>
          <w:u w:val="none"/>
          <w:lang w:eastAsia="cs-CZ"/>
        </w:rPr>
      </w:pPr>
      <w:r w:rsidRPr="00BF6038">
        <w:rPr>
          <w:rStyle w:val="Hypertextovodkaz"/>
          <w:rFonts w:ascii="Tahoma" w:eastAsia="Times New Roman" w:hAnsi="Tahoma" w:cs="Tahoma"/>
          <w:bCs/>
          <w:color w:val="000000" w:themeColor="text1"/>
          <w:kern w:val="36"/>
          <w:sz w:val="20"/>
          <w:szCs w:val="20"/>
          <w:u w:val="none"/>
          <w:lang w:eastAsia="cs-CZ"/>
        </w:rPr>
        <w:t>Novinkou je i úprava přezkušování energetických specialistů. Současný model přezkušování, které se koná jednou za 3 roky, je dle navrhovatelů a názoru odborné veřejnosti nadbytečný, jelikož se specialisté vzdělávají průběžně pro udržení kvalifikace. Nyní tak dle §10, odst. 7 mají povinnost namísto přezkušování získat potřebný počet kreditů účastí na vzdělávacích akcích. Nově má být i možnost udělit oprávnění energetického specialisty i právnické osobě.</w:t>
      </w:r>
    </w:p>
    <w:p w:rsidR="004B555E" w:rsidRDefault="004B555E"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BF6038" w:rsidRPr="00C17383" w:rsidRDefault="00BF6038" w:rsidP="00BF6038">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00333363" w:rsidRPr="00333363">
        <w:rPr>
          <w:rStyle w:val="Hypertextovodkaz"/>
          <w:rFonts w:ascii="Tahoma" w:eastAsia="Times New Roman" w:hAnsi="Tahoma" w:cs="Tahoma"/>
          <w:bCs/>
          <w:i/>
          <w:color w:val="000000" w:themeColor="text1"/>
          <w:kern w:val="36"/>
          <w:sz w:val="20"/>
          <w:szCs w:val="20"/>
          <w:u w:val="none"/>
          <w:lang w:eastAsia="cs-CZ"/>
        </w:rPr>
        <w:t xml:space="preserve"> </w:t>
      </w:r>
      <w:r w:rsidR="00333363">
        <w:rPr>
          <w:rStyle w:val="Hypertextovodkaz"/>
          <w:rFonts w:ascii="Tahoma" w:eastAsia="Times New Roman" w:hAnsi="Tahoma" w:cs="Tahoma"/>
          <w:bCs/>
          <w:i/>
          <w:color w:val="000000" w:themeColor="text1"/>
          <w:kern w:val="36"/>
          <w:sz w:val="20"/>
          <w:szCs w:val="20"/>
          <w:u w:val="none"/>
          <w:lang w:eastAsia="cs-CZ"/>
        </w:rPr>
        <w:t xml:space="preserve">Návrh dle legislativního plánu ČEPRO je v gesci </w:t>
      </w:r>
      <w:r w:rsidR="00333363">
        <w:rPr>
          <w:rStyle w:val="Hypertextovodkaz"/>
          <w:rFonts w:ascii="Tahoma" w:eastAsia="Times New Roman" w:hAnsi="Tahoma" w:cs="Tahoma"/>
          <w:bCs/>
          <w:i/>
          <w:color w:val="000000" w:themeColor="text1"/>
          <w:kern w:val="36"/>
          <w:sz w:val="20"/>
          <w:szCs w:val="20"/>
          <w:u w:val="none"/>
          <w:lang w:eastAsia="cs-CZ"/>
        </w:rPr>
        <w:t>HSE</w:t>
      </w:r>
      <w:r w:rsidR="00333363">
        <w:rPr>
          <w:rStyle w:val="Hypertextovodkaz"/>
          <w:rFonts w:ascii="Tahoma" w:eastAsia="Times New Roman" w:hAnsi="Tahoma" w:cs="Tahoma"/>
          <w:bCs/>
          <w:i/>
          <w:color w:val="000000" w:themeColor="text1"/>
          <w:kern w:val="36"/>
          <w:sz w:val="20"/>
          <w:szCs w:val="20"/>
          <w:u w:val="none"/>
          <w:lang w:eastAsia="cs-CZ"/>
        </w:rPr>
        <w:t>.</w:t>
      </w:r>
    </w:p>
    <w:p w:rsidR="00BF6038" w:rsidRDefault="00BF6038"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BF6038" w:rsidRPr="004B555E" w:rsidRDefault="00BF6038" w:rsidP="00BF6038">
      <w:pPr>
        <w:pStyle w:val="Bezmezer"/>
        <w:pBdr>
          <w:bottom w:val="single" w:sz="4" w:space="1" w:color="auto"/>
        </w:pBdr>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lastRenderedPageBreak/>
        <w:t>Novela zákona o NKÚ</w:t>
      </w:r>
    </w:p>
    <w:p w:rsidR="00BF6038" w:rsidRDefault="00BF6038" w:rsidP="00BF6038">
      <w:pPr>
        <w:pStyle w:val="Bezmezer"/>
        <w:ind w:left="720"/>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(ukončeno mezirezortní připomínkové řízení, ID </w:t>
      </w:r>
      <w:r w:rsidRPr="00BF6038">
        <w:rPr>
          <w:rStyle w:val="Hypertextovodkaz"/>
          <w:rFonts w:ascii="Tahoma" w:eastAsia="Times New Roman" w:hAnsi="Tahoma" w:cs="Tahoma"/>
          <w:bCs/>
          <w:color w:val="000000" w:themeColor="text1"/>
          <w:kern w:val="36"/>
          <w:sz w:val="20"/>
          <w:szCs w:val="20"/>
          <w:u w:val="none"/>
          <w:lang w:eastAsia="cs-CZ"/>
        </w:rPr>
        <w:t>KORNAVLAU4OC</w:t>
      </w:r>
      <w:r>
        <w:rPr>
          <w:rStyle w:val="Hypertextovodkaz"/>
          <w:rFonts w:ascii="Tahoma" w:eastAsia="Times New Roman" w:hAnsi="Tahoma" w:cs="Tahoma"/>
          <w:bCs/>
          <w:color w:val="000000" w:themeColor="text1"/>
          <w:kern w:val="36"/>
          <w:sz w:val="20"/>
          <w:szCs w:val="20"/>
          <w:u w:val="none"/>
          <w:lang w:eastAsia="cs-CZ"/>
        </w:rPr>
        <w:t>)</w:t>
      </w:r>
    </w:p>
    <w:p w:rsidR="00BF6038" w:rsidRDefault="00BF6038" w:rsidP="00BF6038">
      <w:pPr>
        <w:pStyle w:val="Bezmezer"/>
        <w:ind w:left="720"/>
        <w:jc w:val="right"/>
        <w:rPr>
          <w:rStyle w:val="Hypertextovodkaz"/>
          <w:rFonts w:ascii="Tahoma" w:eastAsia="Times New Roman" w:hAnsi="Tahoma" w:cs="Tahoma"/>
          <w:bCs/>
          <w:color w:val="000000" w:themeColor="text1"/>
          <w:kern w:val="36"/>
          <w:sz w:val="20"/>
          <w:szCs w:val="20"/>
          <w:u w:val="none"/>
          <w:lang w:eastAsia="cs-CZ"/>
        </w:rPr>
      </w:pPr>
    </w:p>
    <w:p w:rsidR="00BF6038" w:rsidRDefault="00BF6038" w:rsidP="00EA582B">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Uvedená novela zákona o NK</w:t>
      </w:r>
      <w:r w:rsidR="00EA582B">
        <w:rPr>
          <w:rStyle w:val="Hypertextovodkaz"/>
          <w:rFonts w:ascii="Tahoma" w:eastAsia="Times New Roman" w:hAnsi="Tahoma" w:cs="Tahoma"/>
          <w:bCs/>
          <w:color w:val="000000" w:themeColor="text1"/>
          <w:kern w:val="36"/>
          <w:sz w:val="20"/>
          <w:szCs w:val="20"/>
          <w:u w:val="none"/>
          <w:lang w:eastAsia="cs-CZ"/>
        </w:rPr>
        <w:t xml:space="preserve">Ú rozšiřuje kontrolní činnost NKÚ i na hospodaření s </w:t>
      </w:r>
      <w:r w:rsidR="00EA582B" w:rsidRPr="00EA582B">
        <w:rPr>
          <w:rStyle w:val="Hypertextovodkaz"/>
          <w:rFonts w:ascii="Tahoma" w:eastAsia="Times New Roman" w:hAnsi="Tahoma" w:cs="Tahoma"/>
          <w:bCs/>
          <w:color w:val="000000" w:themeColor="text1"/>
          <w:kern w:val="36"/>
          <w:sz w:val="20"/>
          <w:szCs w:val="20"/>
          <w:u w:val="none"/>
          <w:lang w:eastAsia="cs-CZ"/>
        </w:rPr>
        <w:t>majetkem právnických osob s majetkovou účastí státu</w:t>
      </w:r>
      <w:r w:rsidR="00333363">
        <w:rPr>
          <w:rStyle w:val="Hypertextovodkaz"/>
          <w:rFonts w:ascii="Tahoma" w:eastAsia="Times New Roman" w:hAnsi="Tahoma" w:cs="Tahoma"/>
          <w:bCs/>
          <w:color w:val="000000" w:themeColor="text1"/>
          <w:kern w:val="36"/>
          <w:sz w:val="20"/>
          <w:szCs w:val="20"/>
          <w:u w:val="none"/>
          <w:lang w:eastAsia="cs-CZ"/>
        </w:rPr>
        <w:t xml:space="preserve"> (tedy i ČEPRO)</w:t>
      </w:r>
      <w:r w:rsidR="00EA582B" w:rsidRPr="00EA582B">
        <w:rPr>
          <w:rStyle w:val="Hypertextovodkaz"/>
          <w:rFonts w:ascii="Tahoma" w:eastAsia="Times New Roman" w:hAnsi="Tahoma" w:cs="Tahoma"/>
          <w:bCs/>
          <w:color w:val="000000" w:themeColor="text1"/>
          <w:kern w:val="36"/>
          <w:sz w:val="20"/>
          <w:szCs w:val="20"/>
          <w:u w:val="none"/>
          <w:lang w:eastAsia="cs-CZ"/>
        </w:rPr>
        <w:t xml:space="preserve"> neb</w:t>
      </w:r>
      <w:r w:rsidR="00EA582B">
        <w:rPr>
          <w:rStyle w:val="Hypertextovodkaz"/>
          <w:rFonts w:ascii="Tahoma" w:eastAsia="Times New Roman" w:hAnsi="Tahoma" w:cs="Tahoma"/>
          <w:bCs/>
          <w:color w:val="000000" w:themeColor="text1"/>
          <w:kern w:val="36"/>
          <w:sz w:val="20"/>
          <w:szCs w:val="20"/>
          <w:u w:val="none"/>
          <w:lang w:eastAsia="cs-CZ"/>
        </w:rPr>
        <w:t>o územního samosprávného celku.</w:t>
      </w:r>
    </w:p>
    <w:p w:rsidR="00EA582B" w:rsidRDefault="00EA582B" w:rsidP="00EA582B">
      <w:pPr>
        <w:pStyle w:val="Bezmezer"/>
        <w:jc w:val="both"/>
        <w:rPr>
          <w:rStyle w:val="Hypertextovodkaz"/>
          <w:rFonts w:ascii="Tahoma" w:eastAsia="Times New Roman" w:hAnsi="Tahoma" w:cs="Tahoma"/>
          <w:bCs/>
          <w:color w:val="000000" w:themeColor="text1"/>
          <w:kern w:val="36"/>
          <w:sz w:val="20"/>
          <w:szCs w:val="20"/>
          <w:u w:val="none"/>
          <w:lang w:eastAsia="cs-CZ"/>
        </w:rPr>
      </w:pPr>
    </w:p>
    <w:p w:rsidR="00EA582B" w:rsidRDefault="00EA582B" w:rsidP="00EA582B">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Uvedená novela navazuje na projednávanou novelu </w:t>
      </w:r>
      <w:r w:rsidRPr="00EA582B">
        <w:rPr>
          <w:rStyle w:val="Hypertextovodkaz"/>
          <w:rFonts w:ascii="Tahoma" w:eastAsia="Times New Roman" w:hAnsi="Tahoma" w:cs="Tahoma"/>
          <w:bCs/>
          <w:color w:val="000000" w:themeColor="text1"/>
          <w:kern w:val="36"/>
          <w:sz w:val="20"/>
          <w:szCs w:val="20"/>
          <w:u w:val="none"/>
          <w:lang w:eastAsia="cs-CZ"/>
        </w:rPr>
        <w:t>čl. 97 odst. 1 Ústavy České republiky</w:t>
      </w:r>
      <w:r>
        <w:rPr>
          <w:rStyle w:val="Hypertextovodkaz"/>
          <w:rFonts w:ascii="Tahoma" w:eastAsia="Times New Roman" w:hAnsi="Tahoma" w:cs="Tahoma"/>
          <w:bCs/>
          <w:color w:val="000000" w:themeColor="text1"/>
          <w:kern w:val="36"/>
          <w:sz w:val="20"/>
          <w:szCs w:val="20"/>
          <w:u w:val="none"/>
          <w:lang w:eastAsia="cs-CZ"/>
        </w:rPr>
        <w:t>, který upravuje</w:t>
      </w:r>
      <w:r w:rsidRPr="00EA582B">
        <w:rPr>
          <w:rStyle w:val="Hypertextovodkaz"/>
          <w:rFonts w:ascii="Tahoma" w:eastAsia="Times New Roman" w:hAnsi="Tahoma" w:cs="Tahoma"/>
          <w:bCs/>
          <w:color w:val="000000" w:themeColor="text1"/>
          <w:kern w:val="36"/>
          <w:sz w:val="20"/>
          <w:szCs w:val="20"/>
          <w:u w:val="none"/>
          <w:lang w:eastAsia="cs-CZ"/>
        </w:rPr>
        <w:t xml:space="preserve"> působnost Nejvyššího kontrolního úřadu.</w:t>
      </w:r>
    </w:p>
    <w:p w:rsidR="00384022" w:rsidRDefault="00384022" w:rsidP="00EA582B">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Pr="00384022" w:rsidRDefault="00384022" w:rsidP="00384022">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Bude monitorováno ze strany OPS.</w:t>
      </w:r>
    </w:p>
    <w:p w:rsidR="00EA582B" w:rsidRDefault="00EA582B" w:rsidP="00EA582B">
      <w:pPr>
        <w:pStyle w:val="Bezmezer"/>
        <w:jc w:val="both"/>
        <w:rPr>
          <w:rStyle w:val="Hypertextovodkaz"/>
          <w:rFonts w:ascii="Tahoma" w:eastAsia="Times New Roman" w:hAnsi="Tahoma" w:cs="Tahoma"/>
          <w:bCs/>
          <w:color w:val="000000" w:themeColor="text1"/>
          <w:kern w:val="36"/>
          <w:sz w:val="20"/>
          <w:szCs w:val="20"/>
          <w:u w:val="none"/>
          <w:lang w:eastAsia="cs-CZ"/>
        </w:rPr>
      </w:pPr>
    </w:p>
    <w:p w:rsidR="00BF6038" w:rsidRDefault="00BF6038"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524448" w:rsidRPr="00524448" w:rsidRDefault="00524448" w:rsidP="00524448">
      <w:pPr>
        <w:pStyle w:val="Bezmezer"/>
        <w:pBdr>
          <w:bottom w:val="single" w:sz="4" w:space="1" w:color="auto"/>
        </w:pBdr>
        <w:jc w:val="center"/>
        <w:rPr>
          <w:rStyle w:val="Hypertextovodkaz"/>
          <w:rFonts w:ascii="Tahoma" w:eastAsia="Times New Roman" w:hAnsi="Tahoma" w:cs="Tahoma"/>
          <w:b/>
          <w:bCs/>
          <w:color w:val="000000" w:themeColor="text1"/>
          <w:kern w:val="36"/>
          <w:sz w:val="24"/>
          <w:szCs w:val="20"/>
          <w:u w:val="none"/>
          <w:lang w:eastAsia="cs-CZ"/>
        </w:rPr>
      </w:pPr>
      <w:r w:rsidRPr="00524448">
        <w:rPr>
          <w:rStyle w:val="Hypertextovodkaz"/>
          <w:rFonts w:ascii="Tahoma" w:eastAsia="Times New Roman" w:hAnsi="Tahoma" w:cs="Tahoma"/>
          <w:b/>
          <w:bCs/>
          <w:color w:val="000000" w:themeColor="text1"/>
          <w:kern w:val="36"/>
          <w:sz w:val="24"/>
          <w:szCs w:val="20"/>
          <w:u w:val="none"/>
          <w:lang w:eastAsia="cs-CZ"/>
        </w:rPr>
        <w:t>Novela zákona o obchodních korporacích</w:t>
      </w:r>
    </w:p>
    <w:p w:rsidR="004B555E" w:rsidRDefault="00524448" w:rsidP="0052444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(mezirezortní připomínkové řízení, ID </w:t>
      </w:r>
      <w:r w:rsidRPr="00524448">
        <w:rPr>
          <w:rStyle w:val="Hypertextovodkaz"/>
          <w:rFonts w:ascii="Tahoma" w:eastAsia="Times New Roman" w:hAnsi="Tahoma" w:cs="Tahoma"/>
          <w:bCs/>
          <w:color w:val="000000" w:themeColor="text1"/>
          <w:kern w:val="36"/>
          <w:sz w:val="20"/>
          <w:szCs w:val="20"/>
          <w:u w:val="none"/>
          <w:lang w:eastAsia="cs-CZ"/>
        </w:rPr>
        <w:t>ALBSAW9B84DM</w:t>
      </w:r>
      <w:r>
        <w:rPr>
          <w:rStyle w:val="Hypertextovodkaz"/>
          <w:rFonts w:ascii="Tahoma" w:eastAsia="Times New Roman" w:hAnsi="Tahoma" w:cs="Tahoma"/>
          <w:bCs/>
          <w:color w:val="000000" w:themeColor="text1"/>
          <w:kern w:val="36"/>
          <w:sz w:val="20"/>
          <w:szCs w:val="20"/>
          <w:u w:val="none"/>
          <w:lang w:eastAsia="cs-CZ"/>
        </w:rPr>
        <w:t>)</w:t>
      </w:r>
    </w:p>
    <w:p w:rsidR="00524448" w:rsidRDefault="00524448" w:rsidP="00524448">
      <w:pPr>
        <w:pStyle w:val="Bezmezer"/>
        <w:jc w:val="right"/>
        <w:rPr>
          <w:rStyle w:val="Hypertextovodkaz"/>
          <w:rFonts w:ascii="Tahoma" w:eastAsia="Times New Roman" w:hAnsi="Tahoma" w:cs="Tahoma"/>
          <w:bCs/>
          <w:color w:val="000000" w:themeColor="text1"/>
          <w:kern w:val="36"/>
          <w:sz w:val="20"/>
          <w:szCs w:val="20"/>
          <w:u w:val="none"/>
          <w:lang w:eastAsia="cs-CZ"/>
        </w:rPr>
      </w:pPr>
    </w:p>
    <w:p w:rsidR="00524448" w:rsidRDefault="0064007D" w:rsidP="00524448">
      <w:pPr>
        <w:pStyle w:val="Bezmezer"/>
        <w:jc w:val="both"/>
        <w:rPr>
          <w:rStyle w:val="Hypertextovodkaz"/>
          <w:rFonts w:ascii="Tahoma" w:eastAsia="Times New Roman" w:hAnsi="Tahoma" w:cs="Tahoma"/>
          <w:bCs/>
          <w:color w:val="000000" w:themeColor="text1"/>
          <w:kern w:val="36"/>
          <w:sz w:val="20"/>
          <w:szCs w:val="20"/>
          <w:u w:val="none"/>
          <w:lang w:eastAsia="cs-CZ"/>
        </w:rPr>
      </w:pPr>
      <w:r w:rsidRPr="0064007D">
        <w:rPr>
          <w:rStyle w:val="Hypertextovodkaz"/>
          <w:rFonts w:ascii="Tahoma" w:eastAsia="Times New Roman" w:hAnsi="Tahoma" w:cs="Tahoma"/>
          <w:bCs/>
          <w:color w:val="000000" w:themeColor="text1"/>
          <w:kern w:val="36"/>
          <w:sz w:val="20"/>
          <w:szCs w:val="20"/>
          <w:u w:val="none"/>
          <w:lang w:eastAsia="cs-CZ"/>
        </w:rPr>
        <w:t>Ministerstvo spravedlnosti vyhotovilo v souladu s Plánem legislativních prací vlády na rok 2018 návrh zákona, kterým se mění zákon č. 90/2012 Sb., o obchodních společnostech a družstvech (zákon o obchodních korporacích), ve znění zákona č. 458/2016 Sb., a některé další zákony. Návrh byl připraven na základě hodnocení dosavadního fungování nové civilní legislativy.</w:t>
      </w:r>
    </w:p>
    <w:p w:rsidR="0064007D" w:rsidRDefault="0064007D" w:rsidP="00524448">
      <w:pPr>
        <w:pStyle w:val="Bezmezer"/>
        <w:jc w:val="both"/>
        <w:rPr>
          <w:rStyle w:val="Hypertextovodkaz"/>
          <w:rFonts w:ascii="Tahoma" w:eastAsia="Times New Roman" w:hAnsi="Tahoma" w:cs="Tahoma"/>
          <w:bCs/>
          <w:color w:val="000000" w:themeColor="text1"/>
          <w:kern w:val="36"/>
          <w:sz w:val="20"/>
          <w:szCs w:val="20"/>
          <w:u w:val="none"/>
          <w:lang w:eastAsia="cs-CZ"/>
        </w:rPr>
      </w:pPr>
    </w:p>
    <w:p w:rsidR="0064007D" w:rsidRDefault="0064007D" w:rsidP="00524448">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si klade za cíl odstranit následující nedostatky:</w:t>
      </w:r>
    </w:p>
    <w:p w:rsidR="0064007D" w:rsidRDefault="0064007D" w:rsidP="00384022">
      <w:pPr>
        <w:numPr>
          <w:ilvl w:val="0"/>
          <w:numId w:val="30"/>
        </w:numPr>
        <w:shd w:val="clear" w:color="auto" w:fill="FFFFFF"/>
        <w:spacing w:before="100" w:beforeAutospacing="1" w:after="96" w:line="240" w:lineRule="auto"/>
        <w:ind w:left="480"/>
        <w:jc w:val="both"/>
        <w:rPr>
          <w:rStyle w:val="Hypertextovodkaz"/>
          <w:rFonts w:ascii="Tahoma" w:hAnsi="Tahoma" w:cs="Tahoma"/>
          <w:bCs/>
          <w:color w:val="000000" w:themeColor="text1"/>
          <w:kern w:val="36"/>
          <w:sz w:val="20"/>
          <w:szCs w:val="20"/>
          <w:u w:val="none"/>
          <w:lang w:eastAsia="cs-CZ"/>
        </w:rPr>
      </w:pPr>
      <w:r w:rsidRPr="0064007D">
        <w:rPr>
          <w:rStyle w:val="Hypertextovodkaz"/>
          <w:rFonts w:ascii="Tahoma" w:hAnsi="Tahoma" w:cs="Tahoma"/>
          <w:bCs/>
          <w:color w:val="000000" w:themeColor="text1"/>
          <w:kern w:val="36"/>
          <w:sz w:val="20"/>
          <w:szCs w:val="20"/>
          <w:u w:val="none"/>
          <w:lang w:eastAsia="cs-CZ"/>
        </w:rPr>
        <w:t>nadbytečná regulatorní zát</w:t>
      </w:r>
      <w:r w:rsidR="00384022">
        <w:rPr>
          <w:rStyle w:val="Hypertextovodkaz"/>
          <w:rFonts w:ascii="Tahoma" w:hAnsi="Tahoma" w:cs="Tahoma"/>
          <w:bCs/>
          <w:color w:val="000000" w:themeColor="text1"/>
          <w:kern w:val="36"/>
          <w:sz w:val="20"/>
          <w:szCs w:val="20"/>
          <w:u w:val="none"/>
          <w:lang w:eastAsia="cs-CZ"/>
        </w:rPr>
        <w:t>ěž pro podnikatele. Návrhy:</w:t>
      </w:r>
    </w:p>
    <w:p w:rsidR="0064007D" w:rsidRPr="00384022" w:rsidRDefault="0064007D" w:rsidP="00384022">
      <w:pPr>
        <w:numPr>
          <w:ilvl w:val="1"/>
          <w:numId w:val="30"/>
        </w:numPr>
        <w:shd w:val="clear" w:color="auto" w:fill="FFFFFF"/>
        <w:spacing w:before="100" w:beforeAutospacing="1" w:after="96" w:line="240" w:lineRule="auto"/>
        <w:jc w:val="both"/>
        <w:rPr>
          <w:rStyle w:val="Hypertextovodkaz"/>
          <w:rFonts w:eastAsia="Times New Roman"/>
          <w:color w:val="000000" w:themeColor="text1"/>
          <w:u w:val="none"/>
          <w:lang w:eastAsia="cs-CZ"/>
        </w:rPr>
      </w:pPr>
      <w:r w:rsidRPr="00384022">
        <w:rPr>
          <w:rStyle w:val="Hypertextovodkaz"/>
          <w:rFonts w:ascii="Tahoma" w:eastAsia="Times New Roman" w:hAnsi="Tahoma" w:cs="Tahoma"/>
          <w:bCs/>
          <w:color w:val="000000" w:themeColor="text1"/>
          <w:kern w:val="36"/>
          <w:sz w:val="20"/>
          <w:szCs w:val="20"/>
          <w:u w:val="none"/>
          <w:lang w:eastAsia="cs-CZ"/>
        </w:rPr>
        <w:t xml:space="preserve">společnosti, které mají povinnost vyhotovit výroční zprávu podle zákona o účetnictví, již nebudou muset vyhotovovat zprávu o podnikatelské činnosti a o stavu majetku. Tyto údaje budou uvádět jen ve výroční zprávě. </w:t>
      </w:r>
    </w:p>
    <w:p w:rsidR="0064007D" w:rsidRPr="00384022" w:rsidRDefault="0064007D" w:rsidP="00384022">
      <w:pPr>
        <w:numPr>
          <w:ilvl w:val="1"/>
          <w:numId w:val="30"/>
        </w:numPr>
        <w:shd w:val="clear" w:color="auto" w:fill="FFFFFF"/>
        <w:spacing w:before="100" w:beforeAutospacing="1" w:after="96" w:line="240" w:lineRule="auto"/>
        <w:jc w:val="both"/>
        <w:rPr>
          <w:rStyle w:val="Hypertextovodkaz"/>
          <w:rFonts w:ascii="Tahoma" w:eastAsia="Times New Roman" w:hAnsi="Tahoma" w:cs="Tahoma"/>
          <w:bCs/>
          <w:color w:val="000000" w:themeColor="text1"/>
          <w:kern w:val="36"/>
          <w:sz w:val="20"/>
          <w:szCs w:val="20"/>
          <w:u w:val="none"/>
          <w:lang w:eastAsia="cs-CZ"/>
        </w:rPr>
      </w:pPr>
      <w:r w:rsidRPr="00384022">
        <w:rPr>
          <w:rStyle w:val="Hypertextovodkaz"/>
          <w:rFonts w:ascii="Tahoma" w:eastAsia="Times New Roman" w:hAnsi="Tahoma" w:cs="Tahoma"/>
          <w:bCs/>
          <w:color w:val="000000" w:themeColor="text1"/>
          <w:kern w:val="36"/>
          <w:sz w:val="20"/>
          <w:szCs w:val="20"/>
          <w:u w:val="none"/>
          <w:lang w:eastAsia="cs-CZ"/>
        </w:rPr>
        <w:t>úpravou ve společenské smlouvě se bude možné odchýlit od zákonné úpravy zákazu konkurence. Zákon by pouze stanovil některé činnosti, jejichž výkon se</w:t>
      </w:r>
      <w:r w:rsidR="00333363">
        <w:rPr>
          <w:rStyle w:val="Hypertextovodkaz"/>
          <w:rFonts w:ascii="Tahoma" w:eastAsia="Times New Roman" w:hAnsi="Tahoma" w:cs="Tahoma"/>
          <w:bCs/>
          <w:color w:val="000000" w:themeColor="text1"/>
          <w:kern w:val="36"/>
          <w:sz w:val="20"/>
          <w:szCs w:val="20"/>
          <w:u w:val="none"/>
          <w:lang w:eastAsia="cs-CZ"/>
        </w:rPr>
        <w:t xml:space="preserve"> členovi představenstva</w:t>
      </w:r>
      <w:r w:rsidRPr="00384022">
        <w:rPr>
          <w:rStyle w:val="Hypertextovodkaz"/>
          <w:rFonts w:ascii="Tahoma" w:eastAsia="Times New Roman" w:hAnsi="Tahoma" w:cs="Tahoma"/>
          <w:bCs/>
          <w:color w:val="000000" w:themeColor="text1"/>
          <w:kern w:val="36"/>
          <w:sz w:val="20"/>
          <w:szCs w:val="20"/>
          <w:u w:val="none"/>
          <w:lang w:eastAsia="cs-CZ"/>
        </w:rPr>
        <w:t xml:space="preserve"> zakazuje, a ponechává na společnosti, zda a jakým způsobem upraví další otázky zákazu konkurence.</w:t>
      </w:r>
    </w:p>
    <w:p w:rsidR="0064007D" w:rsidRPr="00384022" w:rsidRDefault="00384022" w:rsidP="00384022">
      <w:pPr>
        <w:numPr>
          <w:ilvl w:val="1"/>
          <w:numId w:val="30"/>
        </w:numPr>
        <w:shd w:val="clear" w:color="auto" w:fill="FFFFFF"/>
        <w:spacing w:before="100" w:beforeAutospacing="1" w:after="96" w:line="24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w:t>
      </w:r>
      <w:r w:rsidR="0064007D" w:rsidRPr="00384022">
        <w:rPr>
          <w:rStyle w:val="Hypertextovodkaz"/>
          <w:rFonts w:ascii="Tahoma" w:eastAsia="Times New Roman" w:hAnsi="Tahoma" w:cs="Tahoma"/>
          <w:bCs/>
          <w:color w:val="000000" w:themeColor="text1"/>
          <w:kern w:val="36"/>
          <w:sz w:val="20"/>
          <w:szCs w:val="20"/>
          <w:u w:val="none"/>
          <w:lang w:eastAsia="cs-CZ"/>
        </w:rPr>
        <w:t xml:space="preserve"> vypuštění údajů ze stanov by se dle návrhu již nepořizoval notářský zápis. Ke změně by postačovalo</w:t>
      </w:r>
      <w:r w:rsidRPr="00384022">
        <w:rPr>
          <w:rStyle w:val="Hypertextovodkaz"/>
          <w:rFonts w:ascii="Tahoma" w:eastAsia="Times New Roman" w:hAnsi="Tahoma" w:cs="Tahoma"/>
          <w:bCs/>
          <w:color w:val="000000" w:themeColor="text1"/>
          <w:kern w:val="36"/>
          <w:sz w:val="20"/>
          <w:szCs w:val="20"/>
          <w:u w:val="none"/>
          <w:lang w:eastAsia="cs-CZ"/>
        </w:rPr>
        <w:t xml:space="preserve"> rozhodnutí</w:t>
      </w:r>
      <w:r w:rsidR="0064007D" w:rsidRPr="00384022">
        <w:rPr>
          <w:rStyle w:val="Hypertextovodkaz"/>
          <w:rFonts w:ascii="Tahoma" w:eastAsia="Times New Roman" w:hAnsi="Tahoma" w:cs="Tahoma"/>
          <w:bCs/>
          <w:color w:val="000000" w:themeColor="text1"/>
          <w:kern w:val="36"/>
          <w:sz w:val="20"/>
          <w:szCs w:val="20"/>
          <w:u w:val="none"/>
          <w:lang w:eastAsia="cs-CZ"/>
        </w:rPr>
        <w:t xml:space="preserve"> valné hromady.</w:t>
      </w:r>
    </w:p>
    <w:p w:rsidR="0064007D" w:rsidRPr="0064007D" w:rsidRDefault="0064007D" w:rsidP="00384022">
      <w:pPr>
        <w:numPr>
          <w:ilvl w:val="0"/>
          <w:numId w:val="30"/>
        </w:numPr>
        <w:shd w:val="clear" w:color="auto" w:fill="FFFFFF"/>
        <w:spacing w:before="100" w:beforeAutospacing="1" w:after="96" w:line="240" w:lineRule="auto"/>
        <w:ind w:left="480"/>
        <w:jc w:val="both"/>
        <w:rPr>
          <w:rStyle w:val="Hypertextovodkaz"/>
          <w:rFonts w:ascii="Tahoma" w:hAnsi="Tahoma" w:cs="Tahoma"/>
          <w:bCs/>
          <w:color w:val="000000" w:themeColor="text1"/>
          <w:kern w:val="36"/>
          <w:sz w:val="20"/>
          <w:szCs w:val="20"/>
          <w:u w:val="none"/>
          <w:lang w:eastAsia="cs-CZ"/>
        </w:rPr>
      </w:pPr>
      <w:r w:rsidRPr="0064007D">
        <w:rPr>
          <w:rStyle w:val="Hypertextovodkaz"/>
          <w:rFonts w:ascii="Tahoma" w:hAnsi="Tahoma" w:cs="Tahoma"/>
          <w:bCs/>
          <w:color w:val="000000" w:themeColor="text1"/>
          <w:kern w:val="36"/>
          <w:sz w:val="20"/>
          <w:szCs w:val="20"/>
          <w:u w:val="none"/>
          <w:lang w:eastAsia="cs-CZ"/>
        </w:rPr>
        <w:t>nedostatečná transparentnost organizačních struktur kapitálových společností a družstev,</w:t>
      </w:r>
    </w:p>
    <w:p w:rsidR="0064007D" w:rsidRPr="0064007D" w:rsidRDefault="0064007D" w:rsidP="00384022">
      <w:pPr>
        <w:numPr>
          <w:ilvl w:val="0"/>
          <w:numId w:val="30"/>
        </w:numPr>
        <w:shd w:val="clear" w:color="auto" w:fill="FFFFFF"/>
        <w:spacing w:before="100" w:beforeAutospacing="1" w:after="96" w:line="240" w:lineRule="auto"/>
        <w:ind w:left="480"/>
        <w:jc w:val="both"/>
        <w:rPr>
          <w:rStyle w:val="Hypertextovodkaz"/>
          <w:rFonts w:ascii="Tahoma" w:hAnsi="Tahoma" w:cs="Tahoma"/>
          <w:bCs/>
          <w:color w:val="000000" w:themeColor="text1"/>
          <w:kern w:val="36"/>
          <w:sz w:val="20"/>
          <w:szCs w:val="20"/>
          <w:u w:val="none"/>
          <w:lang w:eastAsia="cs-CZ"/>
        </w:rPr>
      </w:pPr>
      <w:r w:rsidRPr="0064007D">
        <w:rPr>
          <w:rStyle w:val="Hypertextovodkaz"/>
          <w:rFonts w:ascii="Tahoma" w:hAnsi="Tahoma" w:cs="Tahoma"/>
          <w:bCs/>
          <w:color w:val="000000" w:themeColor="text1"/>
          <w:kern w:val="36"/>
          <w:sz w:val="20"/>
          <w:szCs w:val="20"/>
          <w:u w:val="none"/>
          <w:lang w:eastAsia="cs-CZ"/>
        </w:rPr>
        <w:t>nepřehledná a nejasná úprava monistického systému vnitřní správy akciové společnosti,</w:t>
      </w:r>
    </w:p>
    <w:p w:rsidR="0064007D" w:rsidRDefault="0064007D" w:rsidP="00384022">
      <w:pPr>
        <w:numPr>
          <w:ilvl w:val="0"/>
          <w:numId w:val="30"/>
        </w:numPr>
        <w:shd w:val="clear" w:color="auto" w:fill="FFFFFF"/>
        <w:spacing w:before="100" w:beforeAutospacing="1" w:after="96" w:line="240" w:lineRule="auto"/>
        <w:ind w:left="480"/>
        <w:jc w:val="both"/>
        <w:rPr>
          <w:rStyle w:val="Hypertextovodkaz"/>
          <w:rFonts w:ascii="Tahoma" w:hAnsi="Tahoma" w:cs="Tahoma"/>
          <w:bCs/>
          <w:color w:val="000000" w:themeColor="text1"/>
          <w:kern w:val="36"/>
          <w:sz w:val="20"/>
          <w:szCs w:val="20"/>
          <w:u w:val="none"/>
          <w:lang w:eastAsia="cs-CZ"/>
        </w:rPr>
      </w:pPr>
      <w:r w:rsidRPr="0064007D">
        <w:rPr>
          <w:rStyle w:val="Hypertextovodkaz"/>
          <w:rFonts w:ascii="Tahoma" w:hAnsi="Tahoma" w:cs="Tahoma"/>
          <w:bCs/>
          <w:color w:val="000000" w:themeColor="text1"/>
          <w:kern w:val="36"/>
          <w:sz w:val="20"/>
          <w:szCs w:val="20"/>
          <w:u w:val="none"/>
          <w:lang w:eastAsia="cs-CZ"/>
        </w:rPr>
        <w:t>neefektivní vynucování povinnosti zakládat účetní dokumenty do sbírky listin obchodního rejstříku a řešení problémů s tzv. neaktivními společnostmi,</w:t>
      </w:r>
    </w:p>
    <w:p w:rsidR="00384022" w:rsidRPr="00384022" w:rsidRDefault="00384022" w:rsidP="00384022">
      <w:pPr>
        <w:numPr>
          <w:ilvl w:val="1"/>
          <w:numId w:val="30"/>
        </w:numPr>
        <w:shd w:val="clear" w:color="auto" w:fill="FFFFFF"/>
        <w:spacing w:before="100" w:beforeAutospacing="1" w:after="96" w:line="240" w:lineRule="auto"/>
        <w:jc w:val="both"/>
        <w:rPr>
          <w:rStyle w:val="Hypertextovodkaz"/>
          <w:rFonts w:ascii="Tahoma" w:hAnsi="Tahoma" w:cs="Tahoma"/>
          <w:bCs/>
          <w:color w:val="000000" w:themeColor="text1"/>
          <w:kern w:val="36"/>
          <w:sz w:val="20"/>
          <w:szCs w:val="20"/>
          <w:u w:val="none"/>
          <w:lang w:eastAsia="cs-CZ"/>
        </w:rPr>
      </w:pPr>
      <w:r>
        <w:rPr>
          <w:rStyle w:val="Hypertextovodkaz"/>
          <w:rFonts w:ascii="Tahoma" w:hAnsi="Tahoma" w:cs="Tahoma"/>
          <w:bCs/>
          <w:color w:val="000000" w:themeColor="text1"/>
          <w:kern w:val="36"/>
          <w:sz w:val="20"/>
          <w:szCs w:val="20"/>
          <w:u w:val="none"/>
          <w:lang w:eastAsia="cs-CZ"/>
        </w:rPr>
        <w:t>n</w:t>
      </w:r>
      <w:r w:rsidRPr="00384022">
        <w:rPr>
          <w:rStyle w:val="Hypertextovodkaz"/>
          <w:rFonts w:ascii="Tahoma" w:hAnsi="Tahoma" w:cs="Tahoma"/>
          <w:bCs/>
          <w:color w:val="000000" w:themeColor="text1"/>
          <w:kern w:val="36"/>
          <w:sz w:val="20"/>
          <w:szCs w:val="20"/>
          <w:u w:val="none"/>
          <w:lang w:eastAsia="cs-CZ"/>
        </w:rPr>
        <w:t>ovela chce eliminovat existenci neaktivních obchodních korporací nebo alespoň výrazně snížit jejich počet, a to za pomoci postihu neaktivních obchodních korporací, jehož důsledkem bude ve většině případů výmaz obchodní korporace z obchodního rejstříku.</w:t>
      </w:r>
      <w:r>
        <w:rPr>
          <w:rStyle w:val="Hypertextovodkaz"/>
          <w:rFonts w:ascii="Tahoma" w:hAnsi="Tahoma" w:cs="Tahoma"/>
          <w:bCs/>
          <w:color w:val="000000" w:themeColor="text1"/>
          <w:kern w:val="36"/>
          <w:sz w:val="20"/>
          <w:szCs w:val="20"/>
          <w:u w:val="none"/>
          <w:lang w:eastAsia="cs-CZ"/>
        </w:rPr>
        <w:t xml:space="preserve"> </w:t>
      </w:r>
      <w:r w:rsidRPr="00384022">
        <w:rPr>
          <w:rStyle w:val="Hypertextovodkaz"/>
          <w:rFonts w:ascii="Tahoma" w:hAnsi="Tahoma" w:cs="Tahoma"/>
          <w:bCs/>
          <w:color w:val="000000" w:themeColor="text1"/>
          <w:kern w:val="36"/>
          <w:sz w:val="20"/>
          <w:szCs w:val="20"/>
          <w:u w:val="none"/>
          <w:lang w:eastAsia="cs-CZ"/>
        </w:rPr>
        <w:t>Konkrétně novela počítá s tím, že obchodní korporaci by bylo možné zrušit bez likvidace, jestliže nezaloží do sbírky listin účetní závěrky za dvě po sobě jdoucí účetní období, není-li zároveň možné jí doručit výzvu ke splnění povinnosti založit chybějící účetní závěrky do sbírky listin (obchodní korporace je tedy nekontaktní).</w:t>
      </w:r>
    </w:p>
    <w:p w:rsidR="0064007D" w:rsidRDefault="0064007D" w:rsidP="00384022">
      <w:pPr>
        <w:numPr>
          <w:ilvl w:val="0"/>
          <w:numId w:val="30"/>
        </w:numPr>
        <w:shd w:val="clear" w:color="auto" w:fill="FFFFFF"/>
        <w:spacing w:before="100" w:beforeAutospacing="1" w:after="96" w:line="240" w:lineRule="auto"/>
        <w:ind w:left="480"/>
        <w:rPr>
          <w:rStyle w:val="Hypertextovodkaz"/>
          <w:rFonts w:ascii="Tahoma" w:hAnsi="Tahoma" w:cs="Tahoma"/>
          <w:bCs/>
          <w:color w:val="000000" w:themeColor="text1"/>
          <w:kern w:val="36"/>
          <w:sz w:val="20"/>
          <w:szCs w:val="20"/>
          <w:u w:val="none"/>
          <w:lang w:eastAsia="cs-CZ"/>
        </w:rPr>
      </w:pPr>
      <w:r w:rsidRPr="0064007D">
        <w:rPr>
          <w:rStyle w:val="Hypertextovodkaz"/>
          <w:rFonts w:ascii="Tahoma" w:hAnsi="Tahoma" w:cs="Tahoma"/>
          <w:bCs/>
          <w:color w:val="000000" w:themeColor="text1"/>
          <w:kern w:val="36"/>
          <w:sz w:val="20"/>
          <w:szCs w:val="20"/>
          <w:u w:val="none"/>
          <w:lang w:eastAsia="cs-CZ"/>
        </w:rPr>
        <w:t>propojení obchodního rejstříku s ostatními obdobnými evropskými registry prostřednictvím systému propojení rejstříků,</w:t>
      </w:r>
    </w:p>
    <w:p w:rsidR="00384022" w:rsidRPr="0064007D" w:rsidRDefault="00384022" w:rsidP="00384022">
      <w:pPr>
        <w:numPr>
          <w:ilvl w:val="1"/>
          <w:numId w:val="30"/>
        </w:numPr>
        <w:shd w:val="clear" w:color="auto" w:fill="FFFFFF"/>
        <w:spacing w:before="100" w:beforeAutospacing="1" w:after="96" w:line="240" w:lineRule="auto"/>
        <w:jc w:val="both"/>
        <w:rPr>
          <w:rStyle w:val="Hypertextovodkaz"/>
          <w:rFonts w:ascii="Tahoma" w:hAnsi="Tahoma" w:cs="Tahoma"/>
          <w:bCs/>
          <w:color w:val="000000" w:themeColor="text1"/>
          <w:kern w:val="36"/>
          <w:sz w:val="20"/>
          <w:szCs w:val="20"/>
          <w:u w:val="none"/>
          <w:lang w:eastAsia="cs-CZ"/>
        </w:rPr>
      </w:pPr>
      <w:r>
        <w:rPr>
          <w:rStyle w:val="Hypertextovodkaz"/>
          <w:rFonts w:ascii="Tahoma" w:hAnsi="Tahoma" w:cs="Tahoma"/>
          <w:bCs/>
          <w:color w:val="000000" w:themeColor="text1"/>
          <w:kern w:val="36"/>
          <w:sz w:val="20"/>
          <w:szCs w:val="20"/>
          <w:u w:val="none"/>
          <w:lang w:eastAsia="cs-CZ"/>
        </w:rPr>
        <w:t>n</w:t>
      </w:r>
      <w:r w:rsidRPr="00384022">
        <w:rPr>
          <w:rStyle w:val="Hypertextovodkaz"/>
          <w:rFonts w:ascii="Tahoma" w:hAnsi="Tahoma" w:cs="Tahoma"/>
          <w:bCs/>
          <w:color w:val="000000" w:themeColor="text1"/>
          <w:kern w:val="36"/>
          <w:sz w:val="20"/>
          <w:szCs w:val="20"/>
          <w:u w:val="none"/>
          <w:lang w:eastAsia="cs-CZ"/>
        </w:rPr>
        <w:t xml:space="preserve">ovela dále počítá s propojením českého obchodního rejstříku prostřednictvím BRIS (Business </w:t>
      </w:r>
      <w:proofErr w:type="spellStart"/>
      <w:r w:rsidRPr="00384022">
        <w:rPr>
          <w:rStyle w:val="Hypertextovodkaz"/>
          <w:rFonts w:ascii="Tahoma" w:hAnsi="Tahoma" w:cs="Tahoma"/>
          <w:bCs/>
          <w:color w:val="000000" w:themeColor="text1"/>
          <w:kern w:val="36"/>
          <w:sz w:val="20"/>
          <w:szCs w:val="20"/>
          <w:u w:val="none"/>
          <w:lang w:eastAsia="cs-CZ"/>
        </w:rPr>
        <w:t>Registers</w:t>
      </w:r>
      <w:proofErr w:type="spellEnd"/>
      <w:r w:rsidRPr="00384022">
        <w:rPr>
          <w:rStyle w:val="Hypertextovodkaz"/>
          <w:rFonts w:ascii="Tahoma" w:hAnsi="Tahoma" w:cs="Tahoma"/>
          <w:bCs/>
          <w:color w:val="000000" w:themeColor="text1"/>
          <w:kern w:val="36"/>
          <w:sz w:val="20"/>
          <w:szCs w:val="20"/>
          <w:u w:val="none"/>
          <w:lang w:eastAsia="cs-CZ"/>
        </w:rPr>
        <w:t xml:space="preserve"> </w:t>
      </w:r>
      <w:proofErr w:type="spellStart"/>
      <w:r w:rsidRPr="00384022">
        <w:rPr>
          <w:rStyle w:val="Hypertextovodkaz"/>
          <w:rFonts w:ascii="Tahoma" w:hAnsi="Tahoma" w:cs="Tahoma"/>
          <w:bCs/>
          <w:color w:val="000000" w:themeColor="text1"/>
          <w:kern w:val="36"/>
          <w:sz w:val="20"/>
          <w:szCs w:val="20"/>
          <w:u w:val="none"/>
          <w:lang w:eastAsia="cs-CZ"/>
        </w:rPr>
        <w:t>Interconnection</w:t>
      </w:r>
      <w:proofErr w:type="spellEnd"/>
      <w:r w:rsidRPr="00384022">
        <w:rPr>
          <w:rStyle w:val="Hypertextovodkaz"/>
          <w:rFonts w:ascii="Tahoma" w:hAnsi="Tahoma" w:cs="Tahoma"/>
          <w:bCs/>
          <w:color w:val="000000" w:themeColor="text1"/>
          <w:kern w:val="36"/>
          <w:sz w:val="20"/>
          <w:szCs w:val="20"/>
          <w:u w:val="none"/>
          <w:lang w:eastAsia="cs-CZ"/>
        </w:rPr>
        <w:t xml:space="preserve"> Systém) s obdobnými zahraničními registry. Jde totiž o požadavek evropské směrnice. Účelem propojení je zajistit aktuálnost a důvěryhodnost obchodního rejstříku ve vztahu jednak k informacím o závodech zahraničních právnických osob a jednak k údajům o přeshraničních fúzích. Propojení prostřednictvím BRIS by mělo zahrnovat jednak zprostředkování vymezených dat do BRIS a jednak nastavení postupu, jak je s relevantními daty zpřístupněnými v BRIS naloženo ve vztahu k subjektům zapsaným v českém obchodním rejstříku.</w:t>
      </w:r>
    </w:p>
    <w:p w:rsidR="0064007D" w:rsidRDefault="0064007D" w:rsidP="00384022">
      <w:pPr>
        <w:numPr>
          <w:ilvl w:val="0"/>
          <w:numId w:val="30"/>
        </w:numPr>
        <w:shd w:val="clear" w:color="auto" w:fill="FFFFFF"/>
        <w:spacing w:before="100" w:beforeAutospacing="1" w:after="96" w:line="240" w:lineRule="auto"/>
        <w:ind w:left="480"/>
        <w:rPr>
          <w:rStyle w:val="Hypertextovodkaz"/>
          <w:rFonts w:ascii="Tahoma" w:hAnsi="Tahoma" w:cs="Tahoma"/>
          <w:bCs/>
          <w:color w:val="000000" w:themeColor="text1"/>
          <w:kern w:val="36"/>
          <w:sz w:val="20"/>
          <w:szCs w:val="20"/>
          <w:u w:val="none"/>
          <w:lang w:eastAsia="cs-CZ"/>
        </w:rPr>
      </w:pPr>
      <w:r w:rsidRPr="0064007D">
        <w:rPr>
          <w:rStyle w:val="Hypertextovodkaz"/>
          <w:rFonts w:ascii="Tahoma" w:hAnsi="Tahoma" w:cs="Tahoma"/>
          <w:bCs/>
          <w:color w:val="000000" w:themeColor="text1"/>
          <w:kern w:val="36"/>
          <w:sz w:val="20"/>
          <w:szCs w:val="20"/>
          <w:u w:val="none"/>
          <w:lang w:eastAsia="cs-CZ"/>
        </w:rPr>
        <w:lastRenderedPageBreak/>
        <w:t>mezery v ochraně práv společníků, zvláště menšinových, a třetích osob.</w:t>
      </w:r>
    </w:p>
    <w:p w:rsidR="00384022" w:rsidRDefault="00384022" w:rsidP="00384022">
      <w:pPr>
        <w:numPr>
          <w:ilvl w:val="1"/>
          <w:numId w:val="30"/>
        </w:numPr>
        <w:shd w:val="clear" w:color="auto" w:fill="FFFFFF"/>
        <w:spacing w:before="100" w:beforeAutospacing="1" w:after="96" w:line="240" w:lineRule="auto"/>
        <w:jc w:val="both"/>
        <w:rPr>
          <w:rStyle w:val="Hypertextovodkaz"/>
          <w:rFonts w:ascii="Tahoma" w:hAnsi="Tahoma" w:cs="Tahoma"/>
          <w:bCs/>
          <w:color w:val="000000" w:themeColor="text1"/>
          <w:kern w:val="36"/>
          <w:sz w:val="20"/>
          <w:szCs w:val="20"/>
          <w:u w:val="none"/>
          <w:lang w:eastAsia="cs-CZ"/>
        </w:rPr>
      </w:pPr>
      <w:r>
        <w:rPr>
          <w:rStyle w:val="Hypertextovodkaz"/>
          <w:rFonts w:ascii="Tahoma" w:hAnsi="Tahoma" w:cs="Tahoma"/>
          <w:bCs/>
          <w:color w:val="000000" w:themeColor="text1"/>
          <w:kern w:val="36"/>
          <w:sz w:val="20"/>
          <w:szCs w:val="20"/>
          <w:u w:val="none"/>
          <w:lang w:eastAsia="cs-CZ"/>
        </w:rPr>
        <w:t xml:space="preserve">navrhuje se např. zavedení </w:t>
      </w:r>
      <w:r w:rsidRPr="00384022">
        <w:rPr>
          <w:rStyle w:val="Hypertextovodkaz"/>
          <w:rFonts w:ascii="Tahoma" w:hAnsi="Tahoma" w:cs="Tahoma"/>
          <w:bCs/>
          <w:color w:val="000000" w:themeColor="text1"/>
          <w:kern w:val="36"/>
          <w:sz w:val="20"/>
          <w:szCs w:val="20"/>
          <w:u w:val="none"/>
          <w:lang w:eastAsia="cs-CZ"/>
        </w:rPr>
        <w:t>institut</w:t>
      </w:r>
      <w:r>
        <w:rPr>
          <w:rStyle w:val="Hypertextovodkaz"/>
          <w:rFonts w:ascii="Tahoma" w:hAnsi="Tahoma" w:cs="Tahoma"/>
          <w:bCs/>
          <w:color w:val="000000" w:themeColor="text1"/>
          <w:kern w:val="36"/>
          <w:sz w:val="20"/>
          <w:szCs w:val="20"/>
          <w:u w:val="none"/>
          <w:lang w:eastAsia="cs-CZ"/>
        </w:rPr>
        <w:t>u</w:t>
      </w:r>
      <w:r w:rsidRPr="00384022">
        <w:rPr>
          <w:rStyle w:val="Hypertextovodkaz"/>
          <w:rFonts w:ascii="Tahoma" w:hAnsi="Tahoma" w:cs="Tahoma"/>
          <w:bCs/>
          <w:color w:val="000000" w:themeColor="text1"/>
          <w:kern w:val="36"/>
          <w:sz w:val="20"/>
          <w:szCs w:val="20"/>
          <w:u w:val="none"/>
          <w:lang w:eastAsia="cs-CZ"/>
        </w:rPr>
        <w:t xml:space="preserve"> dovolání se neplatnosti usnesení nejvyššího orgánu osobních společností, jenž bude koncipován obdobně jako v ostatních obchodních korporacích, a přiznání práva žádat soud o jmenování znalce pro účely přezkumu zprávy o vztazích společníkům osobních společností.</w:t>
      </w:r>
    </w:p>
    <w:p w:rsidR="00384022" w:rsidRPr="00384022" w:rsidRDefault="00384022" w:rsidP="00384022">
      <w:pPr>
        <w:shd w:val="clear" w:color="auto" w:fill="FFFFFF"/>
        <w:spacing w:before="100" w:beforeAutospacing="1" w:after="96" w:line="240" w:lineRule="auto"/>
        <w:ind w:left="928"/>
        <w:jc w:val="both"/>
        <w:rPr>
          <w:rStyle w:val="Hypertextovodkaz"/>
          <w:rFonts w:ascii="Tahoma" w:hAnsi="Tahoma" w:cs="Tahoma"/>
          <w:bCs/>
          <w:color w:val="000000" w:themeColor="text1"/>
          <w:kern w:val="36"/>
          <w:sz w:val="20"/>
          <w:szCs w:val="20"/>
          <w:u w:val="none"/>
          <w:lang w:eastAsia="cs-CZ"/>
        </w:rPr>
      </w:pPr>
    </w:p>
    <w:p w:rsidR="00384022" w:rsidRPr="00384022" w:rsidRDefault="00384022" w:rsidP="00384022">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Bude monitorováno ze strany OPS.</w:t>
      </w:r>
    </w:p>
    <w:p w:rsidR="0064007D" w:rsidRDefault="0064007D" w:rsidP="00524448">
      <w:pPr>
        <w:pStyle w:val="Bezmezer"/>
        <w:jc w:val="both"/>
        <w:rPr>
          <w:rStyle w:val="Hypertextovodkaz"/>
          <w:rFonts w:ascii="Tahoma" w:eastAsia="Times New Roman" w:hAnsi="Tahoma" w:cs="Tahoma"/>
          <w:bCs/>
          <w:color w:val="000000" w:themeColor="text1"/>
          <w:kern w:val="36"/>
          <w:sz w:val="20"/>
          <w:szCs w:val="20"/>
          <w:u w:val="none"/>
          <w:lang w:eastAsia="cs-CZ"/>
        </w:rPr>
      </w:pPr>
    </w:p>
    <w:p w:rsidR="00524448" w:rsidRDefault="00524448"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392A6A">
      <w:pPr>
        <w:pStyle w:val="Bezmezer"/>
        <w:numPr>
          <w:ilvl w:val="0"/>
          <w:numId w:val="2"/>
        </w:numPr>
        <w:shd w:val="clear" w:color="auto" w:fill="CAEECA"/>
        <w:spacing w:line="360" w:lineRule="auto"/>
        <w:jc w:val="center"/>
        <w:rPr>
          <w:b/>
          <w:sz w:val="28"/>
        </w:rPr>
      </w:pPr>
      <w:r w:rsidRPr="00392A6A">
        <w:rPr>
          <w:rFonts w:ascii="Tahoma" w:hAnsi="Tahoma" w:cs="Tahoma"/>
          <w:b/>
          <w:sz w:val="28"/>
          <w:szCs w:val="20"/>
        </w:rPr>
        <w:t>Aktuální judikatura a stanoviska</w:t>
      </w:r>
    </w:p>
    <w:p w:rsidR="00CB0FB3" w:rsidRDefault="00CB0FB3" w:rsidP="00CB0FB3">
      <w:pPr>
        <w:pStyle w:val="Bezmezer"/>
        <w:spacing w:line="360" w:lineRule="auto"/>
        <w:jc w:val="both"/>
        <w:rPr>
          <w:rFonts w:ascii="Tahoma" w:hAnsi="Tahoma" w:cs="Tahoma"/>
          <w:color w:val="000000" w:themeColor="text1"/>
          <w:sz w:val="20"/>
          <w:szCs w:val="20"/>
        </w:rPr>
      </w:pPr>
    </w:p>
    <w:p w:rsidR="00CB0FB3" w:rsidRPr="00CB0FB3" w:rsidRDefault="00AE6FE8" w:rsidP="00CB0FB3">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E6FE8">
        <w:rPr>
          <w:rStyle w:val="Hypertextovodkaz"/>
          <w:rFonts w:ascii="Tahoma" w:eastAsia="Times New Roman" w:hAnsi="Tahoma" w:cs="Tahoma"/>
          <w:b/>
          <w:bCs/>
          <w:color w:val="000000" w:themeColor="text1"/>
          <w:kern w:val="36"/>
          <w:sz w:val="24"/>
          <w:szCs w:val="24"/>
          <w:u w:val="none"/>
          <w:lang w:eastAsia="cs-CZ"/>
        </w:rPr>
        <w:t>Daň z přidané hodnoty: daňový podvod</w:t>
      </w:r>
    </w:p>
    <w:p w:rsidR="00392A6A" w:rsidRDefault="00AE6FE8"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správní soud, 5 Afs 60/2017</w:t>
      </w:r>
    </w:p>
    <w:p w:rsidR="00A90421" w:rsidRDefault="00A90421"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5226BE" w:rsidRDefault="00AE6FE8" w:rsidP="0099311C">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správní soud </w:t>
      </w:r>
      <w:proofErr w:type="gramStart"/>
      <w:r w:rsidRPr="00AE6FE8">
        <w:rPr>
          <w:rStyle w:val="Hypertextovodkaz"/>
          <w:rFonts w:ascii="Tahoma" w:eastAsia="Times New Roman" w:hAnsi="Tahoma" w:cs="Tahoma"/>
          <w:bCs/>
          <w:color w:val="000000" w:themeColor="text1"/>
          <w:kern w:val="36"/>
          <w:sz w:val="20"/>
          <w:szCs w:val="20"/>
          <w:u w:val="none"/>
          <w:lang w:eastAsia="cs-CZ"/>
        </w:rPr>
        <w:t>vydal  poměrně</w:t>
      </w:r>
      <w:proofErr w:type="gramEnd"/>
      <w:r w:rsidRPr="00AE6FE8">
        <w:rPr>
          <w:rStyle w:val="Hypertextovodkaz"/>
          <w:rFonts w:ascii="Tahoma" w:eastAsia="Times New Roman" w:hAnsi="Tahoma" w:cs="Tahoma"/>
          <w:bCs/>
          <w:color w:val="000000" w:themeColor="text1"/>
          <w:kern w:val="36"/>
          <w:sz w:val="20"/>
          <w:szCs w:val="20"/>
          <w:u w:val="none"/>
          <w:lang w:eastAsia="cs-CZ"/>
        </w:rPr>
        <w:t xml:space="preserve"> zásadní rozsudek čj. 5 Afs 60/2017-60 ze dne 30. 1. 2018, který se týkal odpovědnosti osoby povinné k DPH za jednání jiných osob v řetězci.</w:t>
      </w:r>
    </w:p>
    <w:p w:rsidR="00AE6FE8" w:rsidRDefault="00AE6FE8" w:rsidP="0099311C">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E6FE8" w:rsidRPr="00AE6FE8" w:rsidRDefault="00AE6FE8" w:rsidP="00AE6FE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E6FE8">
        <w:rPr>
          <w:rStyle w:val="Hypertextovodkaz"/>
          <w:rFonts w:ascii="Tahoma" w:eastAsia="Times New Roman" w:hAnsi="Tahoma" w:cs="Tahoma"/>
          <w:bCs/>
          <w:color w:val="000000" w:themeColor="text1"/>
          <w:kern w:val="36"/>
          <w:sz w:val="20"/>
          <w:szCs w:val="20"/>
          <w:u w:val="none"/>
          <w:lang w:eastAsia="cs-CZ"/>
        </w:rPr>
        <w:t xml:space="preserve">Nejvyšší správní soud mimo jiné konstatoval (viz bod 71 rozsudku), že stěžovatel splnil veškeré podmínky stanovené platnými právními předpisy pro přiznání nároku na odpočet; unesl důkazní břemeno stran faktického uskutečnění zdanitelného plnění co do jeho ceny a rozsahu, které přijal od plátce DPH a které použil v rámci ekonomické činnosti. Důkazní břemeno stran skutečností, jež by mohly oprávněně zapříčinit ve smyslu relevantní judikatury SDEU výjimečné odepření nároku na odpočet, tj. vědomost o podvodném jednání či účast na něm a </w:t>
      </w:r>
      <w:proofErr w:type="spellStart"/>
      <w:r w:rsidRPr="00AE6FE8">
        <w:rPr>
          <w:rStyle w:val="Hypertextovodkaz"/>
          <w:rFonts w:ascii="Tahoma" w:eastAsia="Times New Roman" w:hAnsi="Tahoma" w:cs="Tahoma"/>
          <w:bCs/>
          <w:color w:val="000000" w:themeColor="text1"/>
          <w:kern w:val="36"/>
          <w:sz w:val="20"/>
          <w:szCs w:val="20"/>
          <w:u w:val="none"/>
          <w:lang w:eastAsia="cs-CZ"/>
        </w:rPr>
        <w:t>neobezřetelnost</w:t>
      </w:r>
      <w:proofErr w:type="spellEnd"/>
      <w:r w:rsidRPr="00AE6FE8">
        <w:rPr>
          <w:rStyle w:val="Hypertextovodkaz"/>
          <w:rFonts w:ascii="Tahoma" w:eastAsia="Times New Roman" w:hAnsi="Tahoma" w:cs="Tahoma"/>
          <w:bCs/>
          <w:color w:val="000000" w:themeColor="text1"/>
          <w:kern w:val="36"/>
          <w:sz w:val="20"/>
          <w:szCs w:val="20"/>
          <w:u w:val="none"/>
          <w:lang w:eastAsia="cs-CZ"/>
        </w:rPr>
        <w:t xml:space="preserve">  při uzavírání obchodu, správce daně ani žalovaný neunesl.</w:t>
      </w:r>
    </w:p>
    <w:p w:rsidR="00AE6FE8" w:rsidRPr="00AE6FE8" w:rsidRDefault="00AE6FE8" w:rsidP="00AE6FE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E6FE8" w:rsidRDefault="00AE6FE8" w:rsidP="00AE6FE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E6FE8">
        <w:rPr>
          <w:rStyle w:val="Hypertextovodkaz"/>
          <w:rFonts w:ascii="Tahoma" w:eastAsia="Times New Roman" w:hAnsi="Tahoma" w:cs="Tahoma"/>
          <w:bCs/>
          <w:color w:val="000000" w:themeColor="text1"/>
          <w:kern w:val="36"/>
          <w:sz w:val="20"/>
          <w:szCs w:val="20"/>
          <w:u w:val="none"/>
          <w:lang w:eastAsia="cs-CZ"/>
        </w:rPr>
        <w:t xml:space="preserve">Důležité pro daňové subjekty je hlavně konstatování Nejvyššího správního soudu v bodu 69 rozsudku, ve kterém se uvádí, že, za podvod na DPH označuje judikatura SDEU situace, v nichž jeden z účastníků neodvede státní pokladně vybranou daň a další si ji odečte, a to za účelem získání daňového zvýhodnění. Pravidlo, plynoucí z judikatury SDEU, že každé plnění je třeba posuzovat samostatně a samo o sobě, bez ohledu na jeho účel nebo výsledky, vychází z požadavku, aby společný systém DPH byl neutrální, a ze zásady právní jistoty, která vyžaduje, aby používání právních předpisů Evropské unie bylo předvídatelné pro subjekty, na které se vztahuje. </w:t>
      </w:r>
      <w:r w:rsidRPr="00AE6FE8">
        <w:rPr>
          <w:rStyle w:val="Hypertextovodkaz"/>
          <w:rFonts w:ascii="Tahoma" w:eastAsia="Times New Roman" w:hAnsi="Tahoma" w:cs="Tahoma"/>
          <w:b/>
          <w:bCs/>
          <w:color w:val="000000" w:themeColor="text1"/>
          <w:kern w:val="36"/>
          <w:sz w:val="20"/>
          <w:szCs w:val="20"/>
          <w:u w:val="none"/>
          <w:lang w:eastAsia="cs-CZ"/>
        </w:rPr>
        <w:t xml:space="preserve">Dle přesvědčení Nejvyššího správního soudu nelze však požadavek evropské judikatury stran prověřování věrohodnosti obchodních partnerů v řetězci extenzivně a bezmezně rozšiřovat. </w:t>
      </w:r>
      <w:r w:rsidRPr="00AE6FE8">
        <w:rPr>
          <w:rStyle w:val="Hypertextovodkaz"/>
          <w:rFonts w:ascii="Tahoma" w:eastAsia="Times New Roman" w:hAnsi="Tahoma" w:cs="Tahoma"/>
          <w:bCs/>
          <w:color w:val="000000" w:themeColor="text1"/>
          <w:kern w:val="36"/>
          <w:sz w:val="20"/>
          <w:szCs w:val="20"/>
          <w:u w:val="none"/>
          <w:lang w:eastAsia="cs-CZ"/>
        </w:rPr>
        <w:t xml:space="preserve">Nelze extenzivně dovozovat, že se má jednat o nekonečně dlouhý řetězec osob, kam až by měla povědomost osoby povinné k dani, která zdanitelné plnění uskutečnila a její „obezřetnost“ sahat. </w:t>
      </w:r>
      <w:r w:rsidRPr="00333363">
        <w:rPr>
          <w:rStyle w:val="Hypertextovodkaz"/>
          <w:rFonts w:ascii="Tahoma" w:eastAsia="Times New Roman" w:hAnsi="Tahoma" w:cs="Tahoma"/>
          <w:b/>
          <w:bCs/>
          <w:color w:val="000000" w:themeColor="text1"/>
          <w:kern w:val="36"/>
          <w:sz w:val="20"/>
          <w:szCs w:val="20"/>
          <w:lang w:eastAsia="cs-CZ"/>
        </w:rPr>
        <w:t xml:space="preserve">Je v právě projednávaném případě zcela mimo možnosti stěžovatele, který v běžném obchodním styku uzavře řádnou smlouvu se svým dodavatelem, který jediný je odpovědný za řádné a včasné předání díla, v rámci „obezřetnosti“ předvídat a prověřovat všechny možné </w:t>
      </w:r>
      <w:r w:rsidRPr="00333363">
        <w:rPr>
          <w:rStyle w:val="Hypertextovodkaz"/>
          <w:rFonts w:ascii="Tahoma" w:eastAsia="Times New Roman" w:hAnsi="Tahoma" w:cs="Tahoma"/>
          <w:b/>
          <w:bCs/>
          <w:color w:val="000000" w:themeColor="text1"/>
          <w:kern w:val="36"/>
          <w:sz w:val="20"/>
          <w:szCs w:val="20"/>
          <w:lang w:eastAsia="cs-CZ"/>
        </w:rPr>
        <w:lastRenderedPageBreak/>
        <w:t>subjekty (subdodavatele), které se na obchodní transakci jakkoli v různých fázích podílely</w:t>
      </w:r>
      <w:r w:rsidRPr="00AE6FE8">
        <w:rPr>
          <w:rStyle w:val="Hypertextovodkaz"/>
          <w:rFonts w:ascii="Tahoma" w:eastAsia="Times New Roman" w:hAnsi="Tahoma" w:cs="Tahoma"/>
          <w:bCs/>
          <w:color w:val="000000" w:themeColor="text1"/>
          <w:kern w:val="36"/>
          <w:sz w:val="20"/>
          <w:szCs w:val="20"/>
          <w:u w:val="none"/>
          <w:lang w:eastAsia="cs-CZ"/>
        </w:rPr>
        <w:t xml:space="preserve">. </w:t>
      </w:r>
    </w:p>
    <w:p w:rsidR="00BE5B7A" w:rsidRDefault="00BE5B7A" w:rsidP="00BE5B7A">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BE5B7A" w:rsidRPr="00CB0FB3" w:rsidRDefault="00BE5B7A" w:rsidP="00BE5B7A">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E5B7A">
        <w:rPr>
          <w:rStyle w:val="Hypertextovodkaz"/>
          <w:rFonts w:ascii="Tahoma" w:eastAsia="Times New Roman" w:hAnsi="Tahoma" w:cs="Tahoma"/>
          <w:b/>
          <w:bCs/>
          <w:color w:val="000000" w:themeColor="text1"/>
          <w:kern w:val="36"/>
          <w:sz w:val="24"/>
          <w:szCs w:val="24"/>
          <w:u w:val="none"/>
          <w:lang w:eastAsia="cs-CZ"/>
        </w:rPr>
        <w:t>Obchodní společnost Pražská plynárenská Servis distribuce, a. s. je povinným subjektem podle zákona o svobodném přístupu k informacím</w:t>
      </w:r>
    </w:p>
    <w:p w:rsidR="00BE5B7A" w:rsidRDefault="00BE5B7A" w:rsidP="00BE5B7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Ústavní soud, </w:t>
      </w:r>
      <w:r w:rsidRPr="00BE5B7A">
        <w:rPr>
          <w:rStyle w:val="Hypertextovodkaz"/>
          <w:rFonts w:ascii="Tahoma" w:eastAsia="Times New Roman" w:hAnsi="Tahoma" w:cs="Tahoma"/>
          <w:bCs/>
          <w:color w:val="000000" w:themeColor="text1"/>
          <w:kern w:val="36"/>
          <w:sz w:val="20"/>
          <w:szCs w:val="20"/>
          <w:u w:val="none"/>
          <w:lang w:eastAsia="cs-CZ"/>
        </w:rPr>
        <w:t>sp. zn. I. ÚS 1262/17</w:t>
      </w:r>
    </w:p>
    <w:p w:rsidR="00BE5B7A" w:rsidRDefault="00BE5B7A"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BE5B7A" w:rsidRPr="00BE5B7A" w:rsidRDefault="00BE5B7A"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Ústavního soudu </w:t>
      </w:r>
      <w:r w:rsidRPr="00BE5B7A">
        <w:rPr>
          <w:rStyle w:val="Hypertextovodkaz"/>
          <w:rFonts w:ascii="Tahoma" w:eastAsia="Times New Roman" w:hAnsi="Tahoma" w:cs="Tahoma"/>
          <w:bCs/>
          <w:color w:val="000000" w:themeColor="text1"/>
          <w:kern w:val="36"/>
          <w:sz w:val="20"/>
          <w:szCs w:val="20"/>
          <w:u w:val="none"/>
          <w:lang w:eastAsia="cs-CZ"/>
        </w:rPr>
        <w:t>zamítl ústavní stížnost obchodní společnosti Pražská pl</w:t>
      </w:r>
      <w:r>
        <w:rPr>
          <w:rStyle w:val="Hypertextovodkaz"/>
          <w:rFonts w:ascii="Tahoma" w:eastAsia="Times New Roman" w:hAnsi="Tahoma" w:cs="Tahoma"/>
          <w:bCs/>
          <w:color w:val="000000" w:themeColor="text1"/>
          <w:kern w:val="36"/>
          <w:sz w:val="20"/>
          <w:szCs w:val="20"/>
          <w:u w:val="none"/>
          <w:lang w:eastAsia="cs-CZ"/>
        </w:rPr>
        <w:t>ynárenská Servis distribuce, a. </w:t>
      </w:r>
      <w:r w:rsidRPr="00BE5B7A">
        <w:rPr>
          <w:rStyle w:val="Hypertextovodkaz"/>
          <w:rFonts w:ascii="Tahoma" w:eastAsia="Times New Roman" w:hAnsi="Tahoma" w:cs="Tahoma"/>
          <w:bCs/>
          <w:color w:val="000000" w:themeColor="text1"/>
          <w:kern w:val="36"/>
          <w:sz w:val="20"/>
          <w:szCs w:val="20"/>
          <w:u w:val="none"/>
          <w:lang w:eastAsia="cs-CZ"/>
        </w:rPr>
        <w:t>s.</w:t>
      </w:r>
      <w:r>
        <w:rPr>
          <w:rStyle w:val="Hypertextovodkaz"/>
          <w:rFonts w:ascii="Tahoma" w:eastAsia="Times New Roman" w:hAnsi="Tahoma" w:cs="Tahoma"/>
          <w:bCs/>
          <w:color w:val="000000" w:themeColor="text1"/>
          <w:kern w:val="36"/>
          <w:sz w:val="20"/>
          <w:szCs w:val="20"/>
          <w:u w:val="none"/>
          <w:lang w:eastAsia="cs-CZ"/>
        </w:rPr>
        <w:t xml:space="preserve"> (dále jen „PPSD“)</w:t>
      </w:r>
      <w:r w:rsidRPr="00BE5B7A">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t>ve věci zákona č. 106/1999 Sb., o svobodném přístupu k informacím (dále jen „zákon“).</w:t>
      </w:r>
    </w:p>
    <w:p w:rsidR="00BE5B7A" w:rsidRPr="00BE5B7A" w:rsidRDefault="00BE5B7A"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BE5B7A" w:rsidRPr="00BE5B7A" w:rsidRDefault="00BE5B7A"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Ačkoliv ve vztahu k dříve posuzované ústavní stížnosti podané společností ČEZ, a.s. dospěl Ústavní soud k závěru, že soukromoprávní společnost nelze považovat za veře</w:t>
      </w:r>
      <w:r w:rsidR="00351243">
        <w:rPr>
          <w:rStyle w:val="Hypertextovodkaz"/>
          <w:rFonts w:ascii="Tahoma" w:eastAsia="Times New Roman" w:hAnsi="Tahoma" w:cs="Tahoma"/>
          <w:bCs/>
          <w:color w:val="000000" w:themeColor="text1"/>
          <w:kern w:val="36"/>
          <w:sz w:val="20"/>
          <w:szCs w:val="20"/>
          <w:u w:val="none"/>
          <w:lang w:eastAsia="cs-CZ"/>
        </w:rPr>
        <w:t>jnou instituci ve smyslu zákona</w:t>
      </w:r>
      <w:bookmarkStart w:id="0" w:name="_GoBack"/>
      <w:bookmarkEnd w:id="0"/>
      <w:r>
        <w:rPr>
          <w:rStyle w:val="Hypertextovodkaz"/>
          <w:rFonts w:ascii="Tahoma" w:eastAsia="Times New Roman" w:hAnsi="Tahoma" w:cs="Tahoma"/>
          <w:bCs/>
          <w:color w:val="000000" w:themeColor="text1"/>
          <w:kern w:val="36"/>
          <w:sz w:val="20"/>
          <w:szCs w:val="20"/>
          <w:u w:val="none"/>
          <w:lang w:eastAsia="cs-CZ"/>
        </w:rPr>
        <w:t xml:space="preserve">, v </w:t>
      </w:r>
      <w:r w:rsidRPr="00BE5B7A">
        <w:rPr>
          <w:rStyle w:val="Hypertextovodkaz"/>
          <w:rFonts w:ascii="Tahoma" w:eastAsia="Times New Roman" w:hAnsi="Tahoma" w:cs="Tahoma"/>
          <w:bCs/>
          <w:color w:val="000000" w:themeColor="text1"/>
          <w:kern w:val="36"/>
          <w:sz w:val="20"/>
          <w:szCs w:val="20"/>
          <w:u w:val="none"/>
          <w:lang w:eastAsia="cs-CZ"/>
        </w:rPr>
        <w:t xml:space="preserve">nyní posuzovaném případě </w:t>
      </w:r>
      <w:r>
        <w:rPr>
          <w:rStyle w:val="Hypertextovodkaz"/>
          <w:rFonts w:ascii="Tahoma" w:eastAsia="Times New Roman" w:hAnsi="Tahoma" w:cs="Tahoma"/>
          <w:bCs/>
          <w:color w:val="000000" w:themeColor="text1"/>
          <w:kern w:val="36"/>
          <w:sz w:val="20"/>
          <w:szCs w:val="20"/>
          <w:u w:val="none"/>
          <w:lang w:eastAsia="cs-CZ"/>
        </w:rPr>
        <w:t xml:space="preserve">konstatoval, že </w:t>
      </w:r>
      <w:r w:rsidRPr="00BE5B7A">
        <w:rPr>
          <w:rStyle w:val="Hypertextovodkaz"/>
          <w:rFonts w:ascii="Tahoma" w:eastAsia="Times New Roman" w:hAnsi="Tahoma" w:cs="Tahoma"/>
          <w:bCs/>
          <w:color w:val="000000" w:themeColor="text1"/>
          <w:kern w:val="36"/>
          <w:sz w:val="20"/>
          <w:szCs w:val="20"/>
          <w:u w:val="none"/>
          <w:lang w:eastAsia="cs-CZ"/>
        </w:rPr>
        <w:t xml:space="preserve">jediným akcionářem </w:t>
      </w:r>
      <w:r>
        <w:rPr>
          <w:rStyle w:val="Hypertextovodkaz"/>
          <w:rFonts w:ascii="Tahoma" w:eastAsia="Times New Roman" w:hAnsi="Tahoma" w:cs="Tahoma"/>
          <w:bCs/>
          <w:color w:val="000000" w:themeColor="text1"/>
          <w:kern w:val="36"/>
          <w:sz w:val="20"/>
          <w:szCs w:val="20"/>
          <w:u w:val="none"/>
          <w:lang w:eastAsia="cs-CZ"/>
        </w:rPr>
        <w:t>PPSD</w:t>
      </w:r>
      <w:r w:rsidRPr="00BE5B7A">
        <w:rPr>
          <w:rStyle w:val="Hypertextovodkaz"/>
          <w:rFonts w:ascii="Tahoma" w:eastAsia="Times New Roman" w:hAnsi="Tahoma" w:cs="Tahoma"/>
          <w:bCs/>
          <w:color w:val="000000" w:themeColor="text1"/>
          <w:kern w:val="36"/>
          <w:sz w:val="20"/>
          <w:szCs w:val="20"/>
          <w:u w:val="none"/>
          <w:lang w:eastAsia="cs-CZ"/>
        </w:rPr>
        <w:t xml:space="preserve"> jiná obchodní společnost – Pražská plynárenská, a. s., jejímž jediným akcionářem je další obchodní společnost – Pražská plynárenská Holding, a. s., jediným akcionářem této společnosti je však hl. m. Praha. Tato věc se tak od případů, kdy je jediným společníkem obchodní společnosti přímo veřejnoprávní korporace, liší tím, že výlučný vliv veřejnoprávní korporace je zde zprostředkovaný, resp. je uplatňován nepřímo prostřednictvím jiných ovládaných obchodních společností. Ačkoliv je tedy stěžovatelka obchodní společností, jejíž jediný akcionář je jiná obchodní společnost, není v jejím případě vyloučeno – za podmínky současného naplnění příslušných definičních znaků – aby byla veřejnou institucí ve smyslu zák. č. 106/1999 Sb., resp. subjektem povinným k poskytnutí informací.</w:t>
      </w:r>
    </w:p>
    <w:p w:rsidR="00BE5B7A" w:rsidRPr="00BE5B7A" w:rsidRDefault="00BE5B7A"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BE5B7A" w:rsidRDefault="00BE5B7A"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BE5B7A">
        <w:rPr>
          <w:rStyle w:val="Hypertextovodkaz"/>
          <w:rFonts w:ascii="Tahoma" w:eastAsia="Times New Roman" w:hAnsi="Tahoma" w:cs="Tahoma"/>
          <w:bCs/>
          <w:color w:val="000000" w:themeColor="text1"/>
          <w:kern w:val="36"/>
          <w:sz w:val="20"/>
          <w:szCs w:val="20"/>
          <w:u w:val="none"/>
          <w:lang w:eastAsia="cs-CZ"/>
        </w:rPr>
        <w:t xml:space="preserve">Správní soudy při rozhodování vyšly mj. z nálezu sp. zn. I. ÚS 260/06 a provedly pětistupňový „test“ rozlišující instituci veřejnou a soukromou. Dospěly přitom k závěru, že vedle znaku efektivního ovládání </w:t>
      </w:r>
      <w:r>
        <w:rPr>
          <w:rStyle w:val="Hypertextovodkaz"/>
          <w:rFonts w:ascii="Tahoma" w:eastAsia="Times New Roman" w:hAnsi="Tahoma" w:cs="Tahoma"/>
          <w:bCs/>
          <w:color w:val="000000" w:themeColor="text1"/>
          <w:kern w:val="36"/>
          <w:sz w:val="20"/>
          <w:szCs w:val="20"/>
          <w:u w:val="none"/>
          <w:lang w:eastAsia="cs-CZ"/>
        </w:rPr>
        <w:t>PPSD</w:t>
      </w:r>
      <w:r w:rsidRPr="00BE5B7A">
        <w:rPr>
          <w:rStyle w:val="Hypertextovodkaz"/>
          <w:rFonts w:ascii="Tahoma" w:eastAsia="Times New Roman" w:hAnsi="Tahoma" w:cs="Tahoma"/>
          <w:bCs/>
          <w:color w:val="000000" w:themeColor="text1"/>
          <w:kern w:val="36"/>
          <w:sz w:val="20"/>
          <w:szCs w:val="20"/>
          <w:u w:val="none"/>
          <w:lang w:eastAsia="cs-CZ"/>
        </w:rPr>
        <w:t xml:space="preserve"> veřejnoprávní korporací naplňuje i zbývající definiční znaky. Ústavní soud proto uzavírá, že výklad správních soudů, podle kterých je stěžovatelka veřejnou institucí a v důsledku toho i povinným subjektem ve smyslu zák. č. 106/1999 Sb., je ústavně konformní.</w:t>
      </w:r>
    </w:p>
    <w:p w:rsidR="00BE5B7A" w:rsidRDefault="00BE5B7A" w:rsidP="00BE5B7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p>
    <w:p w:rsidR="00BE5B7A" w:rsidRPr="00BE5B7A" w:rsidRDefault="00BE5B7A" w:rsidP="00BE5B7A">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E5B7A">
        <w:rPr>
          <w:rStyle w:val="Hypertextovodkaz"/>
          <w:rFonts w:ascii="Tahoma" w:eastAsia="Times New Roman" w:hAnsi="Tahoma" w:cs="Tahoma"/>
          <w:b/>
          <w:bCs/>
          <w:color w:val="000000" w:themeColor="text1"/>
          <w:kern w:val="36"/>
          <w:sz w:val="24"/>
          <w:szCs w:val="24"/>
          <w:u w:val="none"/>
          <w:lang w:eastAsia="cs-CZ"/>
        </w:rPr>
        <w:t>Zvukový záznam tzv. monitorovaného hovoru jako důkazní prostředek v občanském soudním řízení</w:t>
      </w:r>
    </w:p>
    <w:p w:rsidR="00CB0FB3" w:rsidRDefault="00BE5B7A"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w:t>
      </w:r>
      <w:r w:rsidRPr="00BE5B7A">
        <w:rPr>
          <w:rStyle w:val="Hypertextovodkaz"/>
          <w:rFonts w:ascii="Tahoma" w:eastAsia="Times New Roman" w:hAnsi="Tahoma" w:cs="Tahoma"/>
          <w:bCs/>
          <w:color w:val="000000" w:themeColor="text1"/>
          <w:kern w:val="36"/>
          <w:sz w:val="20"/>
          <w:szCs w:val="20"/>
          <w:u w:val="none"/>
          <w:lang w:eastAsia="cs-CZ"/>
        </w:rPr>
        <w:t xml:space="preserve"> sp. zn. II. ÚS 2299/17</w:t>
      </w:r>
    </w:p>
    <w:p w:rsidR="00BE5B7A" w:rsidRDefault="00BE5B7A"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A235E1" w:rsidRDefault="00A235E1"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 ve svém rozhodnutí konstatoval, že podnikatel, který na začátku telefonního hovoru upozornil spotřebitele, že hovor je monitorován, si smí tento hovor zaznamenat a použít jej v soudním řízení jako důkaz, že během hovoru došlo k uzavření smlouvy.</w:t>
      </w:r>
    </w:p>
    <w:p w:rsidR="00A235E1" w:rsidRDefault="00A235E1"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84022" w:rsidRDefault="00384022" w:rsidP="00BE5B7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235E1" w:rsidRDefault="00A235E1" w:rsidP="00A235E1">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235E1">
        <w:rPr>
          <w:rStyle w:val="Hypertextovodkaz"/>
          <w:rFonts w:ascii="Tahoma" w:eastAsia="Times New Roman" w:hAnsi="Tahoma" w:cs="Tahoma"/>
          <w:b/>
          <w:bCs/>
          <w:color w:val="000000" w:themeColor="text1"/>
          <w:kern w:val="36"/>
          <w:sz w:val="24"/>
          <w:szCs w:val="24"/>
          <w:u w:val="none"/>
          <w:lang w:eastAsia="cs-CZ"/>
        </w:rPr>
        <w:t>Propadlá bankovní záruka je důvodem k vyloučení uchazeče ze zadávacího řízení</w:t>
      </w:r>
    </w:p>
    <w:p w:rsidR="00A235E1" w:rsidRDefault="00A235E1" w:rsidP="00A235E1">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p>
    <w:p w:rsidR="00A235E1" w:rsidRDefault="00A235E1" w:rsidP="00A235E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A235E1">
        <w:rPr>
          <w:rStyle w:val="Hypertextovodkaz"/>
          <w:rFonts w:ascii="Tahoma" w:eastAsia="Times New Roman" w:hAnsi="Tahoma" w:cs="Tahoma"/>
          <w:bCs/>
          <w:color w:val="000000" w:themeColor="text1"/>
          <w:kern w:val="36"/>
          <w:sz w:val="20"/>
          <w:szCs w:val="24"/>
          <w:u w:val="none"/>
          <w:lang w:eastAsia="cs-CZ"/>
        </w:rPr>
        <w:t xml:space="preserve">ÚOHS zamítl rozklad Dopravního podniku hlavního města Prahy (DPP) ve věci nadlimitní veřejné zakázky na zajištění fyzické ostrahy objektů zadavatele a potvrdil tak prvoinstanční rozhodnutí Úřadu, v němž byla DPP </w:t>
      </w:r>
      <w:r w:rsidRPr="00A235E1">
        <w:rPr>
          <w:rStyle w:val="Hypertextovodkaz"/>
          <w:rFonts w:ascii="Tahoma" w:eastAsia="Times New Roman" w:hAnsi="Tahoma" w:cs="Tahoma"/>
          <w:b/>
          <w:bCs/>
          <w:color w:val="000000" w:themeColor="text1"/>
          <w:kern w:val="36"/>
          <w:sz w:val="20"/>
          <w:szCs w:val="24"/>
          <w:u w:val="none"/>
          <w:lang w:eastAsia="cs-CZ"/>
        </w:rPr>
        <w:t>uložena pokuta ve výši 100 tisíc korun za přestupek spočívající v nevyřazení nabídky společnosti CENTR GROUP, a. s., která nezajistila platnost bankovní záruky po celou dobu zadávací lhůty</w:t>
      </w:r>
      <w:r w:rsidRPr="00A235E1">
        <w:rPr>
          <w:rStyle w:val="Hypertextovodkaz"/>
          <w:rFonts w:ascii="Tahoma" w:eastAsia="Times New Roman" w:hAnsi="Tahoma" w:cs="Tahoma"/>
          <w:bCs/>
          <w:color w:val="000000" w:themeColor="text1"/>
          <w:kern w:val="36"/>
          <w:sz w:val="20"/>
          <w:szCs w:val="24"/>
          <w:u w:val="none"/>
          <w:lang w:eastAsia="cs-CZ"/>
        </w:rPr>
        <w:t>. Zadavatel tak svým postupem podstatně ovlivnil výběr nejvhodnější nabídky. DPP vyhodnotil nabídku společnosti CENTR GROUP za nejvhodnější a s vybraným uchazečem uzavřel rámcovou smlouvu o zajištění fyzické ostrahy objektů. Rozhodnutí prvního i druhého stupně jsou pravomocná a jsou zveřejněna na webu Úřadu.</w:t>
      </w:r>
    </w:p>
    <w:p w:rsidR="00A235E1" w:rsidRPr="00A235E1" w:rsidRDefault="00A235E1" w:rsidP="00A235E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A235E1" w:rsidRDefault="00A235E1" w:rsidP="00A235E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A235E1">
        <w:rPr>
          <w:rStyle w:val="Hypertextovodkaz"/>
          <w:rFonts w:ascii="Tahoma" w:eastAsia="Times New Roman" w:hAnsi="Tahoma" w:cs="Tahoma"/>
          <w:bCs/>
          <w:color w:val="000000" w:themeColor="text1"/>
          <w:kern w:val="36"/>
          <w:sz w:val="20"/>
          <w:szCs w:val="24"/>
          <w:u w:val="none"/>
          <w:lang w:eastAsia="cs-CZ"/>
        </w:rPr>
        <w:t xml:space="preserve">Úřad ve svém rozhodnutí připomíná, že zadávací řízení je striktně formalizovaný proces a zadavatelé jsou na rozdíl od soukromoprávní kontraktace při uzavírání smluv limitováni především zákazy a omezeními vyplývajícími z ustanovení zákona. I když si uchazeč bankovní záruku dodatečně prodloužil, měl být stejně vyloučen, neboť se dostal do rozporu se zadávacími podmínkami tím, že nedoložil doklad o existenci (prodloužení) bankovní záruky zadavateli. Samotné zřízení bankovní záruky totiž nestačí a vyžaduje se, aby zadavatel bankovní zárukou (resp. listinou prokazující její existenci) disponoval, což v daném případě nenastalo. </w:t>
      </w:r>
    </w:p>
    <w:p w:rsidR="00A235E1" w:rsidRPr="00A235E1" w:rsidRDefault="00A235E1" w:rsidP="00A235E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sectPr w:rsidR="00A235E1" w:rsidRPr="00A235E1"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C4" w:rsidRDefault="00D268C4" w:rsidP="004F17ED">
      <w:pPr>
        <w:spacing w:after="0" w:line="240" w:lineRule="auto"/>
      </w:pPr>
      <w:r>
        <w:separator/>
      </w:r>
    </w:p>
  </w:endnote>
  <w:endnote w:type="continuationSeparator" w:id="0">
    <w:p w:rsidR="00D268C4" w:rsidRDefault="00D268C4"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D268C4" w:rsidRDefault="00D268C4">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351243">
              <w:rPr>
                <w:rFonts w:ascii="Tahoma" w:hAnsi="Tahoma" w:cs="Tahoma"/>
                <w:b/>
                <w:bCs/>
                <w:noProof/>
                <w:sz w:val="16"/>
                <w:szCs w:val="16"/>
              </w:rPr>
              <w:t>8</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351243">
              <w:rPr>
                <w:rFonts w:ascii="Tahoma" w:hAnsi="Tahoma" w:cs="Tahoma"/>
                <w:b/>
                <w:bCs/>
                <w:noProof/>
                <w:sz w:val="16"/>
                <w:szCs w:val="16"/>
              </w:rPr>
              <w:t>8</w:t>
            </w:r>
            <w:r w:rsidRPr="00FB7F36">
              <w:rPr>
                <w:rFonts w:ascii="Tahoma" w:hAnsi="Tahoma" w:cs="Tahoma"/>
                <w:b/>
                <w:bCs/>
                <w:sz w:val="16"/>
                <w:szCs w:val="16"/>
              </w:rPr>
              <w:fldChar w:fldCharType="end"/>
            </w:r>
          </w:p>
        </w:sdtContent>
      </w:sdt>
    </w:sdtContent>
  </w:sdt>
  <w:p w:rsidR="00D268C4" w:rsidRDefault="00D268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C4" w:rsidRDefault="00D268C4" w:rsidP="004F17ED">
      <w:pPr>
        <w:spacing w:after="0" w:line="240" w:lineRule="auto"/>
      </w:pPr>
      <w:r>
        <w:separator/>
      </w:r>
    </w:p>
  </w:footnote>
  <w:footnote w:type="continuationSeparator" w:id="0">
    <w:p w:rsidR="00D268C4" w:rsidRDefault="00D268C4"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6">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9">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2">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1"/>
  </w:num>
  <w:num w:numId="3">
    <w:abstractNumId w:val="20"/>
  </w:num>
  <w:num w:numId="4">
    <w:abstractNumId w:val="17"/>
  </w:num>
  <w:num w:numId="5">
    <w:abstractNumId w:val="18"/>
  </w:num>
  <w:num w:numId="6">
    <w:abstractNumId w:val="11"/>
  </w:num>
  <w:num w:numId="7">
    <w:abstractNumId w:val="10"/>
  </w:num>
  <w:num w:numId="8">
    <w:abstractNumId w:val="13"/>
  </w:num>
  <w:num w:numId="9">
    <w:abstractNumId w:val="27"/>
  </w:num>
  <w:num w:numId="10">
    <w:abstractNumId w:val="12"/>
  </w:num>
  <w:num w:numId="11">
    <w:abstractNumId w:val="29"/>
  </w:num>
  <w:num w:numId="12">
    <w:abstractNumId w:val="24"/>
  </w:num>
  <w:num w:numId="13">
    <w:abstractNumId w:val="26"/>
  </w:num>
  <w:num w:numId="14">
    <w:abstractNumId w:val="25"/>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4"/>
  </w:num>
  <w:num w:numId="26">
    <w:abstractNumId w:val="16"/>
  </w:num>
  <w:num w:numId="27">
    <w:abstractNumId w:val="15"/>
  </w:num>
  <w:num w:numId="28">
    <w:abstractNumId w:val="28"/>
  </w:num>
  <w:num w:numId="29">
    <w:abstractNumId w:val="23"/>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52BC"/>
    <w:rsid w:val="0002202C"/>
    <w:rsid w:val="00024354"/>
    <w:rsid w:val="00024EFD"/>
    <w:rsid w:val="00025EAC"/>
    <w:rsid w:val="000331FE"/>
    <w:rsid w:val="0003592E"/>
    <w:rsid w:val="00035A22"/>
    <w:rsid w:val="00037E81"/>
    <w:rsid w:val="000400D6"/>
    <w:rsid w:val="00040942"/>
    <w:rsid w:val="00042450"/>
    <w:rsid w:val="00045E2F"/>
    <w:rsid w:val="000478D3"/>
    <w:rsid w:val="00047C25"/>
    <w:rsid w:val="00062A39"/>
    <w:rsid w:val="00070061"/>
    <w:rsid w:val="00071319"/>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5A9A"/>
    <w:rsid w:val="000D7741"/>
    <w:rsid w:val="000F2090"/>
    <w:rsid w:val="000F401A"/>
    <w:rsid w:val="000F4720"/>
    <w:rsid w:val="000F5A9C"/>
    <w:rsid w:val="001017A9"/>
    <w:rsid w:val="001028D7"/>
    <w:rsid w:val="00106526"/>
    <w:rsid w:val="001065AE"/>
    <w:rsid w:val="001109EF"/>
    <w:rsid w:val="00117697"/>
    <w:rsid w:val="001236D2"/>
    <w:rsid w:val="001241C8"/>
    <w:rsid w:val="001265DA"/>
    <w:rsid w:val="00126CB8"/>
    <w:rsid w:val="001277A2"/>
    <w:rsid w:val="001311AC"/>
    <w:rsid w:val="00131647"/>
    <w:rsid w:val="00134EB5"/>
    <w:rsid w:val="001351A0"/>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A0C83"/>
    <w:rsid w:val="001A1785"/>
    <w:rsid w:val="001A3D61"/>
    <w:rsid w:val="001A62A6"/>
    <w:rsid w:val="001A6AF4"/>
    <w:rsid w:val="001B5DB3"/>
    <w:rsid w:val="001B66D4"/>
    <w:rsid w:val="001C27F8"/>
    <w:rsid w:val="001C4A0C"/>
    <w:rsid w:val="001C509B"/>
    <w:rsid w:val="001D0703"/>
    <w:rsid w:val="001D070C"/>
    <w:rsid w:val="001D0880"/>
    <w:rsid w:val="001D488C"/>
    <w:rsid w:val="001D7CC3"/>
    <w:rsid w:val="001E53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2868"/>
    <w:rsid w:val="00236086"/>
    <w:rsid w:val="00240477"/>
    <w:rsid w:val="00242580"/>
    <w:rsid w:val="0025086C"/>
    <w:rsid w:val="0025209F"/>
    <w:rsid w:val="00252C33"/>
    <w:rsid w:val="00253681"/>
    <w:rsid w:val="00254879"/>
    <w:rsid w:val="00257465"/>
    <w:rsid w:val="00263CDC"/>
    <w:rsid w:val="002738A3"/>
    <w:rsid w:val="00276A8C"/>
    <w:rsid w:val="00276F8F"/>
    <w:rsid w:val="00283D2E"/>
    <w:rsid w:val="0028797B"/>
    <w:rsid w:val="00292D21"/>
    <w:rsid w:val="00296169"/>
    <w:rsid w:val="002A082D"/>
    <w:rsid w:val="002A255B"/>
    <w:rsid w:val="002A2F5C"/>
    <w:rsid w:val="002A7232"/>
    <w:rsid w:val="002B11D7"/>
    <w:rsid w:val="002B3FF4"/>
    <w:rsid w:val="002B4CA4"/>
    <w:rsid w:val="002B6A65"/>
    <w:rsid w:val="002B7C80"/>
    <w:rsid w:val="002C0879"/>
    <w:rsid w:val="002C27F8"/>
    <w:rsid w:val="002D6498"/>
    <w:rsid w:val="002E0228"/>
    <w:rsid w:val="002E065A"/>
    <w:rsid w:val="002E0C9E"/>
    <w:rsid w:val="002E151F"/>
    <w:rsid w:val="002E3FD5"/>
    <w:rsid w:val="002E7FFC"/>
    <w:rsid w:val="002F207D"/>
    <w:rsid w:val="002F57E7"/>
    <w:rsid w:val="00305BBB"/>
    <w:rsid w:val="003077D1"/>
    <w:rsid w:val="00311C47"/>
    <w:rsid w:val="003131F8"/>
    <w:rsid w:val="00322DF8"/>
    <w:rsid w:val="00330B21"/>
    <w:rsid w:val="00333363"/>
    <w:rsid w:val="00335BB7"/>
    <w:rsid w:val="00344F47"/>
    <w:rsid w:val="00351243"/>
    <w:rsid w:val="00351349"/>
    <w:rsid w:val="003526B8"/>
    <w:rsid w:val="003530C9"/>
    <w:rsid w:val="0035378B"/>
    <w:rsid w:val="00355EAB"/>
    <w:rsid w:val="00360D1A"/>
    <w:rsid w:val="003628E1"/>
    <w:rsid w:val="0036402D"/>
    <w:rsid w:val="00370ABB"/>
    <w:rsid w:val="00380F22"/>
    <w:rsid w:val="00384022"/>
    <w:rsid w:val="00386132"/>
    <w:rsid w:val="00392A6A"/>
    <w:rsid w:val="00395866"/>
    <w:rsid w:val="003B1E33"/>
    <w:rsid w:val="003B2837"/>
    <w:rsid w:val="003B59D1"/>
    <w:rsid w:val="003B5C88"/>
    <w:rsid w:val="003B7170"/>
    <w:rsid w:val="003B74D1"/>
    <w:rsid w:val="003C3862"/>
    <w:rsid w:val="003C5DCF"/>
    <w:rsid w:val="003D05CF"/>
    <w:rsid w:val="003D13B0"/>
    <w:rsid w:val="003D387C"/>
    <w:rsid w:val="003E7434"/>
    <w:rsid w:val="003F33C4"/>
    <w:rsid w:val="003F5319"/>
    <w:rsid w:val="00403BCB"/>
    <w:rsid w:val="00403E80"/>
    <w:rsid w:val="004048A1"/>
    <w:rsid w:val="0040539D"/>
    <w:rsid w:val="00407A61"/>
    <w:rsid w:val="004128FE"/>
    <w:rsid w:val="00413E46"/>
    <w:rsid w:val="00417839"/>
    <w:rsid w:val="00422050"/>
    <w:rsid w:val="00423FDD"/>
    <w:rsid w:val="004242DB"/>
    <w:rsid w:val="004353BF"/>
    <w:rsid w:val="0044093C"/>
    <w:rsid w:val="004450E2"/>
    <w:rsid w:val="004536BC"/>
    <w:rsid w:val="00454762"/>
    <w:rsid w:val="004549DE"/>
    <w:rsid w:val="004559EA"/>
    <w:rsid w:val="00465991"/>
    <w:rsid w:val="00466E48"/>
    <w:rsid w:val="0047044D"/>
    <w:rsid w:val="00471191"/>
    <w:rsid w:val="004826DF"/>
    <w:rsid w:val="00490473"/>
    <w:rsid w:val="00491428"/>
    <w:rsid w:val="00491EB7"/>
    <w:rsid w:val="004935E1"/>
    <w:rsid w:val="00496091"/>
    <w:rsid w:val="004B16CD"/>
    <w:rsid w:val="004B555E"/>
    <w:rsid w:val="004C0443"/>
    <w:rsid w:val="004D304C"/>
    <w:rsid w:val="004D65E5"/>
    <w:rsid w:val="004E0C28"/>
    <w:rsid w:val="004E1900"/>
    <w:rsid w:val="004E46C7"/>
    <w:rsid w:val="004E67B6"/>
    <w:rsid w:val="004E7517"/>
    <w:rsid w:val="004F17ED"/>
    <w:rsid w:val="004F3002"/>
    <w:rsid w:val="004F3132"/>
    <w:rsid w:val="004F37DA"/>
    <w:rsid w:val="004F3AEB"/>
    <w:rsid w:val="00501365"/>
    <w:rsid w:val="005024A6"/>
    <w:rsid w:val="00505738"/>
    <w:rsid w:val="00505B58"/>
    <w:rsid w:val="005062F3"/>
    <w:rsid w:val="00506981"/>
    <w:rsid w:val="005170B6"/>
    <w:rsid w:val="00521193"/>
    <w:rsid w:val="005226BE"/>
    <w:rsid w:val="00524448"/>
    <w:rsid w:val="00525327"/>
    <w:rsid w:val="0052707D"/>
    <w:rsid w:val="00527B4E"/>
    <w:rsid w:val="005302F5"/>
    <w:rsid w:val="00530CBE"/>
    <w:rsid w:val="00533958"/>
    <w:rsid w:val="00540EA0"/>
    <w:rsid w:val="00542B36"/>
    <w:rsid w:val="00543D4A"/>
    <w:rsid w:val="00544C49"/>
    <w:rsid w:val="005629AE"/>
    <w:rsid w:val="005635CB"/>
    <w:rsid w:val="005725FF"/>
    <w:rsid w:val="00572A6B"/>
    <w:rsid w:val="0057392F"/>
    <w:rsid w:val="005824E2"/>
    <w:rsid w:val="00584AD1"/>
    <w:rsid w:val="005874EF"/>
    <w:rsid w:val="00590D0D"/>
    <w:rsid w:val="00595560"/>
    <w:rsid w:val="005A5321"/>
    <w:rsid w:val="005B1C5E"/>
    <w:rsid w:val="005C2727"/>
    <w:rsid w:val="005C311E"/>
    <w:rsid w:val="005C44B7"/>
    <w:rsid w:val="005C5748"/>
    <w:rsid w:val="005D548B"/>
    <w:rsid w:val="005D7712"/>
    <w:rsid w:val="005E072B"/>
    <w:rsid w:val="005E1CF4"/>
    <w:rsid w:val="005E531F"/>
    <w:rsid w:val="005F197A"/>
    <w:rsid w:val="005F6373"/>
    <w:rsid w:val="00611C81"/>
    <w:rsid w:val="00612770"/>
    <w:rsid w:val="00621743"/>
    <w:rsid w:val="00625E80"/>
    <w:rsid w:val="00633D0B"/>
    <w:rsid w:val="00634759"/>
    <w:rsid w:val="00634BBB"/>
    <w:rsid w:val="0064007D"/>
    <w:rsid w:val="00640821"/>
    <w:rsid w:val="006419FC"/>
    <w:rsid w:val="00642B92"/>
    <w:rsid w:val="0064695A"/>
    <w:rsid w:val="00651B06"/>
    <w:rsid w:val="00655121"/>
    <w:rsid w:val="00661CF8"/>
    <w:rsid w:val="00664BFA"/>
    <w:rsid w:val="00681668"/>
    <w:rsid w:val="00685036"/>
    <w:rsid w:val="00687E51"/>
    <w:rsid w:val="006909A9"/>
    <w:rsid w:val="00692BAF"/>
    <w:rsid w:val="006A1F9A"/>
    <w:rsid w:val="006A2727"/>
    <w:rsid w:val="006A4A20"/>
    <w:rsid w:val="006B0435"/>
    <w:rsid w:val="006B1D5C"/>
    <w:rsid w:val="006B2EB6"/>
    <w:rsid w:val="006B6895"/>
    <w:rsid w:val="006B7EE9"/>
    <w:rsid w:val="006C459B"/>
    <w:rsid w:val="006C4699"/>
    <w:rsid w:val="006C6DAC"/>
    <w:rsid w:val="006D2E1E"/>
    <w:rsid w:val="006D487E"/>
    <w:rsid w:val="006E09B3"/>
    <w:rsid w:val="006E57D1"/>
    <w:rsid w:val="006F443D"/>
    <w:rsid w:val="00701B95"/>
    <w:rsid w:val="00706A9F"/>
    <w:rsid w:val="00711F19"/>
    <w:rsid w:val="007148E4"/>
    <w:rsid w:val="00715A6F"/>
    <w:rsid w:val="00721803"/>
    <w:rsid w:val="00724B67"/>
    <w:rsid w:val="0073165C"/>
    <w:rsid w:val="00741601"/>
    <w:rsid w:val="00751E42"/>
    <w:rsid w:val="00760E95"/>
    <w:rsid w:val="00761984"/>
    <w:rsid w:val="00765FD7"/>
    <w:rsid w:val="00773243"/>
    <w:rsid w:val="007825CD"/>
    <w:rsid w:val="00783961"/>
    <w:rsid w:val="00785AB4"/>
    <w:rsid w:val="007A7BE0"/>
    <w:rsid w:val="007B7559"/>
    <w:rsid w:val="007C2983"/>
    <w:rsid w:val="007C36DB"/>
    <w:rsid w:val="007C51BB"/>
    <w:rsid w:val="007D72DA"/>
    <w:rsid w:val="007E053D"/>
    <w:rsid w:val="007E6A31"/>
    <w:rsid w:val="007E7045"/>
    <w:rsid w:val="007F09E2"/>
    <w:rsid w:val="007F3540"/>
    <w:rsid w:val="0080530B"/>
    <w:rsid w:val="00817BD5"/>
    <w:rsid w:val="00822C34"/>
    <w:rsid w:val="0082325F"/>
    <w:rsid w:val="00825F8D"/>
    <w:rsid w:val="0082635A"/>
    <w:rsid w:val="00831890"/>
    <w:rsid w:val="00833FA6"/>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5061"/>
    <w:rsid w:val="008B5D32"/>
    <w:rsid w:val="008C43D6"/>
    <w:rsid w:val="008C5AFD"/>
    <w:rsid w:val="008D0BF0"/>
    <w:rsid w:val="008D1F1C"/>
    <w:rsid w:val="008D540D"/>
    <w:rsid w:val="008D6BFF"/>
    <w:rsid w:val="008E77C3"/>
    <w:rsid w:val="008E7880"/>
    <w:rsid w:val="008F311F"/>
    <w:rsid w:val="008F3C49"/>
    <w:rsid w:val="00910943"/>
    <w:rsid w:val="00912943"/>
    <w:rsid w:val="009143FC"/>
    <w:rsid w:val="009230B5"/>
    <w:rsid w:val="009231A5"/>
    <w:rsid w:val="009248C4"/>
    <w:rsid w:val="009279A4"/>
    <w:rsid w:val="00927C2D"/>
    <w:rsid w:val="00930985"/>
    <w:rsid w:val="0093136E"/>
    <w:rsid w:val="009333C7"/>
    <w:rsid w:val="00935399"/>
    <w:rsid w:val="00937F20"/>
    <w:rsid w:val="00940DD8"/>
    <w:rsid w:val="00941C55"/>
    <w:rsid w:val="00943423"/>
    <w:rsid w:val="00944403"/>
    <w:rsid w:val="00957E6D"/>
    <w:rsid w:val="00963277"/>
    <w:rsid w:val="0097133F"/>
    <w:rsid w:val="0097263C"/>
    <w:rsid w:val="009735AF"/>
    <w:rsid w:val="00973927"/>
    <w:rsid w:val="00981081"/>
    <w:rsid w:val="00990563"/>
    <w:rsid w:val="00992BB4"/>
    <w:rsid w:val="0099311C"/>
    <w:rsid w:val="009937C8"/>
    <w:rsid w:val="00993A3B"/>
    <w:rsid w:val="009A232F"/>
    <w:rsid w:val="009A4480"/>
    <w:rsid w:val="009B2451"/>
    <w:rsid w:val="009B5F82"/>
    <w:rsid w:val="009B7D05"/>
    <w:rsid w:val="009D0163"/>
    <w:rsid w:val="009D37B7"/>
    <w:rsid w:val="009D6849"/>
    <w:rsid w:val="009F5B9C"/>
    <w:rsid w:val="00A00B1A"/>
    <w:rsid w:val="00A00D5C"/>
    <w:rsid w:val="00A00EFE"/>
    <w:rsid w:val="00A06F92"/>
    <w:rsid w:val="00A1138A"/>
    <w:rsid w:val="00A14697"/>
    <w:rsid w:val="00A20227"/>
    <w:rsid w:val="00A235E1"/>
    <w:rsid w:val="00A2427F"/>
    <w:rsid w:val="00A25A93"/>
    <w:rsid w:val="00A26266"/>
    <w:rsid w:val="00A35E63"/>
    <w:rsid w:val="00A40D88"/>
    <w:rsid w:val="00A425CF"/>
    <w:rsid w:val="00A4328E"/>
    <w:rsid w:val="00A4785C"/>
    <w:rsid w:val="00A51F87"/>
    <w:rsid w:val="00A53592"/>
    <w:rsid w:val="00A64610"/>
    <w:rsid w:val="00A724E2"/>
    <w:rsid w:val="00A72D2E"/>
    <w:rsid w:val="00A74D91"/>
    <w:rsid w:val="00A80DAC"/>
    <w:rsid w:val="00A810D8"/>
    <w:rsid w:val="00A8661F"/>
    <w:rsid w:val="00A868D7"/>
    <w:rsid w:val="00A90421"/>
    <w:rsid w:val="00A94D83"/>
    <w:rsid w:val="00A9509D"/>
    <w:rsid w:val="00A965DE"/>
    <w:rsid w:val="00AA3152"/>
    <w:rsid w:val="00AB2AC7"/>
    <w:rsid w:val="00AB7A72"/>
    <w:rsid w:val="00AC0AFF"/>
    <w:rsid w:val="00AE0E69"/>
    <w:rsid w:val="00AE1C12"/>
    <w:rsid w:val="00AE6FE8"/>
    <w:rsid w:val="00B01EFD"/>
    <w:rsid w:val="00B02CA3"/>
    <w:rsid w:val="00B11E72"/>
    <w:rsid w:val="00B23DBB"/>
    <w:rsid w:val="00B2481A"/>
    <w:rsid w:val="00B260C9"/>
    <w:rsid w:val="00B2624B"/>
    <w:rsid w:val="00B37871"/>
    <w:rsid w:val="00B445FA"/>
    <w:rsid w:val="00B469B4"/>
    <w:rsid w:val="00B503F5"/>
    <w:rsid w:val="00B54AC3"/>
    <w:rsid w:val="00B556C5"/>
    <w:rsid w:val="00B61D44"/>
    <w:rsid w:val="00B62A83"/>
    <w:rsid w:val="00B636CE"/>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4C56"/>
    <w:rsid w:val="00BB55B2"/>
    <w:rsid w:val="00BB62FF"/>
    <w:rsid w:val="00BB7792"/>
    <w:rsid w:val="00BC27A0"/>
    <w:rsid w:val="00BC329B"/>
    <w:rsid w:val="00BC6286"/>
    <w:rsid w:val="00BC63BD"/>
    <w:rsid w:val="00BE541E"/>
    <w:rsid w:val="00BE5B7A"/>
    <w:rsid w:val="00BF6038"/>
    <w:rsid w:val="00BF70FD"/>
    <w:rsid w:val="00C023AC"/>
    <w:rsid w:val="00C02A29"/>
    <w:rsid w:val="00C05079"/>
    <w:rsid w:val="00C1167A"/>
    <w:rsid w:val="00C17383"/>
    <w:rsid w:val="00C31C60"/>
    <w:rsid w:val="00C3782E"/>
    <w:rsid w:val="00C47E3E"/>
    <w:rsid w:val="00C50A52"/>
    <w:rsid w:val="00C55B8C"/>
    <w:rsid w:val="00C57BCD"/>
    <w:rsid w:val="00C619D5"/>
    <w:rsid w:val="00C6602B"/>
    <w:rsid w:val="00C70383"/>
    <w:rsid w:val="00C72818"/>
    <w:rsid w:val="00C77004"/>
    <w:rsid w:val="00C87754"/>
    <w:rsid w:val="00C915B1"/>
    <w:rsid w:val="00C92B7D"/>
    <w:rsid w:val="00C976C3"/>
    <w:rsid w:val="00CA1663"/>
    <w:rsid w:val="00CA685A"/>
    <w:rsid w:val="00CA7478"/>
    <w:rsid w:val="00CB0FB3"/>
    <w:rsid w:val="00CB5430"/>
    <w:rsid w:val="00CB711D"/>
    <w:rsid w:val="00CC444E"/>
    <w:rsid w:val="00CD6D43"/>
    <w:rsid w:val="00CE0565"/>
    <w:rsid w:val="00CE36F5"/>
    <w:rsid w:val="00CE413C"/>
    <w:rsid w:val="00CE4377"/>
    <w:rsid w:val="00CE724B"/>
    <w:rsid w:val="00CE7FBD"/>
    <w:rsid w:val="00CF3793"/>
    <w:rsid w:val="00CF3ED9"/>
    <w:rsid w:val="00D0703B"/>
    <w:rsid w:val="00D07E73"/>
    <w:rsid w:val="00D10D0F"/>
    <w:rsid w:val="00D1753B"/>
    <w:rsid w:val="00D20249"/>
    <w:rsid w:val="00D2228E"/>
    <w:rsid w:val="00D268C4"/>
    <w:rsid w:val="00D33CE6"/>
    <w:rsid w:val="00D340E4"/>
    <w:rsid w:val="00D37885"/>
    <w:rsid w:val="00D40031"/>
    <w:rsid w:val="00D410F7"/>
    <w:rsid w:val="00D41645"/>
    <w:rsid w:val="00D42DDD"/>
    <w:rsid w:val="00D4355F"/>
    <w:rsid w:val="00D43FA7"/>
    <w:rsid w:val="00D53432"/>
    <w:rsid w:val="00D60F29"/>
    <w:rsid w:val="00D613CE"/>
    <w:rsid w:val="00D613D3"/>
    <w:rsid w:val="00D61CAE"/>
    <w:rsid w:val="00D633C1"/>
    <w:rsid w:val="00D6526A"/>
    <w:rsid w:val="00D658E1"/>
    <w:rsid w:val="00D65EC5"/>
    <w:rsid w:val="00D6735E"/>
    <w:rsid w:val="00D71AAE"/>
    <w:rsid w:val="00D7264E"/>
    <w:rsid w:val="00D83883"/>
    <w:rsid w:val="00D93D7D"/>
    <w:rsid w:val="00D95FA3"/>
    <w:rsid w:val="00D96829"/>
    <w:rsid w:val="00D97ED8"/>
    <w:rsid w:val="00DA06F9"/>
    <w:rsid w:val="00DB1E3D"/>
    <w:rsid w:val="00DB40CC"/>
    <w:rsid w:val="00DB50AC"/>
    <w:rsid w:val="00DB5E90"/>
    <w:rsid w:val="00DB61CB"/>
    <w:rsid w:val="00DC0787"/>
    <w:rsid w:val="00DC2570"/>
    <w:rsid w:val="00DD1AA1"/>
    <w:rsid w:val="00DD47F1"/>
    <w:rsid w:val="00DE50EF"/>
    <w:rsid w:val="00DE666A"/>
    <w:rsid w:val="00DE736D"/>
    <w:rsid w:val="00DF16A3"/>
    <w:rsid w:val="00DF35F7"/>
    <w:rsid w:val="00E01361"/>
    <w:rsid w:val="00E03BEF"/>
    <w:rsid w:val="00E12DAE"/>
    <w:rsid w:val="00E3074E"/>
    <w:rsid w:val="00E31529"/>
    <w:rsid w:val="00E36480"/>
    <w:rsid w:val="00E45A2F"/>
    <w:rsid w:val="00E56467"/>
    <w:rsid w:val="00E6376E"/>
    <w:rsid w:val="00E63CED"/>
    <w:rsid w:val="00E6521D"/>
    <w:rsid w:val="00E6671D"/>
    <w:rsid w:val="00E73B4C"/>
    <w:rsid w:val="00E75547"/>
    <w:rsid w:val="00E80F23"/>
    <w:rsid w:val="00E81F94"/>
    <w:rsid w:val="00E81FE7"/>
    <w:rsid w:val="00E905FA"/>
    <w:rsid w:val="00E939BE"/>
    <w:rsid w:val="00E96759"/>
    <w:rsid w:val="00EA38B9"/>
    <w:rsid w:val="00EA3E61"/>
    <w:rsid w:val="00EA4C52"/>
    <w:rsid w:val="00EA582B"/>
    <w:rsid w:val="00EB09CB"/>
    <w:rsid w:val="00EB69A4"/>
    <w:rsid w:val="00EC0DBD"/>
    <w:rsid w:val="00EC28FB"/>
    <w:rsid w:val="00EC3946"/>
    <w:rsid w:val="00EC3992"/>
    <w:rsid w:val="00EC5855"/>
    <w:rsid w:val="00EE72BF"/>
    <w:rsid w:val="00EF4375"/>
    <w:rsid w:val="00F059ED"/>
    <w:rsid w:val="00F104A5"/>
    <w:rsid w:val="00F12A4C"/>
    <w:rsid w:val="00F12C83"/>
    <w:rsid w:val="00F166AB"/>
    <w:rsid w:val="00F209B6"/>
    <w:rsid w:val="00F230F8"/>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74E0"/>
    <w:rsid w:val="00F97A36"/>
    <w:rsid w:val="00FB6A3E"/>
    <w:rsid w:val="00FB7F36"/>
    <w:rsid w:val="00FC1BA6"/>
    <w:rsid w:val="00FC306F"/>
    <w:rsid w:val="00FC6865"/>
    <w:rsid w:val="00FC72F7"/>
    <w:rsid w:val="00FD1885"/>
    <w:rsid w:val="00FD44D4"/>
    <w:rsid w:val="00FD6903"/>
    <w:rsid w:val="00FE3040"/>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6D94-AABD-400D-82A8-163089C3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5268</TotalTime>
  <Pages>8</Pages>
  <Words>2633</Words>
  <Characters>15539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Šmahelová Michala</cp:lastModifiedBy>
  <cp:revision>232</cp:revision>
  <cp:lastPrinted>2018-05-18T14:11:00Z</cp:lastPrinted>
  <dcterms:created xsi:type="dcterms:W3CDTF">2016-04-28T07:21:00Z</dcterms:created>
  <dcterms:modified xsi:type="dcterms:W3CDTF">2018-05-21T08:38:00Z</dcterms:modified>
</cp:coreProperties>
</file>