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0331FE"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ÚNOR</w:t>
      </w:r>
      <w:r w:rsidR="00B445FA">
        <w:rPr>
          <w:rFonts w:ascii="Tahoma" w:hAnsi="Tahoma" w:cs="Tahoma"/>
          <w:b/>
          <w:color w:val="000000" w:themeColor="text1"/>
          <w:sz w:val="32"/>
          <w:szCs w:val="20"/>
        </w:rPr>
        <w:t xml:space="preserve"> 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417839" w:rsidRPr="000331FE" w:rsidRDefault="000331FE" w:rsidP="00DE736D">
      <w:pPr>
        <w:pStyle w:val="Bezmezer"/>
        <w:numPr>
          <w:ilvl w:val="0"/>
          <w:numId w:val="4"/>
        </w:numPr>
        <w:spacing w:line="360" w:lineRule="auto"/>
        <w:jc w:val="both"/>
        <w:rPr>
          <w:rFonts w:ascii="Tahoma" w:hAnsi="Tahoma" w:cs="Tahoma"/>
          <w:color w:val="000000" w:themeColor="text1"/>
          <w:sz w:val="20"/>
          <w:szCs w:val="20"/>
        </w:rPr>
      </w:pPr>
      <w:r>
        <w:rPr>
          <w:rFonts w:ascii="Tahoma" w:hAnsi="Tahoma" w:cs="Tahoma"/>
          <w:i/>
          <w:color w:val="000000" w:themeColor="text1"/>
          <w:sz w:val="20"/>
          <w:szCs w:val="20"/>
        </w:rPr>
        <w:t>Ve sledovaném období nebyly ve Sbírce zákonů uveřejněny žádné, pro činnosti společnosti ČEPRO, a.s., relevantní právní předpisy</w:t>
      </w:r>
      <w:r w:rsidR="007E6A31">
        <w:rPr>
          <w:rFonts w:ascii="Tahoma" w:hAnsi="Tahoma" w:cs="Tahoma"/>
          <w:i/>
          <w:color w:val="000000" w:themeColor="text1"/>
          <w:sz w:val="20"/>
          <w:szCs w:val="20"/>
        </w:rPr>
        <w:t>.</w:t>
      </w:r>
    </w:p>
    <w:p w:rsidR="000331FE" w:rsidRPr="000331FE" w:rsidRDefault="000331FE" w:rsidP="000331FE">
      <w:pPr>
        <w:pStyle w:val="Bezmezer"/>
        <w:spacing w:line="360" w:lineRule="auto"/>
        <w:ind w:left="786"/>
        <w:jc w:val="both"/>
        <w:rPr>
          <w:rFonts w:ascii="Tahoma" w:hAnsi="Tahoma" w:cs="Tahoma"/>
          <w:color w:val="000000" w:themeColor="text1"/>
          <w:sz w:val="20"/>
          <w:szCs w:val="20"/>
        </w:rPr>
      </w:pPr>
    </w:p>
    <w:p w:rsidR="00661CF8" w:rsidRPr="00330B21" w:rsidRDefault="00661CF8" w:rsidP="001311AC">
      <w:pPr>
        <w:pStyle w:val="Bezmezer"/>
        <w:spacing w:line="360" w:lineRule="auto"/>
        <w:jc w:val="both"/>
        <w:rPr>
          <w:rFonts w:ascii="Tahoma" w:hAnsi="Tahoma" w:cs="Tahoma"/>
          <w:b/>
          <w:color w:val="000000" w:themeColor="text1"/>
          <w:sz w:val="24"/>
          <w:szCs w:val="20"/>
        </w:rPr>
      </w:pPr>
      <w:r w:rsidRPr="00330B21">
        <w:rPr>
          <w:rFonts w:ascii="Tahoma" w:hAnsi="Tahoma" w:cs="Tahoma"/>
          <w:b/>
          <w:color w:val="000000" w:themeColor="text1"/>
          <w:sz w:val="24"/>
          <w:szCs w:val="20"/>
        </w:rPr>
        <w:t>II. Připravovaná legislativa</w:t>
      </w:r>
    </w:p>
    <w:p w:rsidR="000331FE" w:rsidRDefault="000331FE" w:rsidP="000331FE">
      <w:pPr>
        <w:pStyle w:val="Bezmezer"/>
        <w:numPr>
          <w:ilvl w:val="0"/>
          <w:numId w:val="1"/>
        </w:numPr>
        <w:spacing w:line="360" w:lineRule="auto"/>
        <w:jc w:val="both"/>
        <w:rPr>
          <w:rFonts w:ascii="Tahoma" w:hAnsi="Tahoma" w:cs="Tahoma"/>
          <w:color w:val="000000" w:themeColor="text1"/>
          <w:sz w:val="20"/>
          <w:szCs w:val="20"/>
        </w:rPr>
      </w:pPr>
      <w:r w:rsidRPr="000331FE">
        <w:rPr>
          <w:rFonts w:ascii="Tahoma" w:hAnsi="Tahoma" w:cs="Tahoma"/>
          <w:color w:val="000000" w:themeColor="text1"/>
          <w:sz w:val="20"/>
          <w:szCs w:val="20"/>
        </w:rPr>
        <w:t>Informační povinnost státem ovládaných společností</w:t>
      </w:r>
    </w:p>
    <w:p w:rsidR="000331FE" w:rsidRDefault="000331FE" w:rsidP="000331FE">
      <w:pPr>
        <w:pStyle w:val="Bezmezer"/>
        <w:numPr>
          <w:ilvl w:val="0"/>
          <w:numId w:val="1"/>
        </w:numPr>
        <w:spacing w:line="360" w:lineRule="auto"/>
        <w:jc w:val="both"/>
        <w:rPr>
          <w:rFonts w:ascii="Tahoma" w:hAnsi="Tahoma" w:cs="Tahoma"/>
          <w:color w:val="000000" w:themeColor="text1"/>
          <w:sz w:val="20"/>
          <w:szCs w:val="20"/>
        </w:rPr>
      </w:pPr>
      <w:r w:rsidRPr="000331FE">
        <w:rPr>
          <w:rFonts w:ascii="Tahoma" w:hAnsi="Tahoma" w:cs="Tahoma"/>
          <w:color w:val="000000" w:themeColor="text1"/>
          <w:sz w:val="20"/>
          <w:szCs w:val="20"/>
        </w:rPr>
        <w:t>EET jen pro plátce DPH</w:t>
      </w:r>
    </w:p>
    <w:p w:rsidR="00655121" w:rsidRDefault="00655121" w:rsidP="000331FE">
      <w:pPr>
        <w:pStyle w:val="Bezmezer"/>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Velká novela EET</w:t>
      </w:r>
    </w:p>
    <w:p w:rsidR="000331FE" w:rsidRDefault="004F3002" w:rsidP="004F3002">
      <w:pPr>
        <w:pStyle w:val="Bezmezer"/>
        <w:numPr>
          <w:ilvl w:val="0"/>
          <w:numId w:val="1"/>
        </w:numPr>
        <w:spacing w:line="360" w:lineRule="auto"/>
        <w:jc w:val="both"/>
        <w:rPr>
          <w:rFonts w:ascii="Tahoma" w:hAnsi="Tahoma" w:cs="Tahoma"/>
          <w:color w:val="000000" w:themeColor="text1"/>
          <w:sz w:val="20"/>
          <w:szCs w:val="20"/>
        </w:rPr>
      </w:pPr>
      <w:r w:rsidRPr="004F3002">
        <w:rPr>
          <w:rFonts w:ascii="Tahoma" w:hAnsi="Tahoma" w:cs="Tahoma"/>
          <w:color w:val="000000" w:themeColor="text1"/>
          <w:sz w:val="20"/>
          <w:szCs w:val="20"/>
        </w:rPr>
        <w:t>Oddlužení</w:t>
      </w:r>
    </w:p>
    <w:p w:rsidR="00292D21" w:rsidRDefault="00292D21" w:rsidP="00292D21">
      <w:pPr>
        <w:pStyle w:val="Bezmezer"/>
        <w:spacing w:line="360" w:lineRule="auto"/>
        <w:jc w:val="both"/>
        <w:rPr>
          <w:rFonts w:ascii="Tahoma" w:hAnsi="Tahoma" w:cs="Tahoma"/>
          <w:b/>
          <w:color w:val="000000" w:themeColor="text1"/>
          <w:sz w:val="24"/>
          <w:szCs w:val="20"/>
        </w:rPr>
      </w:pPr>
    </w:p>
    <w:p w:rsidR="00292D21" w:rsidRDefault="00292D21" w:rsidP="00292D21">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 xml:space="preserve">III. </w:t>
      </w:r>
      <w:r w:rsidRPr="00856973">
        <w:rPr>
          <w:rFonts w:ascii="Tahoma" w:hAnsi="Tahoma" w:cs="Tahoma"/>
          <w:b/>
          <w:color w:val="000000" w:themeColor="text1"/>
          <w:sz w:val="24"/>
          <w:szCs w:val="20"/>
        </w:rPr>
        <w:t>Aktuální informace a podněty k vydané legislativě</w:t>
      </w:r>
    </w:p>
    <w:p w:rsidR="00292D21" w:rsidRPr="00856973" w:rsidRDefault="009D37B7" w:rsidP="00292D21">
      <w:pPr>
        <w:pStyle w:val="Bezmezer"/>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Členství zaměstnanců v dozorčí radě</w:t>
      </w:r>
    </w:p>
    <w:p w:rsidR="00292D21" w:rsidRDefault="00292D21" w:rsidP="00292D21">
      <w:pPr>
        <w:pStyle w:val="Bezmezer"/>
        <w:spacing w:line="360" w:lineRule="auto"/>
        <w:jc w:val="both"/>
        <w:rPr>
          <w:rFonts w:ascii="Tahoma" w:hAnsi="Tahoma" w:cs="Tahoma"/>
          <w:color w:val="000000" w:themeColor="text1"/>
          <w:sz w:val="20"/>
          <w:szCs w:val="20"/>
        </w:rPr>
      </w:pPr>
    </w:p>
    <w:p w:rsidR="00661CF8" w:rsidRPr="00024EFD" w:rsidRDefault="00292D21" w:rsidP="001311A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5226BE" w:rsidRDefault="00CB0FB3" w:rsidP="005226BE">
      <w:pPr>
        <w:pStyle w:val="Bezmezer"/>
        <w:numPr>
          <w:ilvl w:val="0"/>
          <w:numId w:val="1"/>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Lhůty pro okamžité zrušení pracovního poměru</w:t>
      </w:r>
    </w:p>
    <w:p w:rsidR="00DE736D" w:rsidRPr="005226BE" w:rsidRDefault="005226BE" w:rsidP="005226BE">
      <w:pPr>
        <w:pStyle w:val="Bezmezer"/>
        <w:numPr>
          <w:ilvl w:val="0"/>
          <w:numId w:val="1"/>
        </w:numPr>
        <w:spacing w:line="360" w:lineRule="auto"/>
        <w:jc w:val="both"/>
        <w:rPr>
          <w:rFonts w:ascii="Tahoma" w:hAnsi="Tahoma" w:cs="Tahoma"/>
          <w:color w:val="000000" w:themeColor="text1"/>
          <w:sz w:val="20"/>
          <w:szCs w:val="20"/>
        </w:rPr>
      </w:pPr>
      <w:r w:rsidRPr="005226BE">
        <w:rPr>
          <w:rFonts w:ascii="Tahoma" w:hAnsi="Tahoma" w:cs="Tahoma"/>
          <w:color w:val="000000" w:themeColor="text1"/>
          <w:sz w:val="20"/>
          <w:szCs w:val="20"/>
        </w:rPr>
        <w:t>Náhrada nákladů na mzdu jako škoda</w:t>
      </w:r>
    </w:p>
    <w:p w:rsidR="00856973" w:rsidRDefault="00856973" w:rsidP="00B445FA">
      <w:pPr>
        <w:pStyle w:val="Bezmezer"/>
        <w:spacing w:line="360" w:lineRule="auto"/>
        <w:jc w:val="both"/>
        <w:rPr>
          <w:rFonts w:ascii="Tahoma" w:hAnsi="Tahoma" w:cs="Tahoma"/>
          <w:b/>
          <w:color w:val="000000" w:themeColor="text1"/>
          <w:sz w:val="24"/>
          <w:szCs w:val="20"/>
        </w:rPr>
      </w:pPr>
    </w:p>
    <w:p w:rsidR="00B445FA" w:rsidRDefault="00B445FA"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073DF1" w:rsidRDefault="00073DF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B01EFD" w:rsidRDefault="00B01EFD" w:rsidP="00B445FA">
      <w:pPr>
        <w:pStyle w:val="Bezmezer"/>
        <w:spacing w:line="360" w:lineRule="auto"/>
        <w:ind w:left="720"/>
        <w:jc w:val="both"/>
        <w:rPr>
          <w:rFonts w:ascii="Tahoma" w:hAnsi="Tahoma" w:cs="Tahoma"/>
          <w:color w:val="000000" w:themeColor="text1"/>
          <w:sz w:val="20"/>
          <w:szCs w:val="20"/>
        </w:rPr>
      </w:pPr>
    </w:p>
    <w:p w:rsidR="005226BE" w:rsidRDefault="005226BE" w:rsidP="00B445FA">
      <w:pPr>
        <w:pStyle w:val="Bezmezer"/>
        <w:spacing w:line="360" w:lineRule="auto"/>
        <w:ind w:left="720"/>
        <w:jc w:val="both"/>
        <w:rPr>
          <w:rFonts w:ascii="Tahoma" w:hAnsi="Tahoma" w:cs="Tahoma"/>
          <w:color w:val="000000" w:themeColor="text1"/>
          <w:sz w:val="20"/>
          <w:szCs w:val="20"/>
        </w:rPr>
      </w:pPr>
    </w:p>
    <w:p w:rsidR="005226BE" w:rsidRDefault="005226BE" w:rsidP="00B445FA">
      <w:pPr>
        <w:pStyle w:val="Bezmezer"/>
        <w:spacing w:line="360" w:lineRule="auto"/>
        <w:ind w:left="720"/>
        <w:jc w:val="both"/>
        <w:rPr>
          <w:rFonts w:ascii="Tahoma" w:hAnsi="Tahoma" w:cs="Tahoma"/>
          <w:color w:val="000000" w:themeColor="text1"/>
          <w:sz w:val="20"/>
          <w:szCs w:val="20"/>
        </w:rPr>
      </w:pPr>
    </w:p>
    <w:p w:rsidR="00037E81" w:rsidRDefault="00037E81" w:rsidP="00B445FA">
      <w:pPr>
        <w:pStyle w:val="Bezmezer"/>
        <w:spacing w:line="360" w:lineRule="auto"/>
        <w:ind w:left="720"/>
        <w:jc w:val="both"/>
        <w:rPr>
          <w:rFonts w:ascii="Tahoma" w:hAnsi="Tahoma" w:cs="Tahoma"/>
          <w:color w:val="000000" w:themeColor="text1"/>
          <w:sz w:val="20"/>
          <w:szCs w:val="20"/>
        </w:rPr>
      </w:pPr>
    </w:p>
    <w:p w:rsidR="00BC27A0" w:rsidRPr="00DB40CC" w:rsidRDefault="00BC27A0"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Platné právní předpisy vyhlášené ve Sbírce zákonů</w:t>
      </w:r>
    </w:p>
    <w:p w:rsidR="009D37B7" w:rsidRDefault="009D37B7" w:rsidP="00252C33">
      <w:pPr>
        <w:pStyle w:val="Bezmezer"/>
        <w:spacing w:line="360" w:lineRule="auto"/>
        <w:rPr>
          <w:rFonts w:ascii="Tahoma" w:hAnsi="Tahoma" w:cs="Tahoma"/>
          <w:b/>
          <w:sz w:val="20"/>
          <w:szCs w:val="20"/>
        </w:rPr>
      </w:pPr>
    </w:p>
    <w:p w:rsidR="00A00D5C" w:rsidRDefault="009D37B7" w:rsidP="009D37B7">
      <w:pPr>
        <w:pStyle w:val="Bezmezer"/>
        <w:spacing w:line="360" w:lineRule="auto"/>
        <w:jc w:val="both"/>
        <w:rPr>
          <w:rFonts w:ascii="Tahoma" w:hAnsi="Tahoma" w:cs="Tahoma"/>
          <w:i/>
          <w:sz w:val="20"/>
          <w:szCs w:val="20"/>
        </w:rPr>
      </w:pPr>
      <w:r w:rsidRPr="009D37B7">
        <w:rPr>
          <w:rFonts w:ascii="Tahoma" w:hAnsi="Tahoma" w:cs="Tahoma"/>
          <w:i/>
          <w:sz w:val="20"/>
          <w:szCs w:val="20"/>
        </w:rPr>
        <w:t>Ve sledovaném období nebyly ve Sbírce zákonů uveřejněny žádné, pro činnosti společnosti ČEPRO, a.s., relevantní právní předpisy</w:t>
      </w:r>
      <w:r>
        <w:rPr>
          <w:rFonts w:ascii="Tahoma" w:hAnsi="Tahoma" w:cs="Tahoma"/>
          <w:i/>
          <w:sz w:val="20"/>
          <w:szCs w:val="20"/>
        </w:rPr>
        <w:t>.</w:t>
      </w:r>
    </w:p>
    <w:p w:rsidR="009D37B7" w:rsidRPr="009D37B7" w:rsidRDefault="009D37B7" w:rsidP="009D37B7">
      <w:pPr>
        <w:pStyle w:val="Bezmezer"/>
        <w:spacing w:line="360" w:lineRule="auto"/>
        <w:jc w:val="both"/>
        <w:rPr>
          <w:rFonts w:ascii="Tahoma" w:hAnsi="Tahoma" w:cs="Tahoma"/>
          <w:i/>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CE7FBD" w:rsidRPr="002B11D7" w:rsidRDefault="009D37B7" w:rsidP="009D37B7">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9D37B7">
        <w:rPr>
          <w:rStyle w:val="Hypertextovodkaz"/>
          <w:rFonts w:ascii="Tahoma" w:eastAsia="Times New Roman" w:hAnsi="Tahoma" w:cs="Tahoma"/>
          <w:b/>
          <w:bCs/>
          <w:color w:val="000000" w:themeColor="text1"/>
          <w:kern w:val="36"/>
          <w:sz w:val="24"/>
          <w:szCs w:val="20"/>
          <w:u w:val="none"/>
          <w:lang w:eastAsia="cs-CZ"/>
        </w:rPr>
        <w:t>Informační povinnost státem ovládaných společností</w:t>
      </w:r>
    </w:p>
    <w:p w:rsidR="008F3C49" w:rsidRDefault="008F3C49" w:rsidP="00993A3B">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Dne 7. 3. 2018 prošel prvním čtením v Poslanecké sněmovně poslanecký návrh novely zákona o svobodném přístupu k informacím a zákona o registru smluv.</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Povinnými subjekty podle zákona o svobodném přístupu k informacím budou </w:t>
      </w:r>
      <w:r>
        <w:rPr>
          <w:rStyle w:val="Hypertextovodkaz"/>
          <w:rFonts w:ascii="Tahoma" w:eastAsia="Times New Roman" w:hAnsi="Tahoma" w:cs="Tahoma"/>
          <w:bCs/>
          <w:color w:val="000000" w:themeColor="text1"/>
          <w:kern w:val="36"/>
          <w:sz w:val="20"/>
          <w:szCs w:val="20"/>
          <w:u w:val="none"/>
          <w:lang w:eastAsia="cs-CZ"/>
        </w:rPr>
        <w:t xml:space="preserve">výslovně </w:t>
      </w:r>
      <w:r w:rsidRPr="00640821">
        <w:rPr>
          <w:rStyle w:val="Hypertextovodkaz"/>
          <w:rFonts w:ascii="Tahoma" w:eastAsia="Times New Roman" w:hAnsi="Tahoma" w:cs="Tahoma"/>
          <w:bCs/>
          <w:color w:val="000000" w:themeColor="text1"/>
          <w:kern w:val="36"/>
          <w:sz w:val="20"/>
          <w:szCs w:val="20"/>
          <w:u w:val="none"/>
          <w:lang w:eastAsia="cs-CZ"/>
        </w:rPr>
        <w:t>rovněž právnické osoby, v nichž je stát, územní samosprávný celek anebo jiný povinný subjekt většinovým společníkem nebo v nich mohou sami nebo s jinými povinnými subjekty přímo či nepřímo uplatňovat rozhodující vliv</w:t>
      </w:r>
      <w:r w:rsidRPr="00640821">
        <w:rPr>
          <w:rStyle w:val="Hypertextovodkaz"/>
          <w:rFonts w:ascii="Times New Roman" w:eastAsia="Times New Roman" w:hAnsi="Times New Roman" w:cs="Times New Roman"/>
          <w:bCs/>
          <w:color w:val="000000" w:themeColor="text1"/>
          <w:kern w:val="36"/>
          <w:sz w:val="20"/>
          <w:szCs w:val="20"/>
          <w:u w:val="none"/>
          <w:lang w:eastAsia="cs-CZ"/>
        </w:rPr>
        <w:t>․</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Je-li povinný subjekt zapsán do veřejného rejstříku podle zákona upravujícího zápisy do veřejného rejstříku, zapíše se do tohoto veřejného rejstříku též skutečnost, že je tato osoba povinným subjektem podle zákona o svobodném přístupu k informacím.</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 </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Dále se ruší výjimka z povinnosti uveřejnit prostřednictvím registru smluv</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Default="00640821" w:rsidP="00640821">
      <w:pPr>
        <w:pStyle w:val="Bezmezer"/>
        <w:numPr>
          <w:ilvl w:val="0"/>
          <w:numId w:val="46"/>
        </w:numP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smlouvu, jejíž alespoň jednou smluvní stranou je akciová společnost, jejíž cenné papíry byly přijaty k obchodování na regulovaném trhu nebo evropském regulovaném trhu, jde-li o akciovou společnost, v níž má stát nebo územní samosprávný celek sám nebo s jinými územními samosprávnými celky většinovou majetkovou účast, a to i prostřednictvím jiné právnické osoby [§ 3 odst. 2 písm. h) </w:t>
      </w:r>
      <w:proofErr w:type="spellStart"/>
      <w:r w:rsidRPr="00640821">
        <w:rPr>
          <w:rStyle w:val="Hypertextovodkaz"/>
          <w:rFonts w:ascii="Tahoma" w:eastAsia="Times New Roman" w:hAnsi="Tahoma" w:cs="Tahoma"/>
          <w:bCs/>
          <w:color w:val="000000" w:themeColor="text1"/>
          <w:kern w:val="36"/>
          <w:sz w:val="20"/>
          <w:szCs w:val="20"/>
          <w:u w:val="none"/>
          <w:lang w:eastAsia="cs-CZ"/>
        </w:rPr>
        <w:t>RegSml</w:t>
      </w:r>
      <w:proofErr w:type="spellEnd"/>
      <w:r w:rsidRPr="00640821">
        <w:rPr>
          <w:rStyle w:val="Hypertextovodkaz"/>
          <w:rFonts w:ascii="Tahoma" w:eastAsia="Times New Roman" w:hAnsi="Tahoma" w:cs="Tahoma"/>
          <w:bCs/>
          <w:color w:val="000000" w:themeColor="text1"/>
          <w:kern w:val="36"/>
          <w:sz w:val="20"/>
          <w:szCs w:val="20"/>
          <w:u w:val="none"/>
          <w:lang w:eastAsia="cs-CZ"/>
        </w:rPr>
        <w:t>],</w:t>
      </w:r>
    </w:p>
    <w:p w:rsidR="00640821" w:rsidRPr="00640821" w:rsidRDefault="00640821" w:rsidP="00640821">
      <w:pPr>
        <w:pStyle w:val="Bezmezer"/>
        <w:numPr>
          <w:ilvl w:val="0"/>
          <w:numId w:val="46"/>
        </w:numP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smlouvu uzavřenou právnickou osobou uvedenou v § 2 odst. 1 písm. k) nebo n) </w:t>
      </w:r>
      <w:proofErr w:type="spellStart"/>
      <w:r w:rsidRPr="00640821">
        <w:rPr>
          <w:rStyle w:val="Hypertextovodkaz"/>
          <w:rFonts w:ascii="Tahoma" w:eastAsia="Times New Roman" w:hAnsi="Tahoma" w:cs="Tahoma"/>
          <w:bCs/>
          <w:color w:val="000000" w:themeColor="text1"/>
          <w:kern w:val="36"/>
          <w:sz w:val="20"/>
          <w:szCs w:val="20"/>
          <w:u w:val="none"/>
          <w:lang w:eastAsia="cs-CZ"/>
        </w:rPr>
        <w:t>RegSml</w:t>
      </w:r>
      <w:proofErr w:type="spellEnd"/>
      <w:r w:rsidRPr="00640821">
        <w:rPr>
          <w:rStyle w:val="Hypertextovodkaz"/>
          <w:rFonts w:ascii="Tahoma" w:eastAsia="Times New Roman" w:hAnsi="Tahoma" w:cs="Tahoma"/>
          <w:bCs/>
          <w:color w:val="000000" w:themeColor="text1"/>
          <w:kern w:val="36"/>
          <w:sz w:val="20"/>
          <w:szCs w:val="20"/>
          <w:u w:val="none"/>
          <w:lang w:eastAsia="cs-CZ"/>
        </w:rPr>
        <w:t xml:space="preserve">, která byla založena za účelem uspokojování potřeb majících průmyslovou nebo obchodní povahu nebo za účelem výzkumu, vývoje nebo zkušebnictví, pokud tato smlouva byla uzavřena v běžném obchodním styku v rozsahu předmětu činnosti nebo podnikání uvedené právnické osoby zapsaného ve veřejném rejstříku; to neplatí, jde-li o smlouvu uzavřenou s osobou uvedenou v § 2 odst. 1 </w:t>
      </w:r>
      <w:proofErr w:type="spellStart"/>
      <w:r w:rsidRPr="00640821">
        <w:rPr>
          <w:rStyle w:val="Hypertextovodkaz"/>
          <w:rFonts w:ascii="Tahoma" w:eastAsia="Times New Roman" w:hAnsi="Tahoma" w:cs="Tahoma"/>
          <w:bCs/>
          <w:color w:val="000000" w:themeColor="text1"/>
          <w:kern w:val="36"/>
          <w:sz w:val="20"/>
          <w:szCs w:val="20"/>
          <w:u w:val="none"/>
          <w:lang w:eastAsia="cs-CZ"/>
        </w:rPr>
        <w:t>RegSml</w:t>
      </w:r>
      <w:proofErr w:type="spellEnd"/>
      <w:r w:rsidRPr="00640821">
        <w:rPr>
          <w:rStyle w:val="Hypertextovodkaz"/>
          <w:rFonts w:ascii="Tahoma" w:eastAsia="Times New Roman" w:hAnsi="Tahoma" w:cs="Tahoma"/>
          <w:bCs/>
          <w:color w:val="000000" w:themeColor="text1"/>
          <w:kern w:val="36"/>
          <w:sz w:val="20"/>
          <w:szCs w:val="20"/>
          <w:u w:val="none"/>
          <w:lang w:eastAsia="cs-CZ"/>
        </w:rPr>
        <w:t xml:space="preserve">, která nebyla založena za účelem uspokojování potřeb majících průmyslovou nebo obchodní povahu nebo za účelem výzkumu, vývoje nebo zkušebnictví [§ 3 odst. 2 písm. r) </w:t>
      </w:r>
      <w:proofErr w:type="spellStart"/>
      <w:r w:rsidRPr="00640821">
        <w:rPr>
          <w:rStyle w:val="Hypertextovodkaz"/>
          <w:rFonts w:ascii="Tahoma" w:eastAsia="Times New Roman" w:hAnsi="Tahoma" w:cs="Tahoma"/>
          <w:bCs/>
          <w:color w:val="000000" w:themeColor="text1"/>
          <w:kern w:val="36"/>
          <w:sz w:val="20"/>
          <w:szCs w:val="20"/>
          <w:u w:val="none"/>
          <w:lang w:eastAsia="cs-CZ"/>
        </w:rPr>
        <w:t>RegSml</w:t>
      </w:r>
      <w:proofErr w:type="spellEnd"/>
      <w:r w:rsidRPr="00640821">
        <w:rPr>
          <w:rStyle w:val="Hypertextovodkaz"/>
          <w:rFonts w:ascii="Tahoma" w:eastAsia="Times New Roman" w:hAnsi="Tahoma" w:cs="Tahoma"/>
          <w:bCs/>
          <w:color w:val="000000" w:themeColor="text1"/>
          <w:kern w:val="36"/>
          <w:sz w:val="20"/>
          <w:szCs w:val="20"/>
          <w:u w:val="none"/>
          <w:lang w:eastAsia="cs-CZ"/>
        </w:rPr>
        <w:t>].</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 </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9D37B7" w:rsidRDefault="00640821" w:rsidP="006408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Návrh ustál hlasování o vrácení k dopracování a hlasování o zamítnutí a poté byl přikázán výboru pro veřejnou správu a regionální rozvoj jakožto výboru garančnímu, dále ústavněprávnímu výboru, petičnímu výboru, výboru pro bezpečnost a hospodářskému výboru. Lhůta k projednání byla prodloužena na 80 dní.</w:t>
      </w:r>
    </w:p>
    <w:p w:rsidR="009D37B7" w:rsidRDefault="009D37B7" w:rsidP="009D37B7">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26BE" w:rsidRDefault="005226BE" w:rsidP="009D37B7">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26BE" w:rsidRDefault="005226BE" w:rsidP="009D37B7">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5226BE" w:rsidRPr="004536BC" w:rsidRDefault="005226BE" w:rsidP="009D37B7">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9D37B7" w:rsidRPr="002B11D7" w:rsidRDefault="009D37B7" w:rsidP="009D37B7">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9D37B7">
        <w:rPr>
          <w:rStyle w:val="Hypertextovodkaz"/>
          <w:rFonts w:ascii="Tahoma" w:eastAsia="Times New Roman" w:hAnsi="Tahoma" w:cs="Tahoma"/>
          <w:b/>
          <w:bCs/>
          <w:color w:val="000000" w:themeColor="text1"/>
          <w:kern w:val="36"/>
          <w:sz w:val="24"/>
          <w:szCs w:val="20"/>
          <w:u w:val="none"/>
          <w:lang w:eastAsia="cs-CZ"/>
        </w:rPr>
        <w:lastRenderedPageBreak/>
        <w:t>EET jen pro plátce DPH</w:t>
      </w:r>
    </w:p>
    <w:p w:rsidR="009D37B7" w:rsidRDefault="00655121" w:rsidP="009D37B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41)</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Dne 7. 3. 2018 prošel prvním čtením v Poslanecké sněmovně poslanecký návrh novely zákona o evidenci tržeb.</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Cílem návrhu je zmírnění negativních dopadů elektronické evidence tržeb.</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 </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Navrhuje se proto zúžit okruh subjektů, které evidenci tržeb podléhají, a to pouze na podnikatele s dostatečně vysokým obratem.</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Subjektem evidence tržeb bude registrovaný plátce daně z přidané hodnoty, který je současně poplatníkem daně z příjmů fyzických osob nebo daně z příjmů právnických osob (§ 3 </w:t>
      </w:r>
      <w:proofErr w:type="spellStart"/>
      <w:r w:rsidRPr="00640821">
        <w:rPr>
          <w:rStyle w:val="Hypertextovodkaz"/>
          <w:rFonts w:ascii="Tahoma" w:eastAsia="Times New Roman" w:hAnsi="Tahoma" w:cs="Tahoma"/>
          <w:bCs/>
          <w:color w:val="000000" w:themeColor="text1"/>
          <w:kern w:val="36"/>
          <w:sz w:val="20"/>
          <w:szCs w:val="20"/>
          <w:u w:val="none"/>
          <w:lang w:eastAsia="cs-CZ"/>
        </w:rPr>
        <w:t>odst</w:t>
      </w:r>
      <w:proofErr w:type="spellEnd"/>
      <w:r w:rsidRPr="00640821">
        <w:rPr>
          <w:rStyle w:val="Hypertextovodkaz"/>
          <w:rFonts w:ascii="Times New Roman" w:eastAsia="Times New Roman" w:hAnsi="Times New Roman" w:cs="Times New Roman"/>
          <w:bCs/>
          <w:color w:val="000000" w:themeColor="text1"/>
          <w:kern w:val="36"/>
          <w:sz w:val="20"/>
          <w:szCs w:val="20"/>
          <w:u w:val="none"/>
          <w:lang w:eastAsia="cs-CZ"/>
        </w:rPr>
        <w:t>․</w:t>
      </w:r>
      <w:r w:rsidRPr="00640821">
        <w:rPr>
          <w:rStyle w:val="Hypertextovodkaz"/>
          <w:rFonts w:ascii="Tahoma" w:eastAsia="Times New Roman" w:hAnsi="Tahoma" w:cs="Tahoma"/>
          <w:bCs/>
          <w:color w:val="000000" w:themeColor="text1"/>
          <w:kern w:val="36"/>
          <w:sz w:val="20"/>
          <w:szCs w:val="20"/>
          <w:u w:val="none"/>
          <w:lang w:eastAsia="cs-CZ"/>
        </w:rPr>
        <w:t xml:space="preserve"> 1 zákona č. 112/2016 Sb.).</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FF7CD0" w:rsidRDefault="00640821" w:rsidP="006408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Návrh ustál hlasování o zamítnutí a poté byl přikázán k projednání rozpočtovému výboru jakožto výboru garančnímu.</w:t>
      </w:r>
    </w:p>
    <w:p w:rsidR="00655121" w:rsidRPr="004536BC" w:rsidRDefault="00655121" w:rsidP="00655121">
      <w:pPr>
        <w:pStyle w:val="Bezmezer"/>
        <w:spacing w:line="276" w:lineRule="auto"/>
        <w:jc w:val="both"/>
        <w:rPr>
          <w:rStyle w:val="Hypertextovodkaz"/>
          <w:rFonts w:ascii="Tahoma" w:eastAsia="Times New Roman" w:hAnsi="Tahoma" w:cs="Tahoma"/>
          <w:bCs/>
          <w:i/>
          <w:color w:val="000000" w:themeColor="text1"/>
          <w:kern w:val="36"/>
          <w:sz w:val="20"/>
          <w:szCs w:val="20"/>
          <w:u w:val="none"/>
          <w:lang w:eastAsia="cs-CZ"/>
        </w:rPr>
      </w:pPr>
    </w:p>
    <w:p w:rsidR="00655121" w:rsidRPr="002B11D7" w:rsidRDefault="00655121" w:rsidP="00655121">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Velká novela EET</w:t>
      </w:r>
    </w:p>
    <w:p w:rsidR="00655121" w:rsidRDefault="00655121" w:rsidP="00655121">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(mezirezortní připomínkové řízení)</w:t>
      </w:r>
    </w:p>
    <w:p w:rsidR="00655121" w:rsidRDefault="00655121" w:rsidP="00655121">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655121" w:rsidRDefault="00655121" w:rsidP="006551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Do mezirezortního připomínkového řízení byla předložena velká novela zákona o elektronické evidenci tržeb. </w:t>
      </w:r>
    </w:p>
    <w:p w:rsidR="00655121" w:rsidRDefault="00655121" w:rsidP="006408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17839" w:rsidRDefault="00EC28FB"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Stěžejní dopad do praxe společnosti ČEPRO může mít nově navrhované ustanovení § 5 </w:t>
      </w:r>
      <w:proofErr w:type="gramStart"/>
      <w:r>
        <w:rPr>
          <w:rStyle w:val="Hypertextovodkaz"/>
          <w:rFonts w:ascii="Tahoma" w:eastAsia="Times New Roman" w:hAnsi="Tahoma" w:cs="Tahoma"/>
          <w:bCs/>
          <w:color w:val="000000" w:themeColor="text1"/>
          <w:kern w:val="36"/>
          <w:sz w:val="20"/>
          <w:szCs w:val="20"/>
          <w:u w:val="none"/>
          <w:lang w:eastAsia="cs-CZ"/>
        </w:rPr>
        <w:t>písm. b) (původně</w:t>
      </w:r>
      <w:proofErr w:type="gramEnd"/>
      <w:r>
        <w:rPr>
          <w:rStyle w:val="Hypertextovodkaz"/>
          <w:rFonts w:ascii="Tahoma" w:eastAsia="Times New Roman" w:hAnsi="Tahoma" w:cs="Tahoma"/>
          <w:bCs/>
          <w:color w:val="000000" w:themeColor="text1"/>
          <w:kern w:val="36"/>
          <w:sz w:val="20"/>
          <w:szCs w:val="20"/>
          <w:u w:val="none"/>
          <w:lang w:eastAsia="cs-CZ"/>
        </w:rPr>
        <w:t xml:space="preserve"> platba platební kartou, která byla zrušena Ústavním soudem). Novela navrhuje výslovně zakotvit, že za evidovanou tržbu se považuje platba uskutečněná „</w:t>
      </w:r>
      <w:r w:rsidRPr="00EC28FB">
        <w:rPr>
          <w:rStyle w:val="Hypertextovodkaz"/>
          <w:rFonts w:ascii="Tahoma" w:eastAsia="Times New Roman" w:hAnsi="Tahoma" w:cs="Tahoma"/>
          <w:bCs/>
          <w:i/>
          <w:color w:val="000000" w:themeColor="text1"/>
          <w:kern w:val="36"/>
          <w:sz w:val="20"/>
          <w:szCs w:val="20"/>
          <w:u w:val="none"/>
          <w:lang w:eastAsia="cs-CZ"/>
        </w:rPr>
        <w:t>prostřednictvím prostředků, které jsou určeny pouze k zaplacení zboží nebo služeb v prostorách využívaných vydavatelem prostředku nebo zboží nebo služeb úzce vymezenému okruhu doda</w:t>
      </w:r>
      <w:r>
        <w:rPr>
          <w:rStyle w:val="Hypertextovodkaz"/>
          <w:rFonts w:ascii="Tahoma" w:eastAsia="Times New Roman" w:hAnsi="Tahoma" w:cs="Tahoma"/>
          <w:bCs/>
          <w:i/>
          <w:color w:val="000000" w:themeColor="text1"/>
          <w:kern w:val="36"/>
          <w:sz w:val="20"/>
          <w:szCs w:val="20"/>
          <w:u w:val="none"/>
          <w:lang w:eastAsia="cs-CZ"/>
        </w:rPr>
        <w:t>v</w:t>
      </w:r>
      <w:r w:rsidRPr="00EC28FB">
        <w:rPr>
          <w:rStyle w:val="Hypertextovodkaz"/>
          <w:rFonts w:ascii="Tahoma" w:eastAsia="Times New Roman" w:hAnsi="Tahoma" w:cs="Tahoma"/>
          <w:bCs/>
          <w:i/>
          <w:color w:val="000000" w:themeColor="text1"/>
          <w:kern w:val="36"/>
          <w:sz w:val="20"/>
          <w:szCs w:val="20"/>
          <w:u w:val="none"/>
          <w:lang w:eastAsia="cs-CZ"/>
        </w:rPr>
        <w:t>atelů anebo k zaplacení úz</w:t>
      </w:r>
      <w:r>
        <w:rPr>
          <w:rStyle w:val="Hypertextovodkaz"/>
          <w:rFonts w:ascii="Tahoma" w:eastAsia="Times New Roman" w:hAnsi="Tahoma" w:cs="Tahoma"/>
          <w:bCs/>
          <w:i/>
          <w:color w:val="000000" w:themeColor="text1"/>
          <w:kern w:val="36"/>
          <w:sz w:val="20"/>
          <w:szCs w:val="20"/>
          <w:u w:val="none"/>
          <w:lang w:eastAsia="cs-CZ"/>
        </w:rPr>
        <w:t>ce</w:t>
      </w:r>
      <w:r w:rsidRPr="00EC28FB">
        <w:rPr>
          <w:rStyle w:val="Hypertextovodkaz"/>
          <w:rFonts w:ascii="Tahoma" w:eastAsia="Times New Roman" w:hAnsi="Tahoma" w:cs="Tahoma"/>
          <w:bCs/>
          <w:i/>
          <w:color w:val="000000" w:themeColor="text1"/>
          <w:kern w:val="36"/>
          <w:sz w:val="20"/>
          <w:szCs w:val="20"/>
          <w:u w:val="none"/>
          <w:lang w:eastAsia="cs-CZ"/>
        </w:rPr>
        <w:t xml:space="preserve"> vymezeného okruhu zboží nebo služeb</w:t>
      </w:r>
      <w:r>
        <w:rPr>
          <w:rStyle w:val="Hypertextovodkaz"/>
          <w:rFonts w:ascii="Tahoma" w:eastAsia="Times New Roman" w:hAnsi="Tahoma" w:cs="Tahoma"/>
          <w:bCs/>
          <w:color w:val="000000" w:themeColor="text1"/>
          <w:kern w:val="36"/>
          <w:sz w:val="20"/>
          <w:szCs w:val="20"/>
          <w:u w:val="none"/>
          <w:lang w:eastAsia="cs-CZ"/>
        </w:rPr>
        <w:t>“. Tato definice je doslovně převzatá z aktuálního znění zákona o platebním styku. ČNB považuje za takové prostředky i palivové karty. Pokud by tedy bylo</w:t>
      </w:r>
      <w:r w:rsidR="00BA30F2">
        <w:rPr>
          <w:rStyle w:val="Hypertextovodkaz"/>
          <w:rFonts w:ascii="Tahoma" w:eastAsia="Times New Roman" w:hAnsi="Tahoma" w:cs="Tahoma"/>
          <w:bCs/>
          <w:color w:val="000000" w:themeColor="text1"/>
          <w:kern w:val="36"/>
          <w:sz w:val="20"/>
          <w:szCs w:val="20"/>
          <w:u w:val="none"/>
          <w:lang w:eastAsia="cs-CZ"/>
        </w:rPr>
        <w:t xml:space="preserve"> dosavadní</w:t>
      </w:r>
      <w:r>
        <w:rPr>
          <w:rStyle w:val="Hypertextovodkaz"/>
          <w:rFonts w:ascii="Tahoma" w:eastAsia="Times New Roman" w:hAnsi="Tahoma" w:cs="Tahoma"/>
          <w:bCs/>
          <w:color w:val="000000" w:themeColor="text1"/>
          <w:kern w:val="36"/>
          <w:sz w:val="20"/>
          <w:szCs w:val="20"/>
          <w:u w:val="none"/>
          <w:lang w:eastAsia="cs-CZ"/>
        </w:rPr>
        <w:t xml:space="preserve"> stanovis</w:t>
      </w:r>
      <w:r w:rsidR="00BA30F2">
        <w:rPr>
          <w:rStyle w:val="Hypertextovodkaz"/>
          <w:rFonts w:ascii="Tahoma" w:eastAsia="Times New Roman" w:hAnsi="Tahoma" w:cs="Tahoma"/>
          <w:bCs/>
          <w:color w:val="000000" w:themeColor="text1"/>
          <w:kern w:val="36"/>
          <w:sz w:val="20"/>
          <w:szCs w:val="20"/>
          <w:u w:val="none"/>
          <w:lang w:eastAsia="cs-CZ"/>
        </w:rPr>
        <w:t xml:space="preserve">ko ČNB po konzultacích s ČAPPO </w:t>
      </w:r>
      <w:r>
        <w:rPr>
          <w:rStyle w:val="Hypertextovodkaz"/>
          <w:rFonts w:ascii="Tahoma" w:eastAsia="Times New Roman" w:hAnsi="Tahoma" w:cs="Tahoma"/>
          <w:bCs/>
          <w:color w:val="000000" w:themeColor="text1"/>
          <w:kern w:val="36"/>
          <w:sz w:val="20"/>
          <w:szCs w:val="20"/>
          <w:u w:val="none"/>
          <w:lang w:eastAsia="cs-CZ"/>
        </w:rPr>
        <w:t xml:space="preserve"> potvrzeno</w:t>
      </w:r>
      <w:r w:rsidR="00BA30F2">
        <w:rPr>
          <w:rStyle w:val="Hypertextovodkaz"/>
          <w:rFonts w:ascii="Tahoma" w:eastAsia="Times New Roman" w:hAnsi="Tahoma" w:cs="Tahoma"/>
          <w:bCs/>
          <w:color w:val="000000" w:themeColor="text1"/>
          <w:kern w:val="36"/>
          <w:sz w:val="20"/>
          <w:szCs w:val="20"/>
          <w:u w:val="none"/>
          <w:lang w:eastAsia="cs-CZ"/>
        </w:rPr>
        <w:t xml:space="preserve"> (tj. palivová karta je platebním prostředkem)</w:t>
      </w:r>
      <w:r>
        <w:rPr>
          <w:rStyle w:val="Hypertextovodkaz"/>
          <w:rFonts w:ascii="Tahoma" w:eastAsia="Times New Roman" w:hAnsi="Tahoma" w:cs="Tahoma"/>
          <w:bCs/>
          <w:color w:val="000000" w:themeColor="text1"/>
          <w:kern w:val="36"/>
          <w:sz w:val="20"/>
          <w:szCs w:val="20"/>
          <w:u w:val="none"/>
          <w:lang w:eastAsia="cs-CZ"/>
        </w:rPr>
        <w:t xml:space="preserve">, mohla by mít tato skutečnost dopad i do oblasti EET, kdy by ČEPRO muselo evidovat i odběry uskutečněné palivovou kartou. Vývoj tohoto ustanovení bude nadále monitorován a případně bude přistoupeno k položení </w:t>
      </w:r>
      <w:bookmarkStart w:id="0" w:name="_GoBack"/>
      <w:r>
        <w:rPr>
          <w:rStyle w:val="Hypertextovodkaz"/>
          <w:rFonts w:ascii="Tahoma" w:eastAsia="Times New Roman" w:hAnsi="Tahoma" w:cs="Tahoma"/>
          <w:bCs/>
          <w:color w:val="000000" w:themeColor="text1"/>
          <w:kern w:val="36"/>
          <w:sz w:val="20"/>
          <w:szCs w:val="20"/>
          <w:u w:val="none"/>
          <w:lang w:eastAsia="cs-CZ"/>
        </w:rPr>
        <w:t>kvalifikovaného dotazu Ministerstvu financí</w:t>
      </w:r>
      <w:bookmarkEnd w:id="0"/>
      <w:r>
        <w:rPr>
          <w:rStyle w:val="Hypertextovodkaz"/>
          <w:rFonts w:ascii="Tahoma" w:eastAsia="Times New Roman" w:hAnsi="Tahoma" w:cs="Tahoma"/>
          <w:bCs/>
          <w:color w:val="000000" w:themeColor="text1"/>
          <w:kern w:val="36"/>
          <w:sz w:val="20"/>
          <w:szCs w:val="20"/>
          <w:u w:val="none"/>
          <w:lang w:eastAsia="cs-CZ"/>
        </w:rPr>
        <w:t>.</w:t>
      </w:r>
    </w:p>
    <w:p w:rsidR="00B72496" w:rsidRDefault="00B72496"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B72496" w:rsidRPr="00C17383" w:rsidRDefault="00B72496" w:rsidP="00B72496">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Zadání:</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Zasláno dotčeným útvarům společnosti k připomínkám (FŘ, OIT, OČS, OPS).</w:t>
      </w:r>
    </w:p>
    <w:p w:rsidR="00B72496" w:rsidRDefault="00B72496"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9D37B7" w:rsidRPr="00392A6A" w:rsidRDefault="009D37B7" w:rsidP="009D37B7">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sidRPr="00392A6A">
        <w:rPr>
          <w:rStyle w:val="Hypertextovodkaz"/>
          <w:rFonts w:ascii="Tahoma" w:eastAsia="Times New Roman" w:hAnsi="Tahoma" w:cs="Tahoma"/>
          <w:b/>
          <w:bCs/>
          <w:color w:val="000000" w:themeColor="text1"/>
          <w:kern w:val="36"/>
          <w:sz w:val="24"/>
          <w:szCs w:val="20"/>
          <w:u w:val="none"/>
          <w:lang w:eastAsia="cs-CZ"/>
        </w:rPr>
        <w:t>Oddlužení</w:t>
      </w:r>
    </w:p>
    <w:p w:rsid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Dne 17. 1. 2018 vláda schválila návrh novely insolvenčního zákona.</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Cílem návrhu je řešení excesivního zadlužení fyzických osob ústící do tzv. dluhové pasti – stavu, v němž se pohledávky staly fakticky nesplatitelnými, neboť jejich celková výše (včetně příslušenství) roste rychleji, než jak ji dlužníci jsou (nebo by byli) schopni uspokojovat ze svého majetku a svých příjmů.</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Navrhuje se proto zpřístupnění institutu oddlužení pro širší okruh dlužníků. Podmínkou oddlužení již nebude splacení minimálního podílu přihlášených pohledávek nezajištěných věřitelů (30 %) v období pěti let.</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Oddlužení plněním splátkového kalendáře se zpeněžením majetkové podstaty bude splněno, jestliže</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Default="00640821" w:rsidP="00640821">
      <w:pPr>
        <w:pStyle w:val="Bezmezer"/>
        <w:numPr>
          <w:ilvl w:val="0"/>
          <w:numId w:val="47"/>
        </w:numP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dlužník splatil nezajištěným věřitelům jejich pohledávky v plné výši,</w:t>
      </w:r>
    </w:p>
    <w:p w:rsidR="00640821" w:rsidRDefault="00640821" w:rsidP="00640821">
      <w:pPr>
        <w:pStyle w:val="Bezmezer"/>
        <w:numPr>
          <w:ilvl w:val="0"/>
          <w:numId w:val="47"/>
        </w:numP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dlužník v době 3 let od schválení oddlužení splatil nezajištěným věřitelům alespoň 50 % jejich pohledávek,</w:t>
      </w:r>
    </w:p>
    <w:p w:rsidR="00640821" w:rsidRDefault="00640821" w:rsidP="00640821">
      <w:pPr>
        <w:pStyle w:val="Bezmezer"/>
        <w:numPr>
          <w:ilvl w:val="0"/>
          <w:numId w:val="47"/>
        </w:numP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dlužník v době 5 let od schválení oddlužení splatil nezajištěným věřitelům alespoň 30 % jejich pohledávek nebo</w:t>
      </w:r>
    </w:p>
    <w:p w:rsidR="00640821" w:rsidRPr="00640821" w:rsidRDefault="00640821" w:rsidP="00640821">
      <w:pPr>
        <w:pStyle w:val="Bezmezer"/>
        <w:numPr>
          <w:ilvl w:val="0"/>
          <w:numId w:val="47"/>
        </w:numP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po dobu 7 let od schválení oddlužení nebylo dlužníku oddlužení zrušeno</w:t>
      </w:r>
      <w:r w:rsidRPr="00640821">
        <w:rPr>
          <w:rStyle w:val="Hypertextovodkaz"/>
          <w:rFonts w:ascii="Times New Roman" w:eastAsia="Times New Roman" w:hAnsi="Times New Roman" w:cs="Times New Roman"/>
          <w:bCs/>
          <w:color w:val="000000" w:themeColor="text1"/>
          <w:kern w:val="36"/>
          <w:sz w:val="20"/>
          <w:szCs w:val="20"/>
          <w:u w:val="none"/>
          <w:lang w:eastAsia="cs-CZ"/>
        </w:rPr>
        <w:t>․</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 xml:space="preserve"> </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Na druhou stranu návrh rozšiřuje důvody, pro které insolvenční soud zamítne návrh na povolení oddlužení.</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Dlužník nebude povinen vydat ke zpeněžení své obydlí, ledaže ze zprávy pro oddlužení vyplývá, že jeho hodnota přesahuje hodnotu určenou podle prováděcího právního předpisu násobkem částky na zajištění obydlí v dlužníkově bydlišti.</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Je-li způsobem oddlužení plnění splátkového kalendáře se zpeněžením majetkové podstaty, bude moci insolvenční soud na návrh insolvenčního správce za účelem předcházení budoucímu úpadku uložit dlužníku povinnost využít v rozsahu nejvýše 100 hodin služby odborného sociálního poradenství poskytované registrovaným poskytovatelem sociálních služeb.</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Je-li způsobem řešení úpadku dlužníka oddlužení plněním splátkového kalendáře se zpeněžením majetkové podstaty, bude insolvenční správce předkládat věřitelskému orgánu a insolvenčnímu soudu nejméně jednou za rok písemnou zprávu o plnění povinností dlužníka v insolvenčním řízení. V této zprávě insolvenční správce uvede, zda doporučuje zrušit schválené oddlužení a z jakých důvodů.</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Insolvenční soud bude moci po schválení oddlužení plněním splátkového kalendáře se zpeněžením majetkové podstaty rozhodnout o přerušení průběhu oddlužení až na jeden rok.</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12770"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w:t>
      </w:r>
      <w:r w:rsidR="00640821" w:rsidRPr="00640821">
        <w:rPr>
          <w:rStyle w:val="Hypertextovodkaz"/>
          <w:rFonts w:ascii="Tahoma" w:eastAsia="Times New Roman" w:hAnsi="Tahoma" w:cs="Tahoma"/>
          <w:bCs/>
          <w:color w:val="000000" w:themeColor="text1"/>
          <w:kern w:val="36"/>
          <w:sz w:val="20"/>
          <w:szCs w:val="20"/>
          <w:u w:val="none"/>
          <w:lang w:eastAsia="cs-CZ"/>
        </w:rPr>
        <w:t>ýtěžek zpeněžení majetku náležejícího do společného jmění manželů se bude vypořádávat přiměřeně podle pravidel pro vypořádání společného jmění manželů.</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K návrhu na povolení oddlužení bude muset dlužník připojit též čestné prohlášení, že byl při sepisu insolvenčního návrhu poučen o svých povinnostech v insolvenčním řízení, že v oddlužení bude řádně platit pohledávky svých věřitelů, že vynaloží veškeré úsilí, které po něm lze spravedlivě požadovat, k jejich plnému uspokojení, že bude plnit všechny povinnosti vyplývající z insolvenčního zákona a z rozhodnutí o schválení oddlužení a že bude přiznávat veškeré své příjmy v plné výši.</w:t>
      </w:r>
    </w:p>
    <w:p w:rsidR="00640821" w:rsidRPr="00640821" w:rsidRDefault="00640821" w:rsidP="00640821">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Default="00640821" w:rsidP="0064082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640821">
        <w:rPr>
          <w:rStyle w:val="Hypertextovodkaz"/>
          <w:rFonts w:ascii="Tahoma" w:eastAsia="Times New Roman" w:hAnsi="Tahoma" w:cs="Tahoma"/>
          <w:bCs/>
          <w:color w:val="000000" w:themeColor="text1"/>
          <w:kern w:val="36"/>
          <w:sz w:val="20"/>
          <w:szCs w:val="20"/>
          <w:u w:val="none"/>
          <w:lang w:eastAsia="cs-CZ"/>
        </w:rPr>
        <w:t>Projednávání identického návrhu v minulém volebním období nebylo dokončeno.</w:t>
      </w:r>
    </w:p>
    <w:p w:rsidR="00392A6A" w:rsidRDefault="00392A6A" w:rsidP="00037E81">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28797B"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t>Aktuální informace a podněty k vydané legislativě</w:t>
      </w:r>
    </w:p>
    <w:p w:rsidR="0000079D" w:rsidRPr="0000079D" w:rsidRDefault="0000079D" w:rsidP="0000079D">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p>
    <w:p w:rsidR="004D65E5" w:rsidRDefault="00392A6A" w:rsidP="00392A6A">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392A6A">
        <w:rPr>
          <w:rStyle w:val="Hypertextovodkaz"/>
          <w:rFonts w:ascii="Tahoma" w:eastAsia="Times New Roman" w:hAnsi="Tahoma" w:cs="Tahoma"/>
          <w:b/>
          <w:bCs/>
          <w:color w:val="000000" w:themeColor="text1"/>
          <w:kern w:val="36"/>
          <w:sz w:val="24"/>
          <w:u w:val="none"/>
          <w:lang w:eastAsia="cs-CZ"/>
        </w:rPr>
        <w:t>Členství zaměstnanců v dozorčí radě</w:t>
      </w:r>
    </w:p>
    <w:p w:rsidR="00FF7CD0" w:rsidRDefault="00FF7CD0" w:rsidP="004D65E5">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C17383" w:rsidRPr="00C17383" w:rsidRDefault="00C17383" w:rsidP="00C1738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C17383">
        <w:rPr>
          <w:rStyle w:val="Hypertextovodkaz"/>
          <w:rFonts w:ascii="Tahoma" w:eastAsia="Times New Roman" w:hAnsi="Tahoma" w:cs="Tahoma"/>
          <w:bCs/>
          <w:color w:val="000000" w:themeColor="text1"/>
          <w:kern w:val="36"/>
          <w:sz w:val="20"/>
          <w:szCs w:val="20"/>
          <w:u w:val="none"/>
          <w:lang w:eastAsia="cs-CZ"/>
        </w:rPr>
        <w:t>Zákonem č. 458/2016 Sb. (dále jen „Zákon“) byla s účinností k 14. 1. 2017 opětovně zavedena povinná účast zaměstnanců v dozorčí radě akciové společnosti (</w:t>
      </w:r>
      <w:proofErr w:type="spellStart"/>
      <w:r w:rsidRPr="00C17383">
        <w:rPr>
          <w:rStyle w:val="Hypertextovodkaz"/>
          <w:rFonts w:ascii="Tahoma" w:eastAsia="Times New Roman" w:hAnsi="Tahoma" w:cs="Tahoma"/>
          <w:bCs/>
          <w:color w:val="000000" w:themeColor="text1"/>
          <w:kern w:val="36"/>
          <w:sz w:val="20"/>
          <w:szCs w:val="20"/>
          <w:u w:val="none"/>
          <w:lang w:eastAsia="cs-CZ"/>
        </w:rPr>
        <w:t>kodeterminace</w:t>
      </w:r>
      <w:proofErr w:type="spellEnd"/>
      <w:r w:rsidRPr="00C17383">
        <w:rPr>
          <w:rStyle w:val="Hypertextovodkaz"/>
          <w:rFonts w:ascii="Tahoma" w:eastAsia="Times New Roman" w:hAnsi="Tahoma" w:cs="Tahoma"/>
          <w:bCs/>
          <w:color w:val="000000" w:themeColor="text1"/>
          <w:kern w:val="36"/>
          <w:sz w:val="20"/>
          <w:szCs w:val="20"/>
          <w:u w:val="none"/>
          <w:lang w:eastAsia="cs-CZ"/>
        </w:rPr>
        <w:t xml:space="preserve">). </w:t>
      </w:r>
      <w:proofErr w:type="spellStart"/>
      <w:r w:rsidRPr="00C17383">
        <w:rPr>
          <w:rStyle w:val="Hypertextovodkaz"/>
          <w:rFonts w:ascii="Tahoma" w:eastAsia="Times New Roman" w:hAnsi="Tahoma" w:cs="Tahoma"/>
          <w:bCs/>
          <w:color w:val="000000" w:themeColor="text1"/>
          <w:kern w:val="36"/>
          <w:sz w:val="20"/>
          <w:szCs w:val="20"/>
          <w:u w:val="none"/>
          <w:lang w:eastAsia="cs-CZ"/>
        </w:rPr>
        <w:t>Kodeterminace</w:t>
      </w:r>
      <w:proofErr w:type="spellEnd"/>
      <w:r w:rsidRPr="00C17383">
        <w:rPr>
          <w:rStyle w:val="Hypertextovodkaz"/>
          <w:rFonts w:ascii="Tahoma" w:eastAsia="Times New Roman" w:hAnsi="Tahoma" w:cs="Tahoma"/>
          <w:bCs/>
          <w:color w:val="000000" w:themeColor="text1"/>
          <w:kern w:val="36"/>
          <w:sz w:val="20"/>
          <w:szCs w:val="20"/>
          <w:u w:val="none"/>
          <w:lang w:eastAsia="cs-CZ"/>
        </w:rPr>
        <w:t xml:space="preserve"> dopadá na akciové společnosti s více než 500 zaměstnanci v pracovním poměru.  </w:t>
      </w:r>
    </w:p>
    <w:p w:rsidR="00C17383" w:rsidRPr="00C17383" w:rsidRDefault="00C17383" w:rsidP="00C1738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C17383">
        <w:rPr>
          <w:rStyle w:val="Hypertextovodkaz"/>
          <w:rFonts w:ascii="Tahoma" w:eastAsia="Times New Roman" w:hAnsi="Tahoma" w:cs="Tahoma"/>
          <w:bCs/>
          <w:color w:val="000000" w:themeColor="text1"/>
          <w:kern w:val="36"/>
          <w:sz w:val="20"/>
          <w:szCs w:val="20"/>
          <w:u w:val="none"/>
          <w:lang w:eastAsia="cs-CZ"/>
        </w:rPr>
        <w:t xml:space="preserve">Zákon stanoví způsob určení počtu členů dozorčí rady, který musí být dělitelný třemi a jednu třetinu z těchto členů volí (a také odvolávají) zaměstnanci (na základě úpravy ve stanovách i více jak jednu třetinu, ne však více než je členů volených valnou hromadou).       </w:t>
      </w:r>
    </w:p>
    <w:p w:rsidR="00C17383" w:rsidRPr="00C17383" w:rsidRDefault="00C17383" w:rsidP="00C1738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C17383">
        <w:rPr>
          <w:rStyle w:val="Hypertextovodkaz"/>
          <w:rFonts w:ascii="Tahoma" w:eastAsia="Times New Roman" w:hAnsi="Tahoma" w:cs="Tahoma"/>
          <w:bCs/>
          <w:color w:val="000000" w:themeColor="text1"/>
          <w:kern w:val="36"/>
          <w:sz w:val="20"/>
          <w:szCs w:val="20"/>
          <w:u w:val="none"/>
          <w:lang w:eastAsia="cs-CZ"/>
        </w:rPr>
        <w:lastRenderedPageBreak/>
        <w:t>Právo volit mají zaměstnanci v pracovním poměru (není vázáno na rozsah pracovní doby). Právo být volen není zákonem nijak omezeno (omezení, které nevybočuje z obecných standardů, bude možné provést stanovami).</w:t>
      </w:r>
    </w:p>
    <w:p w:rsidR="00C17383" w:rsidRPr="00C17383" w:rsidRDefault="00C17383" w:rsidP="00C1738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C17383">
        <w:rPr>
          <w:rStyle w:val="Hypertextovodkaz"/>
          <w:rFonts w:ascii="Tahoma" w:eastAsia="Times New Roman" w:hAnsi="Tahoma" w:cs="Tahoma"/>
          <w:bCs/>
          <w:color w:val="000000" w:themeColor="text1"/>
          <w:kern w:val="36"/>
          <w:sz w:val="20"/>
          <w:szCs w:val="20"/>
          <w:u w:val="none"/>
          <w:lang w:eastAsia="cs-CZ"/>
        </w:rPr>
        <w:t xml:space="preserve">Zákon nestanoví žádná pravidla pro volby a je tak na společnostech, aby zakotvily ve stanovách či případně vnitřním předpisem (např. volební řád) podrobnější pravidla pro organizaci a průběh voleb a odvolání.       </w:t>
      </w:r>
    </w:p>
    <w:p w:rsidR="00C17383" w:rsidRPr="00C17383" w:rsidRDefault="00C17383" w:rsidP="00C1738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C17383">
        <w:rPr>
          <w:rStyle w:val="Hypertextovodkaz"/>
          <w:rFonts w:ascii="Tahoma" w:eastAsia="Times New Roman" w:hAnsi="Tahoma" w:cs="Tahoma"/>
          <w:bCs/>
          <w:color w:val="000000" w:themeColor="text1"/>
          <w:kern w:val="36"/>
          <w:sz w:val="20"/>
          <w:szCs w:val="20"/>
          <w:u w:val="none"/>
          <w:lang w:eastAsia="cs-CZ"/>
        </w:rPr>
        <w:t xml:space="preserve">Přechodná ustanovení Zákona ukládají společnosti s více než 500 zaměstnanci v pracovním poměru uvést ujednání stanov a složení dozorčí rady do souladu se Zákonem do 2 let ode dne nabytí účinnosti Zákona.  Lhůta uplyne dne 14. 1. 2019. Společnost ČEPRO, a.s. ke dni nabytí účinnosti Zákona naplňuje podmínku uvedenou výše a stejně tak se předpokládá naplnění této podmínky ke dni uplynutí lhůty uvedené v tomto odstavci. </w:t>
      </w:r>
    </w:p>
    <w:p w:rsidR="00C17383" w:rsidRPr="00C17383" w:rsidRDefault="00C17383" w:rsidP="00C1738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C17383">
        <w:rPr>
          <w:rStyle w:val="Hypertextovodkaz"/>
          <w:rFonts w:ascii="Tahoma" w:eastAsia="Times New Roman" w:hAnsi="Tahoma" w:cs="Tahoma"/>
          <w:bCs/>
          <w:color w:val="000000" w:themeColor="text1"/>
          <w:kern w:val="36"/>
          <w:sz w:val="20"/>
          <w:szCs w:val="20"/>
          <w:u w:val="none"/>
          <w:lang w:eastAsia="cs-CZ"/>
        </w:rPr>
        <w:t xml:space="preserve"> </w:t>
      </w:r>
    </w:p>
    <w:p w:rsidR="00392A6A" w:rsidRPr="00C17383" w:rsidRDefault="00C17383" w:rsidP="00C17383">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C17383">
        <w:rPr>
          <w:rStyle w:val="Hypertextovodkaz"/>
          <w:rFonts w:ascii="Tahoma" w:eastAsia="Times New Roman" w:hAnsi="Tahoma" w:cs="Tahoma"/>
          <w:b/>
          <w:bCs/>
          <w:i/>
          <w:color w:val="000000" w:themeColor="text1"/>
          <w:kern w:val="36"/>
          <w:sz w:val="20"/>
          <w:szCs w:val="20"/>
          <w:u w:val="none"/>
          <w:lang w:eastAsia="cs-CZ"/>
        </w:rPr>
        <w:t xml:space="preserve">Zadání pro </w:t>
      </w:r>
      <w:proofErr w:type="gramStart"/>
      <w:r w:rsidRPr="00C17383">
        <w:rPr>
          <w:rStyle w:val="Hypertextovodkaz"/>
          <w:rFonts w:ascii="Tahoma" w:eastAsia="Times New Roman" w:hAnsi="Tahoma" w:cs="Tahoma"/>
          <w:b/>
          <w:bCs/>
          <w:i/>
          <w:color w:val="000000" w:themeColor="text1"/>
          <w:kern w:val="36"/>
          <w:sz w:val="20"/>
          <w:szCs w:val="20"/>
          <w:u w:val="none"/>
          <w:lang w:eastAsia="cs-CZ"/>
        </w:rPr>
        <w:t>OPS</w:t>
      </w:r>
      <w:proofErr w:type="gramEnd"/>
      <w:r w:rsidRPr="00C17383">
        <w:rPr>
          <w:rStyle w:val="Hypertextovodkaz"/>
          <w:rFonts w:ascii="Tahoma" w:eastAsia="Times New Roman" w:hAnsi="Tahoma" w:cs="Tahoma"/>
          <w:b/>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Zajištění změny stanov a přípravy vnitřní legislativy upravující organizaci a průběh volebního procesu.</w:t>
      </w:r>
    </w:p>
    <w:p w:rsidR="00C17383" w:rsidRDefault="00C17383" w:rsidP="00C17383">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t>Aktuální judikatura a stanoviska</w:t>
      </w:r>
    </w:p>
    <w:p w:rsidR="00CB0FB3" w:rsidRDefault="00CB0FB3" w:rsidP="00CB0FB3">
      <w:pPr>
        <w:pStyle w:val="Bezmezer"/>
        <w:spacing w:line="360" w:lineRule="auto"/>
        <w:jc w:val="both"/>
        <w:rPr>
          <w:rFonts w:ascii="Tahoma" w:hAnsi="Tahoma" w:cs="Tahoma"/>
          <w:color w:val="000000" w:themeColor="text1"/>
          <w:sz w:val="20"/>
          <w:szCs w:val="20"/>
        </w:rPr>
      </w:pPr>
    </w:p>
    <w:p w:rsidR="00CB0FB3" w:rsidRPr="00CB0FB3" w:rsidRDefault="00CB0FB3" w:rsidP="00CB0FB3">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B0FB3">
        <w:rPr>
          <w:rStyle w:val="Hypertextovodkaz"/>
          <w:rFonts w:ascii="Tahoma" w:eastAsia="Times New Roman" w:hAnsi="Tahoma" w:cs="Tahoma"/>
          <w:b/>
          <w:bCs/>
          <w:color w:val="000000" w:themeColor="text1"/>
          <w:kern w:val="36"/>
          <w:sz w:val="24"/>
          <w:szCs w:val="24"/>
          <w:u w:val="none"/>
          <w:lang w:eastAsia="cs-CZ"/>
        </w:rPr>
        <w:t>Lhůty pro okamžité zrušení pracovního poměru</w:t>
      </w:r>
    </w:p>
    <w:p w:rsidR="00392A6A" w:rsidRDefault="00CB0FB3"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21 Cdo 3346/2017</w:t>
      </w:r>
    </w:p>
    <w:p w:rsidR="00A90421" w:rsidRDefault="00A90421"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A90421" w:rsidRDefault="00A90421" w:rsidP="00A9042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Zákoník práce v § 58 odst. 1 stanoví, že zaměstnavatel může se zaměstnancem rozvázat pracovní poměr pro porušení právních předpisů vztahujících se k jím vykonávané práci zvlášť hrubým způsobem ve lhůtě 2 měsíců ode dne, kdy se o důvodu k rozvázání pracovního poměru zaměstnavatel dozvěděl. Stane-li se v průběhu těchto 2 měsíců jednání zaměstnance předmětem šetření jiného orgánu, je možné dát výpověď nebo s ním okamžitě zrušit pracovní poměr do 2 měsíců ode dne, kdy se zaměstnavatel dozvěděl o výsledku tohoto šetření.</w:t>
      </w:r>
    </w:p>
    <w:p w:rsidR="00A90421" w:rsidRDefault="00A90421" w:rsidP="00A9042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A90421" w:rsidRPr="00937F20" w:rsidRDefault="00A90421" w:rsidP="00A90421">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v aktuálním judikátu vyložil, jaký okamžik lze považovat za zahájení šetření jiného orgánu. Takové šetření se v případě policejního orgánu zahajuje až </w:t>
      </w:r>
      <w:r>
        <w:rPr>
          <w:rStyle w:val="Hypertextovodkaz"/>
          <w:rFonts w:ascii="Tahoma" w:eastAsia="Times New Roman" w:hAnsi="Tahoma" w:cs="Tahoma"/>
          <w:b/>
          <w:bCs/>
          <w:color w:val="000000" w:themeColor="text1"/>
          <w:kern w:val="36"/>
          <w:sz w:val="20"/>
          <w:szCs w:val="20"/>
          <w:u w:val="none"/>
          <w:lang w:eastAsia="cs-CZ"/>
        </w:rPr>
        <w:t xml:space="preserve">sepsáním záznamu o zahájení úkonů trestního řízení dle § </w:t>
      </w:r>
      <w:r w:rsidR="00937F20">
        <w:rPr>
          <w:rStyle w:val="Hypertextovodkaz"/>
          <w:rFonts w:ascii="Tahoma" w:eastAsia="Times New Roman" w:hAnsi="Tahoma" w:cs="Tahoma"/>
          <w:b/>
          <w:bCs/>
          <w:color w:val="000000" w:themeColor="text1"/>
          <w:kern w:val="36"/>
          <w:sz w:val="20"/>
          <w:szCs w:val="20"/>
          <w:u w:val="none"/>
          <w:lang w:eastAsia="cs-CZ"/>
        </w:rPr>
        <w:t>158 odst. 3 trestního řádu</w:t>
      </w:r>
      <w:r w:rsidR="00937F20">
        <w:rPr>
          <w:rStyle w:val="Hypertextovodkaz"/>
          <w:rFonts w:ascii="Tahoma" w:eastAsia="Times New Roman" w:hAnsi="Tahoma" w:cs="Tahoma"/>
          <w:bCs/>
          <w:color w:val="000000" w:themeColor="text1"/>
          <w:kern w:val="36"/>
          <w:sz w:val="20"/>
          <w:szCs w:val="20"/>
          <w:u w:val="none"/>
          <w:lang w:eastAsia="cs-CZ"/>
        </w:rPr>
        <w:t xml:space="preserve"> (nikoliv podáním trestního oznámení). Proto pokud policejní orgán sepsal takový záznam až po lhůtě 2 měsíců dle § 58 odst. 1 zákoníku práce, následující šetření nemůže nic změnit na tom, že tato lhůta již zaměstnavateli uplynula.</w:t>
      </w:r>
    </w:p>
    <w:p w:rsidR="00CB0FB3" w:rsidRDefault="00CB0FB3" w:rsidP="00957E6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CB0FB3" w:rsidRPr="00CB0FB3" w:rsidRDefault="005226BE" w:rsidP="00CB0FB3">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Náhrada nákladů na mzdu jako škoda</w:t>
      </w:r>
    </w:p>
    <w:p w:rsidR="00CB0FB3" w:rsidRDefault="00CB0FB3"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w:t>
      </w:r>
      <w:r w:rsidR="00957E6D">
        <w:rPr>
          <w:rStyle w:val="Hypertextovodkaz"/>
          <w:rFonts w:ascii="Tahoma" w:eastAsia="Times New Roman" w:hAnsi="Tahoma" w:cs="Tahoma"/>
          <w:bCs/>
          <w:color w:val="000000" w:themeColor="text1"/>
          <w:kern w:val="36"/>
          <w:sz w:val="20"/>
          <w:szCs w:val="20"/>
          <w:u w:val="none"/>
          <w:lang w:eastAsia="cs-CZ"/>
        </w:rPr>
        <w:t>21 Cdo 3268/2016</w:t>
      </w:r>
    </w:p>
    <w:p w:rsidR="00957E6D" w:rsidRDefault="00957E6D"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5226BE" w:rsidRPr="005226BE" w:rsidRDefault="005226BE" w:rsidP="005226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226BE">
        <w:rPr>
          <w:rStyle w:val="Hypertextovodkaz"/>
          <w:rFonts w:ascii="Tahoma" w:eastAsia="Times New Roman" w:hAnsi="Tahoma" w:cs="Tahoma"/>
          <w:bCs/>
          <w:color w:val="000000" w:themeColor="text1"/>
          <w:kern w:val="36"/>
          <w:sz w:val="20"/>
          <w:szCs w:val="20"/>
          <w:u w:val="none"/>
          <w:lang w:eastAsia="cs-CZ"/>
        </w:rPr>
        <w:t xml:space="preserve">Nejvyšší soud se ve svém </w:t>
      </w:r>
      <w:r>
        <w:rPr>
          <w:rStyle w:val="Hypertextovodkaz"/>
          <w:rFonts w:ascii="Tahoma" w:eastAsia="Times New Roman" w:hAnsi="Tahoma" w:cs="Tahoma"/>
          <w:bCs/>
          <w:color w:val="000000" w:themeColor="text1"/>
          <w:kern w:val="36"/>
          <w:sz w:val="20"/>
          <w:szCs w:val="20"/>
          <w:u w:val="none"/>
          <w:lang w:eastAsia="cs-CZ"/>
        </w:rPr>
        <w:t>r</w:t>
      </w:r>
      <w:r w:rsidRPr="005226BE">
        <w:rPr>
          <w:rStyle w:val="Hypertextovodkaz"/>
          <w:rFonts w:ascii="Tahoma" w:eastAsia="Times New Roman" w:hAnsi="Tahoma" w:cs="Tahoma"/>
          <w:bCs/>
          <w:color w:val="000000" w:themeColor="text1"/>
          <w:kern w:val="36"/>
          <w:sz w:val="20"/>
          <w:szCs w:val="20"/>
          <w:u w:val="none"/>
          <w:lang w:eastAsia="cs-CZ"/>
        </w:rPr>
        <w:t xml:space="preserve">ozsudku zabýval tím, zda je možné do škody zahrnout i náklady na mzdu jiných zaměstnanců, kteří se na odstranění následků škodní události podíleli. Nejvyšší soud uzavřel, že </w:t>
      </w:r>
      <w:r w:rsidRPr="005226BE">
        <w:rPr>
          <w:rStyle w:val="Hypertextovodkaz"/>
          <w:rFonts w:ascii="Tahoma" w:eastAsia="Times New Roman" w:hAnsi="Tahoma" w:cs="Tahoma"/>
          <w:bCs/>
          <w:color w:val="000000" w:themeColor="text1"/>
          <w:kern w:val="36"/>
          <w:sz w:val="20"/>
          <w:szCs w:val="20"/>
          <w:u w:val="none"/>
          <w:lang w:eastAsia="cs-CZ"/>
        </w:rPr>
        <w:lastRenderedPageBreak/>
        <w:t>náklady na mzdu zaměstnanců poškozeného zaměstnavatele, kteří pracovali na odstranění následků způsobených škodní události, nelze bez dalšího považovat za škodu, která vznikla v příčinné souvislosti se zaviněným porušením pracovních povinností zaměstnance. Takovou škodu lze spatřovat jen v těch nákladech na mzdu zaměstnanců poškozeného zaměstnavatele, které by jinak – nebýt škodné události – nevznikly, resp. nebyly by vynaloženy.</w:t>
      </w:r>
    </w:p>
    <w:p w:rsidR="005226BE" w:rsidRPr="005226BE" w:rsidRDefault="005226BE" w:rsidP="005226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226BE" w:rsidRPr="005226BE" w:rsidRDefault="005226BE" w:rsidP="005226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226BE">
        <w:rPr>
          <w:rStyle w:val="Hypertextovodkaz"/>
          <w:rFonts w:ascii="Tahoma" w:eastAsia="Times New Roman" w:hAnsi="Tahoma" w:cs="Tahoma"/>
          <w:bCs/>
          <w:color w:val="000000" w:themeColor="text1"/>
          <w:kern w:val="36"/>
          <w:sz w:val="20"/>
          <w:szCs w:val="20"/>
          <w:u w:val="none"/>
          <w:lang w:eastAsia="cs-CZ"/>
        </w:rPr>
        <w:t>Může se tedy jednat o náklady na mzdu zaměstnance, se kterým by poškozený zaměstnavatel uzavřel pracovní smlouvu nebo dohodu o pracích konaných mimo pracovní poměr jen na provedení prací směřujících k odstranění následků způsobených škodní událostí, příp. náklady na část mzdy zaměstnanců, které by – pokud by tito zaměstnanci nepracovali na odstranění následků škodní události, nevznikly, jako např. vyplacení mzdy za práci přesčas, práci ve svátek, noční práci, příp. mimořádné odměny poskytnuté za zvýšené pracovní úsilí.</w:t>
      </w:r>
    </w:p>
    <w:p w:rsidR="005226BE" w:rsidRPr="005226BE" w:rsidRDefault="005226BE" w:rsidP="005226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226BE" w:rsidRDefault="005226BE" w:rsidP="005226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sidRPr="005226BE">
        <w:rPr>
          <w:rStyle w:val="Hypertextovodkaz"/>
          <w:rFonts w:ascii="Tahoma" w:eastAsia="Times New Roman" w:hAnsi="Tahoma" w:cs="Tahoma"/>
          <w:bCs/>
          <w:color w:val="000000" w:themeColor="text1"/>
          <w:kern w:val="36"/>
          <w:sz w:val="20"/>
          <w:szCs w:val="20"/>
          <w:u w:val="none"/>
          <w:lang w:eastAsia="cs-CZ"/>
        </w:rPr>
        <w:t xml:space="preserve">Z výše uvedeného tak vyplývá, že pokud se nebude jednat o úmysl, kdy by se hradil i ušlý zisk, bude pro zaměstnavatele u nižších škod (tj. u těch, které se vejdou do limitu </w:t>
      </w:r>
      <w:proofErr w:type="spellStart"/>
      <w:r w:rsidRPr="005226BE">
        <w:rPr>
          <w:rStyle w:val="Hypertextovodkaz"/>
          <w:rFonts w:ascii="Tahoma" w:eastAsia="Times New Roman" w:hAnsi="Tahoma" w:cs="Tahoma"/>
          <w:bCs/>
          <w:color w:val="000000" w:themeColor="text1"/>
          <w:kern w:val="36"/>
          <w:sz w:val="20"/>
          <w:szCs w:val="20"/>
          <w:u w:val="none"/>
          <w:lang w:eastAsia="cs-CZ"/>
        </w:rPr>
        <w:t>čtyřapůlnásobku</w:t>
      </w:r>
      <w:proofErr w:type="spellEnd"/>
      <w:r w:rsidRPr="005226BE">
        <w:rPr>
          <w:rStyle w:val="Hypertextovodkaz"/>
          <w:rFonts w:ascii="Tahoma" w:eastAsia="Times New Roman" w:hAnsi="Tahoma" w:cs="Tahoma"/>
          <w:bCs/>
          <w:color w:val="000000" w:themeColor="text1"/>
          <w:kern w:val="36"/>
          <w:sz w:val="20"/>
          <w:szCs w:val="20"/>
          <w:u w:val="none"/>
          <w:lang w:eastAsia="cs-CZ"/>
        </w:rPr>
        <w:t xml:space="preserve"> průměrného měsíčního výdělku daného zaměstnance) výhodnější využít k odstranění, příp. i prošetření škodní události externí dodavatele (příp. výše popsané vlastní zaměstnance, se kterými poškozený zaměstnavatel uzavřel pracovní smlouvy či dohody o pracích konaných mimo pracovní poměr právě na odstranění </w:t>
      </w:r>
      <w:proofErr w:type="spellStart"/>
      <w:r w:rsidRPr="005226BE">
        <w:rPr>
          <w:rStyle w:val="Hypertextovodkaz"/>
          <w:rFonts w:ascii="Tahoma" w:eastAsia="Times New Roman" w:hAnsi="Tahoma" w:cs="Tahoma"/>
          <w:bCs/>
          <w:color w:val="000000" w:themeColor="text1"/>
          <w:kern w:val="36"/>
          <w:sz w:val="20"/>
          <w:szCs w:val="20"/>
          <w:u w:val="none"/>
          <w:lang w:eastAsia="cs-CZ"/>
        </w:rPr>
        <w:t>škodních</w:t>
      </w:r>
      <w:proofErr w:type="spellEnd"/>
      <w:r w:rsidRPr="005226BE">
        <w:rPr>
          <w:rStyle w:val="Hypertextovodkaz"/>
          <w:rFonts w:ascii="Tahoma" w:eastAsia="Times New Roman" w:hAnsi="Tahoma" w:cs="Tahoma"/>
          <w:bCs/>
          <w:color w:val="000000" w:themeColor="text1"/>
          <w:kern w:val="36"/>
          <w:sz w:val="20"/>
          <w:szCs w:val="20"/>
          <w:u w:val="none"/>
          <w:lang w:eastAsia="cs-CZ"/>
        </w:rPr>
        <w:t xml:space="preserve"> následků či prošetření škodní události), neboť zde se jasně jedná o náklady, které by jinak zaměstnavateli nevznikly, a zaměstnavatel je tak může po zaměstnanci oprávněně požadovat.</w:t>
      </w:r>
    </w:p>
    <w:p w:rsidR="005226BE" w:rsidRDefault="005226BE" w:rsidP="005226B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CB0FB3" w:rsidRDefault="00CB0FB3" w:rsidP="00CB0FB3">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sectPr w:rsidR="00CB0FB3" w:rsidSect="00024EFD">
      <w:footerReference w:type="default" r:id="rId10"/>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68C4" w:rsidRDefault="00D268C4" w:rsidP="004F17ED">
      <w:pPr>
        <w:spacing w:after="0" w:line="240" w:lineRule="auto"/>
      </w:pPr>
      <w:r>
        <w:separator/>
      </w:r>
    </w:p>
  </w:endnote>
  <w:endnote w:type="continuationSeparator" w:id="0">
    <w:p w:rsidR="00D268C4" w:rsidRDefault="00D268C4"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Georgia">
    <w:panose1 w:val="02040502050405020303"/>
    <w:charset w:val="EE"/>
    <w:family w:val="roman"/>
    <w:pitch w:val="variable"/>
    <w:sig w:usb0="00000287" w:usb1="00000000" w:usb2="00000000" w:usb3="00000000" w:csb0="0000009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D268C4" w:rsidRDefault="00D268C4">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BA30F2">
              <w:rPr>
                <w:rFonts w:ascii="Tahoma" w:hAnsi="Tahoma" w:cs="Tahoma"/>
                <w:b/>
                <w:bCs/>
                <w:noProof/>
                <w:sz w:val="16"/>
                <w:szCs w:val="16"/>
              </w:rPr>
              <w:t>6</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BA30F2">
              <w:rPr>
                <w:rFonts w:ascii="Tahoma" w:hAnsi="Tahoma" w:cs="Tahoma"/>
                <w:b/>
                <w:bCs/>
                <w:noProof/>
                <w:sz w:val="16"/>
                <w:szCs w:val="16"/>
              </w:rPr>
              <w:t>6</w:t>
            </w:r>
            <w:r w:rsidRPr="00FB7F36">
              <w:rPr>
                <w:rFonts w:ascii="Tahoma" w:hAnsi="Tahoma" w:cs="Tahoma"/>
                <w:b/>
                <w:bCs/>
                <w:sz w:val="16"/>
                <w:szCs w:val="16"/>
              </w:rPr>
              <w:fldChar w:fldCharType="end"/>
            </w:r>
          </w:p>
        </w:sdtContent>
      </w:sdt>
    </w:sdtContent>
  </w:sdt>
  <w:p w:rsidR="00D268C4" w:rsidRDefault="00D268C4">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68C4" w:rsidRDefault="00D268C4" w:rsidP="004F17ED">
      <w:pPr>
        <w:spacing w:after="0" w:line="240" w:lineRule="auto"/>
      </w:pPr>
      <w:r>
        <w:separator/>
      </w:r>
    </w:p>
  </w:footnote>
  <w:footnote w:type="continuationSeparator" w:id="0">
    <w:p w:rsidR="00D268C4" w:rsidRDefault="00D268C4"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302CC4"/>
    <w:multiLevelType w:val="hybridMultilevel"/>
    <w:tmpl w:val="24F0665E"/>
    <w:lvl w:ilvl="0" w:tplc="0405000F">
      <w:start w:val="1"/>
      <w:numFmt w:val="decimal"/>
      <w:lvlText w:val="%1."/>
      <w:lvlJc w:val="left"/>
      <w:pPr>
        <w:ind w:left="0" w:hanging="360"/>
      </w:pPr>
    </w:lvl>
    <w:lvl w:ilvl="1" w:tplc="04050019" w:tentative="1">
      <w:start w:val="1"/>
      <w:numFmt w:val="lowerLetter"/>
      <w:lvlText w:val="%2."/>
      <w:lvlJc w:val="left"/>
      <w:pPr>
        <w:ind w:left="720" w:hanging="360"/>
      </w:pPr>
    </w:lvl>
    <w:lvl w:ilvl="2" w:tplc="0405001B" w:tentative="1">
      <w:start w:val="1"/>
      <w:numFmt w:val="lowerRoman"/>
      <w:lvlText w:val="%3."/>
      <w:lvlJc w:val="right"/>
      <w:pPr>
        <w:ind w:left="1440" w:hanging="180"/>
      </w:pPr>
    </w:lvl>
    <w:lvl w:ilvl="3" w:tplc="0405000F" w:tentative="1">
      <w:start w:val="1"/>
      <w:numFmt w:val="decimal"/>
      <w:lvlText w:val="%4."/>
      <w:lvlJc w:val="left"/>
      <w:pPr>
        <w:ind w:left="2160" w:hanging="360"/>
      </w:pPr>
    </w:lvl>
    <w:lvl w:ilvl="4" w:tplc="04050019" w:tentative="1">
      <w:start w:val="1"/>
      <w:numFmt w:val="lowerLetter"/>
      <w:lvlText w:val="%5."/>
      <w:lvlJc w:val="left"/>
      <w:pPr>
        <w:ind w:left="2880" w:hanging="360"/>
      </w:pPr>
    </w:lvl>
    <w:lvl w:ilvl="5" w:tplc="0405001B" w:tentative="1">
      <w:start w:val="1"/>
      <w:numFmt w:val="lowerRoman"/>
      <w:lvlText w:val="%6."/>
      <w:lvlJc w:val="right"/>
      <w:pPr>
        <w:ind w:left="3600" w:hanging="180"/>
      </w:pPr>
    </w:lvl>
    <w:lvl w:ilvl="6" w:tplc="0405000F" w:tentative="1">
      <w:start w:val="1"/>
      <w:numFmt w:val="decimal"/>
      <w:lvlText w:val="%7."/>
      <w:lvlJc w:val="left"/>
      <w:pPr>
        <w:ind w:left="4320" w:hanging="360"/>
      </w:pPr>
    </w:lvl>
    <w:lvl w:ilvl="7" w:tplc="04050019" w:tentative="1">
      <w:start w:val="1"/>
      <w:numFmt w:val="lowerLetter"/>
      <w:lvlText w:val="%8."/>
      <w:lvlJc w:val="left"/>
      <w:pPr>
        <w:ind w:left="5040" w:hanging="360"/>
      </w:pPr>
    </w:lvl>
    <w:lvl w:ilvl="8" w:tplc="0405001B" w:tentative="1">
      <w:start w:val="1"/>
      <w:numFmt w:val="lowerRoman"/>
      <w:lvlText w:val="%9."/>
      <w:lvlJc w:val="right"/>
      <w:pPr>
        <w:ind w:left="5760" w:hanging="180"/>
      </w:pPr>
    </w:lvl>
  </w:abstractNum>
  <w:abstractNum w:abstractNumId="1">
    <w:nsid w:val="02911186"/>
    <w:multiLevelType w:val="hybridMultilevel"/>
    <w:tmpl w:val="E40AF8BE"/>
    <w:lvl w:ilvl="0" w:tplc="04050017">
      <w:start w:val="1"/>
      <w:numFmt w:val="lowerLetter"/>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nsid w:val="06080A50"/>
    <w:multiLevelType w:val="hybridMultilevel"/>
    <w:tmpl w:val="810C4C22"/>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8A252EB"/>
    <w:multiLevelType w:val="hybridMultilevel"/>
    <w:tmpl w:val="99DABFD0"/>
    <w:lvl w:ilvl="0" w:tplc="0405000F">
      <w:start w:val="1"/>
      <w:numFmt w:val="decimal"/>
      <w:lvlText w:val="%1."/>
      <w:lvlJc w:val="left"/>
      <w:pPr>
        <w:ind w:left="786" w:hanging="360"/>
      </w:p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4">
    <w:nsid w:val="0CF8442D"/>
    <w:multiLevelType w:val="hybridMultilevel"/>
    <w:tmpl w:val="8DBE259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
    <w:nsid w:val="0F375DF8"/>
    <w:multiLevelType w:val="hybridMultilevel"/>
    <w:tmpl w:val="7EDE70A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10250BE3"/>
    <w:multiLevelType w:val="hybridMultilevel"/>
    <w:tmpl w:val="67E2D55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nsid w:val="1109495E"/>
    <w:multiLevelType w:val="hybridMultilevel"/>
    <w:tmpl w:val="DBAE5B26"/>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nsid w:val="12B904C3"/>
    <w:multiLevelType w:val="hybridMultilevel"/>
    <w:tmpl w:val="9854672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nsid w:val="207725C1"/>
    <w:multiLevelType w:val="hybridMultilevel"/>
    <w:tmpl w:val="50ECDECC"/>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nsid w:val="27331552"/>
    <w:multiLevelType w:val="hybridMultilevel"/>
    <w:tmpl w:val="4476C882"/>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nsid w:val="2FAD2C2C"/>
    <w:multiLevelType w:val="hybridMultilevel"/>
    <w:tmpl w:val="7F1E261A"/>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312A49BE"/>
    <w:multiLevelType w:val="hybridMultilevel"/>
    <w:tmpl w:val="8C7CDC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4">
    <w:nsid w:val="379F1183"/>
    <w:multiLevelType w:val="hybridMultilevel"/>
    <w:tmpl w:val="F2AC58FC"/>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nsid w:val="3DBB605D"/>
    <w:multiLevelType w:val="hybridMultilevel"/>
    <w:tmpl w:val="5722474E"/>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nsid w:val="47CD595F"/>
    <w:multiLevelType w:val="hybridMultilevel"/>
    <w:tmpl w:val="98AED2E8"/>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18">
    <w:nsid w:val="4ACE01BC"/>
    <w:multiLevelType w:val="hybridMultilevel"/>
    <w:tmpl w:val="52EECE26"/>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nsid w:val="4B1074B1"/>
    <w:multiLevelType w:val="hybridMultilevel"/>
    <w:tmpl w:val="E4B69FF4"/>
    <w:lvl w:ilvl="0" w:tplc="B0868674">
      <w:start w:val="1"/>
      <w:numFmt w:val="bullet"/>
      <w:lvlText w:val=""/>
      <w:lvlJc w:val="left"/>
      <w:pPr>
        <w:ind w:left="107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1">
    <w:nsid w:val="513A7741"/>
    <w:multiLevelType w:val="hybridMultilevel"/>
    <w:tmpl w:val="91608C9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52AF3C8E"/>
    <w:multiLevelType w:val="hybridMultilevel"/>
    <w:tmpl w:val="A724B94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nsid w:val="54ED53C6"/>
    <w:multiLevelType w:val="multilevel"/>
    <w:tmpl w:val="5A980940"/>
    <w:lvl w:ilvl="0">
      <w:start w:val="1"/>
      <w:numFmt w:val="bullet"/>
      <w:lvlText w:val=""/>
      <w:lvlJc w:val="left"/>
      <w:pPr>
        <w:tabs>
          <w:tab w:val="num" w:pos="502"/>
        </w:tabs>
        <w:ind w:left="502" w:hanging="360"/>
      </w:pPr>
      <w:rPr>
        <w:rFonts w:ascii="Symbol" w:hAnsi="Symbol" w:hint="default"/>
        <w:sz w:val="20"/>
      </w:rPr>
    </w:lvl>
    <w:lvl w:ilvl="1" w:tentative="1">
      <w:start w:val="1"/>
      <w:numFmt w:val="bullet"/>
      <w:lvlText w:val="o"/>
      <w:lvlJc w:val="left"/>
      <w:pPr>
        <w:tabs>
          <w:tab w:val="num" w:pos="1222"/>
        </w:tabs>
        <w:ind w:left="1222" w:hanging="360"/>
      </w:pPr>
      <w:rPr>
        <w:rFonts w:ascii="Courier New" w:hAnsi="Courier New" w:hint="default"/>
        <w:sz w:val="20"/>
      </w:rPr>
    </w:lvl>
    <w:lvl w:ilvl="2" w:tentative="1">
      <w:start w:val="1"/>
      <w:numFmt w:val="bullet"/>
      <w:lvlText w:val=""/>
      <w:lvlJc w:val="left"/>
      <w:pPr>
        <w:tabs>
          <w:tab w:val="num" w:pos="1942"/>
        </w:tabs>
        <w:ind w:left="1942" w:hanging="360"/>
      </w:pPr>
      <w:rPr>
        <w:rFonts w:ascii="Wingdings" w:hAnsi="Wingdings" w:hint="default"/>
        <w:sz w:val="20"/>
      </w:rPr>
    </w:lvl>
    <w:lvl w:ilvl="3" w:tentative="1">
      <w:start w:val="1"/>
      <w:numFmt w:val="bullet"/>
      <w:lvlText w:val=""/>
      <w:lvlJc w:val="left"/>
      <w:pPr>
        <w:tabs>
          <w:tab w:val="num" w:pos="2662"/>
        </w:tabs>
        <w:ind w:left="2662" w:hanging="360"/>
      </w:pPr>
      <w:rPr>
        <w:rFonts w:ascii="Wingdings" w:hAnsi="Wingdings" w:hint="default"/>
        <w:sz w:val="20"/>
      </w:rPr>
    </w:lvl>
    <w:lvl w:ilvl="4" w:tentative="1">
      <w:start w:val="1"/>
      <w:numFmt w:val="bullet"/>
      <w:lvlText w:val=""/>
      <w:lvlJc w:val="left"/>
      <w:pPr>
        <w:tabs>
          <w:tab w:val="num" w:pos="3382"/>
        </w:tabs>
        <w:ind w:left="3382" w:hanging="360"/>
      </w:pPr>
      <w:rPr>
        <w:rFonts w:ascii="Wingdings" w:hAnsi="Wingdings" w:hint="default"/>
        <w:sz w:val="20"/>
      </w:rPr>
    </w:lvl>
    <w:lvl w:ilvl="5" w:tentative="1">
      <w:start w:val="1"/>
      <w:numFmt w:val="bullet"/>
      <w:lvlText w:val=""/>
      <w:lvlJc w:val="left"/>
      <w:pPr>
        <w:tabs>
          <w:tab w:val="num" w:pos="4102"/>
        </w:tabs>
        <w:ind w:left="4102" w:hanging="360"/>
      </w:pPr>
      <w:rPr>
        <w:rFonts w:ascii="Wingdings" w:hAnsi="Wingdings" w:hint="default"/>
        <w:sz w:val="20"/>
      </w:rPr>
    </w:lvl>
    <w:lvl w:ilvl="6" w:tentative="1">
      <w:start w:val="1"/>
      <w:numFmt w:val="bullet"/>
      <w:lvlText w:val=""/>
      <w:lvlJc w:val="left"/>
      <w:pPr>
        <w:tabs>
          <w:tab w:val="num" w:pos="4822"/>
        </w:tabs>
        <w:ind w:left="4822" w:hanging="360"/>
      </w:pPr>
      <w:rPr>
        <w:rFonts w:ascii="Wingdings" w:hAnsi="Wingdings" w:hint="default"/>
        <w:sz w:val="20"/>
      </w:rPr>
    </w:lvl>
    <w:lvl w:ilvl="7" w:tentative="1">
      <w:start w:val="1"/>
      <w:numFmt w:val="bullet"/>
      <w:lvlText w:val=""/>
      <w:lvlJc w:val="left"/>
      <w:pPr>
        <w:tabs>
          <w:tab w:val="num" w:pos="5542"/>
        </w:tabs>
        <w:ind w:left="5542" w:hanging="360"/>
      </w:pPr>
      <w:rPr>
        <w:rFonts w:ascii="Wingdings" w:hAnsi="Wingdings" w:hint="default"/>
        <w:sz w:val="20"/>
      </w:rPr>
    </w:lvl>
    <w:lvl w:ilvl="8" w:tentative="1">
      <w:start w:val="1"/>
      <w:numFmt w:val="bullet"/>
      <w:lvlText w:val=""/>
      <w:lvlJc w:val="left"/>
      <w:pPr>
        <w:tabs>
          <w:tab w:val="num" w:pos="6262"/>
        </w:tabs>
        <w:ind w:left="6262" w:hanging="360"/>
      </w:pPr>
      <w:rPr>
        <w:rFonts w:ascii="Wingdings" w:hAnsi="Wingdings" w:hint="default"/>
        <w:sz w:val="20"/>
      </w:rPr>
    </w:lvl>
  </w:abstractNum>
  <w:abstractNum w:abstractNumId="24">
    <w:nsid w:val="566A64E4"/>
    <w:multiLevelType w:val="hybridMultilevel"/>
    <w:tmpl w:val="B56C94C4"/>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nsid w:val="5741197D"/>
    <w:multiLevelType w:val="hybridMultilevel"/>
    <w:tmpl w:val="F95A767A"/>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8BA1E27"/>
    <w:multiLevelType w:val="hybridMultilevel"/>
    <w:tmpl w:val="0960F43E"/>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7">
    <w:nsid w:val="5A44246C"/>
    <w:multiLevelType w:val="hybridMultilevel"/>
    <w:tmpl w:val="086C75E8"/>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5AA64F40"/>
    <w:multiLevelType w:val="hybridMultilevel"/>
    <w:tmpl w:val="0464C164"/>
    <w:lvl w:ilvl="0" w:tplc="04050017">
      <w:start w:val="1"/>
      <w:numFmt w:val="lowerLetter"/>
      <w:lvlText w:val="%1)"/>
      <w:lvlJc w:val="left"/>
      <w:pPr>
        <w:ind w:left="1068" w:hanging="360"/>
      </w:p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9">
    <w:nsid w:val="5B2C6A52"/>
    <w:multiLevelType w:val="hybridMultilevel"/>
    <w:tmpl w:val="56FC5AE4"/>
    <w:lvl w:ilvl="0" w:tplc="8E48CE40">
      <w:start w:val="1"/>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5DAB4242"/>
    <w:multiLevelType w:val="hybridMultilevel"/>
    <w:tmpl w:val="4A4011E0"/>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1">
    <w:nsid w:val="5E3319B2"/>
    <w:multiLevelType w:val="hybridMultilevel"/>
    <w:tmpl w:val="01C895C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61CC1F95"/>
    <w:multiLevelType w:val="hybridMultilevel"/>
    <w:tmpl w:val="84CAA2FC"/>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4">
    <w:nsid w:val="6211021E"/>
    <w:multiLevelType w:val="hybridMultilevel"/>
    <w:tmpl w:val="F184059C"/>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5">
    <w:nsid w:val="64990C66"/>
    <w:multiLevelType w:val="hybridMultilevel"/>
    <w:tmpl w:val="932C7590"/>
    <w:lvl w:ilvl="0" w:tplc="8E48CE40">
      <w:start w:val="1"/>
      <w:numFmt w:val="bullet"/>
      <w:lvlText w:val="─"/>
      <w:lvlJc w:val="left"/>
      <w:pPr>
        <w:ind w:left="720" w:hanging="360"/>
      </w:pPr>
      <w:rPr>
        <w:rFonts w:ascii="Georgia" w:eastAsiaTheme="minorHAnsi" w:hAnsi="Georgia" w:cstheme="minorBidi"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nsid w:val="659606F9"/>
    <w:multiLevelType w:val="hybridMultilevel"/>
    <w:tmpl w:val="3B0480FE"/>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7">
    <w:nsid w:val="6936135B"/>
    <w:multiLevelType w:val="hybridMultilevel"/>
    <w:tmpl w:val="824C0508"/>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8">
    <w:nsid w:val="69D96C3D"/>
    <w:multiLevelType w:val="hybridMultilevel"/>
    <w:tmpl w:val="3B00FEA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nsid w:val="6CC50C07"/>
    <w:multiLevelType w:val="hybridMultilevel"/>
    <w:tmpl w:val="337A15A8"/>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0">
    <w:nsid w:val="6D757623"/>
    <w:multiLevelType w:val="hybridMultilevel"/>
    <w:tmpl w:val="BEA8E0EA"/>
    <w:lvl w:ilvl="0" w:tplc="0405000F">
      <w:start w:val="1"/>
      <w:numFmt w:val="decimal"/>
      <w:lvlText w:val="%1."/>
      <w:lvlJc w:val="left"/>
      <w:pPr>
        <w:ind w:left="1776" w:hanging="360"/>
      </w:pPr>
    </w:lvl>
    <w:lvl w:ilvl="1" w:tplc="04050019" w:tentative="1">
      <w:start w:val="1"/>
      <w:numFmt w:val="lowerLetter"/>
      <w:lvlText w:val="%2."/>
      <w:lvlJc w:val="left"/>
      <w:pPr>
        <w:ind w:left="2496" w:hanging="360"/>
      </w:pPr>
    </w:lvl>
    <w:lvl w:ilvl="2" w:tplc="0405001B" w:tentative="1">
      <w:start w:val="1"/>
      <w:numFmt w:val="lowerRoman"/>
      <w:lvlText w:val="%3."/>
      <w:lvlJc w:val="right"/>
      <w:pPr>
        <w:ind w:left="3216" w:hanging="180"/>
      </w:pPr>
    </w:lvl>
    <w:lvl w:ilvl="3" w:tplc="0405000F" w:tentative="1">
      <w:start w:val="1"/>
      <w:numFmt w:val="decimal"/>
      <w:lvlText w:val="%4."/>
      <w:lvlJc w:val="left"/>
      <w:pPr>
        <w:ind w:left="3936" w:hanging="360"/>
      </w:pPr>
    </w:lvl>
    <w:lvl w:ilvl="4" w:tplc="04050019" w:tentative="1">
      <w:start w:val="1"/>
      <w:numFmt w:val="lowerLetter"/>
      <w:lvlText w:val="%5."/>
      <w:lvlJc w:val="left"/>
      <w:pPr>
        <w:ind w:left="4656" w:hanging="360"/>
      </w:pPr>
    </w:lvl>
    <w:lvl w:ilvl="5" w:tplc="0405001B" w:tentative="1">
      <w:start w:val="1"/>
      <w:numFmt w:val="lowerRoman"/>
      <w:lvlText w:val="%6."/>
      <w:lvlJc w:val="right"/>
      <w:pPr>
        <w:ind w:left="5376" w:hanging="180"/>
      </w:pPr>
    </w:lvl>
    <w:lvl w:ilvl="6" w:tplc="0405000F" w:tentative="1">
      <w:start w:val="1"/>
      <w:numFmt w:val="decimal"/>
      <w:lvlText w:val="%7."/>
      <w:lvlJc w:val="left"/>
      <w:pPr>
        <w:ind w:left="6096" w:hanging="360"/>
      </w:pPr>
    </w:lvl>
    <w:lvl w:ilvl="7" w:tplc="04050019" w:tentative="1">
      <w:start w:val="1"/>
      <w:numFmt w:val="lowerLetter"/>
      <w:lvlText w:val="%8."/>
      <w:lvlJc w:val="left"/>
      <w:pPr>
        <w:ind w:left="6816" w:hanging="360"/>
      </w:pPr>
    </w:lvl>
    <w:lvl w:ilvl="8" w:tplc="0405001B" w:tentative="1">
      <w:start w:val="1"/>
      <w:numFmt w:val="lowerRoman"/>
      <w:lvlText w:val="%9."/>
      <w:lvlJc w:val="right"/>
      <w:pPr>
        <w:ind w:left="7536" w:hanging="180"/>
      </w:pPr>
    </w:lvl>
  </w:abstractNum>
  <w:abstractNum w:abstractNumId="41">
    <w:nsid w:val="6E422BA6"/>
    <w:multiLevelType w:val="hybridMultilevel"/>
    <w:tmpl w:val="9A403162"/>
    <w:lvl w:ilvl="0" w:tplc="B0868674">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72824896"/>
    <w:multiLevelType w:val="multilevel"/>
    <w:tmpl w:val="18F4B310"/>
    <w:lvl w:ilvl="0">
      <w:start w:val="3"/>
      <w:numFmt w:val="upperRoman"/>
      <w:lvlText w:val="%1."/>
      <w:lvlJc w:val="right"/>
      <w:pPr>
        <w:ind w:left="360" w:hanging="360"/>
      </w:pPr>
      <w:rPr>
        <w:rFonts w:hint="default"/>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43">
    <w:nsid w:val="744007D4"/>
    <w:multiLevelType w:val="hybridMultilevel"/>
    <w:tmpl w:val="0E5075A8"/>
    <w:lvl w:ilvl="0" w:tplc="B0868674">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44">
    <w:nsid w:val="7C18761E"/>
    <w:multiLevelType w:val="hybridMultilevel"/>
    <w:tmpl w:val="8C7CDC0C"/>
    <w:lvl w:ilvl="0" w:tplc="04050017">
      <w:start w:val="1"/>
      <w:numFmt w:val="lowerLetter"/>
      <w:lvlText w:val="%1)"/>
      <w:lvlJc w:val="lef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45">
    <w:nsid w:val="7D2A093F"/>
    <w:multiLevelType w:val="hybridMultilevel"/>
    <w:tmpl w:val="CECA95C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6">
    <w:nsid w:val="7F0D5EB6"/>
    <w:multiLevelType w:val="hybridMultilevel"/>
    <w:tmpl w:val="79DEA874"/>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abstractNumId w:val="32"/>
  </w:num>
  <w:num w:numId="2">
    <w:abstractNumId w:val="20"/>
  </w:num>
  <w:num w:numId="3">
    <w:abstractNumId w:val="42"/>
  </w:num>
  <w:num w:numId="4">
    <w:abstractNumId w:val="17"/>
  </w:num>
  <w:num w:numId="5">
    <w:abstractNumId w:val="18"/>
  </w:num>
  <w:num w:numId="6">
    <w:abstractNumId w:val="45"/>
  </w:num>
  <w:num w:numId="7">
    <w:abstractNumId w:val="34"/>
  </w:num>
  <w:num w:numId="8">
    <w:abstractNumId w:val="26"/>
  </w:num>
  <w:num w:numId="9">
    <w:abstractNumId w:val="36"/>
  </w:num>
  <w:num w:numId="10">
    <w:abstractNumId w:val="27"/>
  </w:num>
  <w:num w:numId="11">
    <w:abstractNumId w:val="4"/>
  </w:num>
  <w:num w:numId="12">
    <w:abstractNumId w:val="33"/>
  </w:num>
  <w:num w:numId="13">
    <w:abstractNumId w:val="21"/>
  </w:num>
  <w:num w:numId="14">
    <w:abstractNumId w:val="30"/>
  </w:num>
  <w:num w:numId="15">
    <w:abstractNumId w:val="9"/>
  </w:num>
  <w:num w:numId="16">
    <w:abstractNumId w:val="28"/>
  </w:num>
  <w:num w:numId="17">
    <w:abstractNumId w:val="7"/>
  </w:num>
  <w:num w:numId="18">
    <w:abstractNumId w:val="37"/>
  </w:num>
  <w:num w:numId="19">
    <w:abstractNumId w:val="22"/>
  </w:num>
  <w:num w:numId="20">
    <w:abstractNumId w:val="5"/>
  </w:num>
  <w:num w:numId="21">
    <w:abstractNumId w:val="12"/>
  </w:num>
  <w:num w:numId="22">
    <w:abstractNumId w:val="41"/>
  </w:num>
  <w:num w:numId="23">
    <w:abstractNumId w:val="10"/>
  </w:num>
  <w:num w:numId="24">
    <w:abstractNumId w:val="25"/>
  </w:num>
  <w:num w:numId="25">
    <w:abstractNumId w:val="16"/>
  </w:num>
  <w:num w:numId="26">
    <w:abstractNumId w:val="2"/>
  </w:num>
  <w:num w:numId="27">
    <w:abstractNumId w:val="15"/>
  </w:num>
  <w:num w:numId="28">
    <w:abstractNumId w:val="24"/>
  </w:num>
  <w:num w:numId="29">
    <w:abstractNumId w:val="46"/>
  </w:num>
  <w:num w:numId="30">
    <w:abstractNumId w:val="14"/>
  </w:num>
  <w:num w:numId="31">
    <w:abstractNumId w:val="23"/>
  </w:num>
  <w:num w:numId="32">
    <w:abstractNumId w:val="0"/>
  </w:num>
  <w:num w:numId="33">
    <w:abstractNumId w:val="38"/>
  </w:num>
  <w:num w:numId="34">
    <w:abstractNumId w:val="19"/>
  </w:num>
  <w:num w:numId="35">
    <w:abstractNumId w:val="6"/>
  </w:num>
  <w:num w:numId="36">
    <w:abstractNumId w:val="1"/>
  </w:num>
  <w:num w:numId="37">
    <w:abstractNumId w:val="43"/>
  </w:num>
  <w:num w:numId="38">
    <w:abstractNumId w:val="31"/>
  </w:num>
  <w:num w:numId="39">
    <w:abstractNumId w:val="40"/>
  </w:num>
  <w:num w:numId="40">
    <w:abstractNumId w:val="11"/>
  </w:num>
  <w:num w:numId="41">
    <w:abstractNumId w:val="29"/>
  </w:num>
  <w:num w:numId="42">
    <w:abstractNumId w:val="3"/>
  </w:num>
  <w:num w:numId="43">
    <w:abstractNumId w:val="13"/>
  </w:num>
  <w:num w:numId="44">
    <w:abstractNumId w:val="39"/>
  </w:num>
  <w:num w:numId="45">
    <w:abstractNumId w:val="44"/>
  </w:num>
  <w:num w:numId="46">
    <w:abstractNumId w:val="35"/>
  </w:num>
  <w:num w:numId="47">
    <w:abstractNumId w:val="8"/>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52BC"/>
    <w:rsid w:val="0002202C"/>
    <w:rsid w:val="00024354"/>
    <w:rsid w:val="00024EFD"/>
    <w:rsid w:val="00025EAC"/>
    <w:rsid w:val="000331FE"/>
    <w:rsid w:val="0003592E"/>
    <w:rsid w:val="00035A22"/>
    <w:rsid w:val="00037E81"/>
    <w:rsid w:val="000400D6"/>
    <w:rsid w:val="00040942"/>
    <w:rsid w:val="00042450"/>
    <w:rsid w:val="00045E2F"/>
    <w:rsid w:val="000478D3"/>
    <w:rsid w:val="00047C25"/>
    <w:rsid w:val="00062A39"/>
    <w:rsid w:val="00070061"/>
    <w:rsid w:val="00071319"/>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5A9A"/>
    <w:rsid w:val="000D7741"/>
    <w:rsid w:val="000F2090"/>
    <w:rsid w:val="000F401A"/>
    <w:rsid w:val="000F4720"/>
    <w:rsid w:val="000F5A9C"/>
    <w:rsid w:val="001017A9"/>
    <w:rsid w:val="001028D7"/>
    <w:rsid w:val="00106526"/>
    <w:rsid w:val="001065AE"/>
    <w:rsid w:val="001109EF"/>
    <w:rsid w:val="00117697"/>
    <w:rsid w:val="001236D2"/>
    <w:rsid w:val="001241C8"/>
    <w:rsid w:val="001265DA"/>
    <w:rsid w:val="00126CB8"/>
    <w:rsid w:val="001277A2"/>
    <w:rsid w:val="001311AC"/>
    <w:rsid w:val="00131647"/>
    <w:rsid w:val="00134EB5"/>
    <w:rsid w:val="001351A0"/>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A0C83"/>
    <w:rsid w:val="001A1785"/>
    <w:rsid w:val="001A3D61"/>
    <w:rsid w:val="001A62A6"/>
    <w:rsid w:val="001A6AF4"/>
    <w:rsid w:val="001B5DB3"/>
    <w:rsid w:val="001B66D4"/>
    <w:rsid w:val="001C27F8"/>
    <w:rsid w:val="001C4A0C"/>
    <w:rsid w:val="001C509B"/>
    <w:rsid w:val="001D0703"/>
    <w:rsid w:val="001D070C"/>
    <w:rsid w:val="001D0880"/>
    <w:rsid w:val="001D488C"/>
    <w:rsid w:val="001D7CC3"/>
    <w:rsid w:val="001E53D1"/>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2868"/>
    <w:rsid w:val="00236086"/>
    <w:rsid w:val="00240477"/>
    <w:rsid w:val="00242580"/>
    <w:rsid w:val="0025086C"/>
    <w:rsid w:val="0025209F"/>
    <w:rsid w:val="00252C33"/>
    <w:rsid w:val="00253681"/>
    <w:rsid w:val="00254879"/>
    <w:rsid w:val="00257465"/>
    <w:rsid w:val="00263CDC"/>
    <w:rsid w:val="002738A3"/>
    <w:rsid w:val="00276A8C"/>
    <w:rsid w:val="00276F8F"/>
    <w:rsid w:val="00283D2E"/>
    <w:rsid w:val="0028797B"/>
    <w:rsid w:val="00292D21"/>
    <w:rsid w:val="00296169"/>
    <w:rsid w:val="002A082D"/>
    <w:rsid w:val="002A255B"/>
    <w:rsid w:val="002A2F5C"/>
    <w:rsid w:val="002A7232"/>
    <w:rsid w:val="002B11D7"/>
    <w:rsid w:val="002B3FF4"/>
    <w:rsid w:val="002B4CA4"/>
    <w:rsid w:val="002B6A65"/>
    <w:rsid w:val="002B7C80"/>
    <w:rsid w:val="002C0879"/>
    <w:rsid w:val="002C27F8"/>
    <w:rsid w:val="002D6498"/>
    <w:rsid w:val="002E0228"/>
    <w:rsid w:val="002E065A"/>
    <w:rsid w:val="002E0C9E"/>
    <w:rsid w:val="002E151F"/>
    <w:rsid w:val="002E3FD5"/>
    <w:rsid w:val="002E7FFC"/>
    <w:rsid w:val="002F207D"/>
    <w:rsid w:val="002F57E7"/>
    <w:rsid w:val="00305BBB"/>
    <w:rsid w:val="003077D1"/>
    <w:rsid w:val="00311C47"/>
    <w:rsid w:val="003131F8"/>
    <w:rsid w:val="00322DF8"/>
    <w:rsid w:val="00330B21"/>
    <w:rsid w:val="00335BB7"/>
    <w:rsid w:val="00344F47"/>
    <w:rsid w:val="00351349"/>
    <w:rsid w:val="003526B8"/>
    <w:rsid w:val="003530C9"/>
    <w:rsid w:val="0035378B"/>
    <w:rsid w:val="00355EAB"/>
    <w:rsid w:val="00360D1A"/>
    <w:rsid w:val="003628E1"/>
    <w:rsid w:val="0036402D"/>
    <w:rsid w:val="00370ABB"/>
    <w:rsid w:val="00380F22"/>
    <w:rsid w:val="00386132"/>
    <w:rsid w:val="00392A6A"/>
    <w:rsid w:val="00395866"/>
    <w:rsid w:val="003B1E33"/>
    <w:rsid w:val="003B2837"/>
    <w:rsid w:val="003B59D1"/>
    <w:rsid w:val="003B5C88"/>
    <w:rsid w:val="003B7170"/>
    <w:rsid w:val="003B74D1"/>
    <w:rsid w:val="003C3862"/>
    <w:rsid w:val="003C5DCF"/>
    <w:rsid w:val="003D05CF"/>
    <w:rsid w:val="003D13B0"/>
    <w:rsid w:val="003D387C"/>
    <w:rsid w:val="003F33C4"/>
    <w:rsid w:val="003F5319"/>
    <w:rsid w:val="00403BCB"/>
    <w:rsid w:val="00403E80"/>
    <w:rsid w:val="004048A1"/>
    <w:rsid w:val="0040539D"/>
    <w:rsid w:val="00407A61"/>
    <w:rsid w:val="004128FE"/>
    <w:rsid w:val="00413E46"/>
    <w:rsid w:val="00417839"/>
    <w:rsid w:val="00422050"/>
    <w:rsid w:val="00423FDD"/>
    <w:rsid w:val="004242DB"/>
    <w:rsid w:val="004353BF"/>
    <w:rsid w:val="0044093C"/>
    <w:rsid w:val="004450E2"/>
    <w:rsid w:val="004536BC"/>
    <w:rsid w:val="00454762"/>
    <w:rsid w:val="004559EA"/>
    <w:rsid w:val="00465991"/>
    <w:rsid w:val="00466E48"/>
    <w:rsid w:val="0047044D"/>
    <w:rsid w:val="00471191"/>
    <w:rsid w:val="004826DF"/>
    <w:rsid w:val="00490473"/>
    <w:rsid w:val="00491428"/>
    <w:rsid w:val="00491EB7"/>
    <w:rsid w:val="004935E1"/>
    <w:rsid w:val="00496091"/>
    <w:rsid w:val="004B16CD"/>
    <w:rsid w:val="004C0443"/>
    <w:rsid w:val="004D304C"/>
    <w:rsid w:val="004D65E5"/>
    <w:rsid w:val="004E0C28"/>
    <w:rsid w:val="004E1900"/>
    <w:rsid w:val="004E46C7"/>
    <w:rsid w:val="004E67B6"/>
    <w:rsid w:val="004E7517"/>
    <w:rsid w:val="004F17ED"/>
    <w:rsid w:val="004F3002"/>
    <w:rsid w:val="004F3132"/>
    <w:rsid w:val="004F37DA"/>
    <w:rsid w:val="004F3AEB"/>
    <w:rsid w:val="00501365"/>
    <w:rsid w:val="005024A6"/>
    <w:rsid w:val="00505738"/>
    <w:rsid w:val="00505B58"/>
    <w:rsid w:val="005062F3"/>
    <w:rsid w:val="00506981"/>
    <w:rsid w:val="005170B6"/>
    <w:rsid w:val="00521193"/>
    <w:rsid w:val="005226BE"/>
    <w:rsid w:val="00525327"/>
    <w:rsid w:val="0052707D"/>
    <w:rsid w:val="00527B4E"/>
    <w:rsid w:val="005302F5"/>
    <w:rsid w:val="00530CBE"/>
    <w:rsid w:val="00533958"/>
    <w:rsid w:val="00540EA0"/>
    <w:rsid w:val="00542B36"/>
    <w:rsid w:val="00543D4A"/>
    <w:rsid w:val="00544C49"/>
    <w:rsid w:val="005629AE"/>
    <w:rsid w:val="005635CB"/>
    <w:rsid w:val="005725FF"/>
    <w:rsid w:val="00572A6B"/>
    <w:rsid w:val="0057392F"/>
    <w:rsid w:val="005824E2"/>
    <w:rsid w:val="00584AD1"/>
    <w:rsid w:val="005874EF"/>
    <w:rsid w:val="00590D0D"/>
    <w:rsid w:val="00595560"/>
    <w:rsid w:val="005A5321"/>
    <w:rsid w:val="005C2727"/>
    <w:rsid w:val="005C311E"/>
    <w:rsid w:val="005C44B7"/>
    <w:rsid w:val="005C5748"/>
    <w:rsid w:val="005D548B"/>
    <w:rsid w:val="005D7712"/>
    <w:rsid w:val="005E072B"/>
    <w:rsid w:val="005E1CF4"/>
    <w:rsid w:val="005E531F"/>
    <w:rsid w:val="005F197A"/>
    <w:rsid w:val="005F6373"/>
    <w:rsid w:val="00611C81"/>
    <w:rsid w:val="00612770"/>
    <w:rsid w:val="00621743"/>
    <w:rsid w:val="00625E80"/>
    <w:rsid w:val="00633D0B"/>
    <w:rsid w:val="00634759"/>
    <w:rsid w:val="00634BBB"/>
    <w:rsid w:val="00640821"/>
    <w:rsid w:val="006419FC"/>
    <w:rsid w:val="00642B92"/>
    <w:rsid w:val="0064695A"/>
    <w:rsid w:val="00651B06"/>
    <w:rsid w:val="00655121"/>
    <w:rsid w:val="00661CF8"/>
    <w:rsid w:val="00664BFA"/>
    <w:rsid w:val="00681668"/>
    <w:rsid w:val="00685036"/>
    <w:rsid w:val="00687E51"/>
    <w:rsid w:val="006909A9"/>
    <w:rsid w:val="00692BAF"/>
    <w:rsid w:val="006A1F9A"/>
    <w:rsid w:val="006A2727"/>
    <w:rsid w:val="006A4A20"/>
    <w:rsid w:val="006B0435"/>
    <w:rsid w:val="006B1D5C"/>
    <w:rsid w:val="006B2EB6"/>
    <w:rsid w:val="006B6895"/>
    <w:rsid w:val="006B7EE9"/>
    <w:rsid w:val="006C459B"/>
    <w:rsid w:val="006C4699"/>
    <w:rsid w:val="006C6DAC"/>
    <w:rsid w:val="006D2E1E"/>
    <w:rsid w:val="006D487E"/>
    <w:rsid w:val="006E09B3"/>
    <w:rsid w:val="006E57D1"/>
    <w:rsid w:val="006F443D"/>
    <w:rsid w:val="00701B95"/>
    <w:rsid w:val="00706A9F"/>
    <w:rsid w:val="00711F19"/>
    <w:rsid w:val="007148E4"/>
    <w:rsid w:val="00715A6F"/>
    <w:rsid w:val="00721803"/>
    <w:rsid w:val="00724B67"/>
    <w:rsid w:val="0073165C"/>
    <w:rsid w:val="00741601"/>
    <w:rsid w:val="00751E42"/>
    <w:rsid w:val="00760E95"/>
    <w:rsid w:val="00761984"/>
    <w:rsid w:val="00765FD7"/>
    <w:rsid w:val="00773243"/>
    <w:rsid w:val="007825CD"/>
    <w:rsid w:val="00783961"/>
    <w:rsid w:val="00785AB4"/>
    <w:rsid w:val="007A7BE0"/>
    <w:rsid w:val="007B7559"/>
    <w:rsid w:val="007C2983"/>
    <w:rsid w:val="007C36DB"/>
    <w:rsid w:val="007C51BB"/>
    <w:rsid w:val="007D72DA"/>
    <w:rsid w:val="007E053D"/>
    <w:rsid w:val="007E6A31"/>
    <w:rsid w:val="007E7045"/>
    <w:rsid w:val="007F09E2"/>
    <w:rsid w:val="007F3540"/>
    <w:rsid w:val="0080530B"/>
    <w:rsid w:val="00817BD5"/>
    <w:rsid w:val="00822C34"/>
    <w:rsid w:val="0082325F"/>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5061"/>
    <w:rsid w:val="008B5D32"/>
    <w:rsid w:val="008C43D6"/>
    <w:rsid w:val="008C5AFD"/>
    <w:rsid w:val="008D0BF0"/>
    <w:rsid w:val="008D1F1C"/>
    <w:rsid w:val="008D540D"/>
    <w:rsid w:val="008D6BFF"/>
    <w:rsid w:val="008E77C3"/>
    <w:rsid w:val="008E7880"/>
    <w:rsid w:val="008F311F"/>
    <w:rsid w:val="008F3C49"/>
    <w:rsid w:val="00910943"/>
    <w:rsid w:val="009143FC"/>
    <w:rsid w:val="009230B5"/>
    <w:rsid w:val="009231A5"/>
    <w:rsid w:val="009248C4"/>
    <w:rsid w:val="009279A4"/>
    <w:rsid w:val="00927C2D"/>
    <w:rsid w:val="00930985"/>
    <w:rsid w:val="0093136E"/>
    <w:rsid w:val="009333C7"/>
    <w:rsid w:val="00935399"/>
    <w:rsid w:val="00937F20"/>
    <w:rsid w:val="00940DD8"/>
    <w:rsid w:val="00941C55"/>
    <w:rsid w:val="00943423"/>
    <w:rsid w:val="00944403"/>
    <w:rsid w:val="00957E6D"/>
    <w:rsid w:val="00963277"/>
    <w:rsid w:val="0097133F"/>
    <w:rsid w:val="0097263C"/>
    <w:rsid w:val="009735AF"/>
    <w:rsid w:val="00973927"/>
    <w:rsid w:val="00981081"/>
    <w:rsid w:val="00990563"/>
    <w:rsid w:val="00992BB4"/>
    <w:rsid w:val="009937C8"/>
    <w:rsid w:val="00993A3B"/>
    <w:rsid w:val="009A232F"/>
    <w:rsid w:val="009A4480"/>
    <w:rsid w:val="009B2451"/>
    <w:rsid w:val="009B5F82"/>
    <w:rsid w:val="009B7D05"/>
    <w:rsid w:val="009D0163"/>
    <w:rsid w:val="009D37B7"/>
    <w:rsid w:val="009D6849"/>
    <w:rsid w:val="009F5B9C"/>
    <w:rsid w:val="00A00B1A"/>
    <w:rsid w:val="00A00D5C"/>
    <w:rsid w:val="00A00EFE"/>
    <w:rsid w:val="00A06F92"/>
    <w:rsid w:val="00A1138A"/>
    <w:rsid w:val="00A14697"/>
    <w:rsid w:val="00A20227"/>
    <w:rsid w:val="00A2427F"/>
    <w:rsid w:val="00A25A93"/>
    <w:rsid w:val="00A26266"/>
    <w:rsid w:val="00A35E63"/>
    <w:rsid w:val="00A40D88"/>
    <w:rsid w:val="00A425CF"/>
    <w:rsid w:val="00A4328E"/>
    <w:rsid w:val="00A4785C"/>
    <w:rsid w:val="00A51F87"/>
    <w:rsid w:val="00A53592"/>
    <w:rsid w:val="00A64610"/>
    <w:rsid w:val="00A724E2"/>
    <w:rsid w:val="00A72D2E"/>
    <w:rsid w:val="00A74D91"/>
    <w:rsid w:val="00A80DAC"/>
    <w:rsid w:val="00A810D8"/>
    <w:rsid w:val="00A8661F"/>
    <w:rsid w:val="00A868D7"/>
    <w:rsid w:val="00A90421"/>
    <w:rsid w:val="00A94D83"/>
    <w:rsid w:val="00A9509D"/>
    <w:rsid w:val="00A965DE"/>
    <w:rsid w:val="00AA3152"/>
    <w:rsid w:val="00AB2AC7"/>
    <w:rsid w:val="00AB7A72"/>
    <w:rsid w:val="00AC0AFF"/>
    <w:rsid w:val="00AE0E69"/>
    <w:rsid w:val="00AE1C12"/>
    <w:rsid w:val="00B01EFD"/>
    <w:rsid w:val="00B02CA3"/>
    <w:rsid w:val="00B11E72"/>
    <w:rsid w:val="00B23DBB"/>
    <w:rsid w:val="00B2481A"/>
    <w:rsid w:val="00B260C9"/>
    <w:rsid w:val="00B2624B"/>
    <w:rsid w:val="00B37871"/>
    <w:rsid w:val="00B445FA"/>
    <w:rsid w:val="00B469B4"/>
    <w:rsid w:val="00B503F5"/>
    <w:rsid w:val="00B54AC3"/>
    <w:rsid w:val="00B556C5"/>
    <w:rsid w:val="00B61D44"/>
    <w:rsid w:val="00B62A83"/>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27A0"/>
    <w:rsid w:val="00BC329B"/>
    <w:rsid w:val="00BC6286"/>
    <w:rsid w:val="00BC63BD"/>
    <w:rsid w:val="00BE541E"/>
    <w:rsid w:val="00BF70FD"/>
    <w:rsid w:val="00C023AC"/>
    <w:rsid w:val="00C02A29"/>
    <w:rsid w:val="00C05079"/>
    <w:rsid w:val="00C1167A"/>
    <w:rsid w:val="00C17383"/>
    <w:rsid w:val="00C31C60"/>
    <w:rsid w:val="00C3782E"/>
    <w:rsid w:val="00C47E3E"/>
    <w:rsid w:val="00C50A52"/>
    <w:rsid w:val="00C55B8C"/>
    <w:rsid w:val="00C57BCD"/>
    <w:rsid w:val="00C619D5"/>
    <w:rsid w:val="00C6602B"/>
    <w:rsid w:val="00C70383"/>
    <w:rsid w:val="00C72818"/>
    <w:rsid w:val="00C77004"/>
    <w:rsid w:val="00C87754"/>
    <w:rsid w:val="00C92B7D"/>
    <w:rsid w:val="00C976C3"/>
    <w:rsid w:val="00CA1663"/>
    <w:rsid w:val="00CA685A"/>
    <w:rsid w:val="00CA7478"/>
    <w:rsid w:val="00CB0FB3"/>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68C4"/>
    <w:rsid w:val="00D33CE6"/>
    <w:rsid w:val="00D340E4"/>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3883"/>
    <w:rsid w:val="00D93D7D"/>
    <w:rsid w:val="00D95FA3"/>
    <w:rsid w:val="00D96829"/>
    <w:rsid w:val="00D97ED8"/>
    <w:rsid w:val="00DA06F9"/>
    <w:rsid w:val="00DB1E3D"/>
    <w:rsid w:val="00DB40CC"/>
    <w:rsid w:val="00DB50AC"/>
    <w:rsid w:val="00DB5E90"/>
    <w:rsid w:val="00DB61CB"/>
    <w:rsid w:val="00DC0787"/>
    <w:rsid w:val="00DC2570"/>
    <w:rsid w:val="00DD1AA1"/>
    <w:rsid w:val="00DD47F1"/>
    <w:rsid w:val="00DE50EF"/>
    <w:rsid w:val="00DE666A"/>
    <w:rsid w:val="00DE736D"/>
    <w:rsid w:val="00DF16A3"/>
    <w:rsid w:val="00DF35F7"/>
    <w:rsid w:val="00E01361"/>
    <w:rsid w:val="00E03BEF"/>
    <w:rsid w:val="00E12DAE"/>
    <w:rsid w:val="00E3074E"/>
    <w:rsid w:val="00E31529"/>
    <w:rsid w:val="00E36480"/>
    <w:rsid w:val="00E45A2F"/>
    <w:rsid w:val="00E56467"/>
    <w:rsid w:val="00E6376E"/>
    <w:rsid w:val="00E63CED"/>
    <w:rsid w:val="00E6521D"/>
    <w:rsid w:val="00E6671D"/>
    <w:rsid w:val="00E73B4C"/>
    <w:rsid w:val="00E75547"/>
    <w:rsid w:val="00E80F23"/>
    <w:rsid w:val="00E81F94"/>
    <w:rsid w:val="00E905FA"/>
    <w:rsid w:val="00E939BE"/>
    <w:rsid w:val="00E96759"/>
    <w:rsid w:val="00EA38B9"/>
    <w:rsid w:val="00EA3E61"/>
    <w:rsid w:val="00EA4C52"/>
    <w:rsid w:val="00EB09CB"/>
    <w:rsid w:val="00EB69A4"/>
    <w:rsid w:val="00EC0DBD"/>
    <w:rsid w:val="00EC28FB"/>
    <w:rsid w:val="00EC3946"/>
    <w:rsid w:val="00EC3992"/>
    <w:rsid w:val="00EC5855"/>
    <w:rsid w:val="00EE72BF"/>
    <w:rsid w:val="00EF4375"/>
    <w:rsid w:val="00F059ED"/>
    <w:rsid w:val="00F104A5"/>
    <w:rsid w:val="00F12A4C"/>
    <w:rsid w:val="00F12C83"/>
    <w:rsid w:val="00F166AB"/>
    <w:rsid w:val="00F209B6"/>
    <w:rsid w:val="00F230F8"/>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uiPriority w:val="9"/>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iPriority w:val="99"/>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uiPriority w:val="99"/>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uiPriority w:val="9"/>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semiHidden/>
    <w:unhideWhenUsed/>
    <w:rsid w:val="00F12A4C"/>
    <w:rPr>
      <w:sz w:val="16"/>
      <w:szCs w:val="16"/>
    </w:rPr>
  </w:style>
  <w:style w:type="paragraph" w:styleId="Textkomente">
    <w:name w:val="annotation text"/>
    <w:basedOn w:val="Normln"/>
    <w:link w:val="TextkomenteChar"/>
    <w:uiPriority w:val="99"/>
    <w:semiHidden/>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semiHidden/>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526B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526B8"/>
    <w:rPr>
      <w:sz w:val="20"/>
      <w:szCs w:val="20"/>
    </w:rPr>
  </w:style>
  <w:style w:type="character" w:styleId="Znakapoznpodarou">
    <w:name w:val="footnote reference"/>
    <w:basedOn w:val="Standardnpsmoodstavce"/>
    <w:uiPriority w:val="99"/>
    <w:semiHidden/>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uiPriority w:val="9"/>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iPriority w:val="99"/>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uiPriority w:val="99"/>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uiPriority w:val="9"/>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semiHidden/>
    <w:unhideWhenUsed/>
    <w:rsid w:val="00F12A4C"/>
    <w:rPr>
      <w:sz w:val="16"/>
      <w:szCs w:val="16"/>
    </w:rPr>
  </w:style>
  <w:style w:type="paragraph" w:styleId="Textkomente">
    <w:name w:val="annotation text"/>
    <w:basedOn w:val="Normln"/>
    <w:link w:val="TextkomenteChar"/>
    <w:uiPriority w:val="99"/>
    <w:semiHidden/>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semiHidden/>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basedOn w:val="Normln"/>
    <w:link w:val="TextpoznpodarouChar"/>
    <w:uiPriority w:val="99"/>
    <w:unhideWhenUsed/>
    <w:rsid w:val="003526B8"/>
    <w:pPr>
      <w:spacing w:after="0" w:line="240" w:lineRule="auto"/>
    </w:pPr>
    <w:rPr>
      <w:sz w:val="20"/>
      <w:szCs w:val="20"/>
    </w:rPr>
  </w:style>
  <w:style w:type="character" w:customStyle="1" w:styleId="TextpoznpodarouChar">
    <w:name w:val="Text pozn. pod čarou Char"/>
    <w:basedOn w:val="Standardnpsmoodstavce"/>
    <w:link w:val="Textpoznpodarou"/>
    <w:uiPriority w:val="99"/>
    <w:rsid w:val="003526B8"/>
    <w:rPr>
      <w:sz w:val="20"/>
      <w:szCs w:val="20"/>
    </w:rPr>
  </w:style>
  <w:style w:type="character" w:styleId="Znakapoznpodarou">
    <w:name w:val="footnote reference"/>
    <w:basedOn w:val="Standardnpsmoodstavce"/>
    <w:uiPriority w:val="99"/>
    <w:semiHidden/>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6671575-C3C5-44C0-8C49-E8877AC0E65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5067</TotalTime>
  <Pages>6</Pages>
  <Words>1814</Words>
  <Characters>10709</Characters>
  <Application>Microsoft Office Word</Application>
  <DocSecurity>0</DocSecurity>
  <Lines>89</Lines>
  <Paragraphs>24</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12499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Šmahelová Michala</cp:lastModifiedBy>
  <cp:revision>226</cp:revision>
  <cp:lastPrinted>2018-01-05T12:44:00Z</cp:lastPrinted>
  <dcterms:created xsi:type="dcterms:W3CDTF">2016-04-28T07:21:00Z</dcterms:created>
  <dcterms:modified xsi:type="dcterms:W3CDTF">2018-03-23T13:13:00Z</dcterms:modified>
</cp:coreProperties>
</file>