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28D1" w14:textId="58815A17" w:rsidR="003B2B8D" w:rsidRPr="007324A0" w:rsidRDefault="00942AD3" w:rsidP="007324A0">
      <w:pPr>
        <w:snapToGrid w:val="0"/>
        <w:spacing w:after="120" w:line="276" w:lineRule="auto"/>
        <w:jc w:val="center"/>
        <w:rPr>
          <w:rFonts w:ascii="Arial" w:hAnsi="Arial" w:cs="Arial"/>
          <w:b/>
          <w:bCs/>
          <w:spacing w:val="10"/>
          <w:sz w:val="21"/>
          <w:szCs w:val="21"/>
          <w:u w:val="single"/>
        </w:rPr>
      </w:pPr>
      <w:r w:rsidRPr="007324A0">
        <w:rPr>
          <w:rFonts w:ascii="Arial" w:hAnsi="Arial" w:cs="Arial"/>
          <w:b/>
          <w:bCs/>
          <w:spacing w:val="10"/>
          <w:sz w:val="21"/>
          <w:szCs w:val="21"/>
          <w:u w:val="single"/>
        </w:rPr>
        <w:t>Manuál k vybraným tématům z oblasti veřejných zakázek</w:t>
      </w:r>
    </w:p>
    <w:p w14:paraId="707417F6" w14:textId="77777777" w:rsidR="00942AD3" w:rsidRPr="007324A0" w:rsidRDefault="00942AD3" w:rsidP="007324A0">
      <w:pPr>
        <w:snapToGrid w:val="0"/>
        <w:spacing w:after="120" w:line="276" w:lineRule="auto"/>
        <w:jc w:val="both"/>
        <w:rPr>
          <w:rFonts w:ascii="Arial" w:hAnsi="Arial" w:cs="Arial"/>
          <w:b/>
          <w:bCs/>
          <w:spacing w:val="10"/>
          <w:sz w:val="21"/>
          <w:szCs w:val="21"/>
          <w:u w:val="single"/>
        </w:rPr>
      </w:pPr>
    </w:p>
    <w:p w14:paraId="0BF86D2C" w14:textId="0793848F" w:rsidR="00942AD3" w:rsidRPr="007324A0" w:rsidRDefault="00942AD3" w:rsidP="007324A0">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7324A0">
        <w:rPr>
          <w:rFonts w:ascii="Arial" w:hAnsi="Arial" w:cs="Arial"/>
          <w:b/>
          <w:bCs/>
          <w:spacing w:val="10"/>
          <w:sz w:val="21"/>
          <w:szCs w:val="21"/>
        </w:rPr>
        <w:t>Základní povinnosti zadavatele v režimu zákona č. 134/2016 Sb., o zadávání veřejných zakázek, ve znění pozdějších předpisů (dále jen „</w:t>
      </w:r>
      <w:r w:rsidRPr="007324A0">
        <w:rPr>
          <w:rFonts w:ascii="Arial" w:hAnsi="Arial" w:cs="Arial"/>
          <w:b/>
          <w:bCs/>
          <w:i/>
          <w:iCs/>
          <w:spacing w:val="10"/>
          <w:sz w:val="21"/>
          <w:szCs w:val="21"/>
        </w:rPr>
        <w:t>ZZVZ</w:t>
      </w:r>
      <w:r w:rsidRPr="007324A0">
        <w:rPr>
          <w:rFonts w:ascii="Arial" w:hAnsi="Arial" w:cs="Arial"/>
          <w:b/>
          <w:bCs/>
          <w:spacing w:val="10"/>
          <w:sz w:val="21"/>
          <w:szCs w:val="21"/>
        </w:rPr>
        <w:t>“)</w:t>
      </w:r>
    </w:p>
    <w:p w14:paraId="1934241A" w14:textId="2B31B0DE" w:rsidR="00F03909" w:rsidRPr="007324A0" w:rsidRDefault="00F03909" w:rsidP="007324A0">
      <w:pPr>
        <w:pStyle w:val="Odstavecseseznamem"/>
        <w:numPr>
          <w:ilvl w:val="0"/>
          <w:numId w:val="2"/>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Zásady zadávání veřejných zakázek</w:t>
      </w:r>
    </w:p>
    <w:p w14:paraId="5A6F7C11" w14:textId="125A8D6F" w:rsidR="002E6AC6" w:rsidRPr="007324A0" w:rsidRDefault="002E6AC6"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Zásady zadávání veřejných zakázek musí uplatňovat a respektovat </w:t>
      </w:r>
      <w:r w:rsidR="007B195A" w:rsidRPr="007324A0">
        <w:rPr>
          <w:rFonts w:ascii="Arial" w:hAnsi="Arial" w:cs="Arial"/>
          <w:spacing w:val="10"/>
          <w:sz w:val="21"/>
          <w:szCs w:val="21"/>
        </w:rPr>
        <w:t xml:space="preserve">v průběhu zadávacího řízení </w:t>
      </w:r>
      <w:r w:rsidRPr="007324A0">
        <w:rPr>
          <w:rFonts w:ascii="Arial" w:hAnsi="Arial" w:cs="Arial"/>
          <w:spacing w:val="10"/>
          <w:sz w:val="21"/>
          <w:szCs w:val="21"/>
        </w:rPr>
        <w:t xml:space="preserve">pouze zadavatel, tzn. že vůči dodavatelům se </w:t>
      </w:r>
      <w:r w:rsidR="000B14AA">
        <w:rPr>
          <w:rFonts w:ascii="Arial" w:hAnsi="Arial" w:cs="Arial"/>
          <w:spacing w:val="10"/>
          <w:sz w:val="21"/>
          <w:szCs w:val="21"/>
        </w:rPr>
        <w:t>zásad</w:t>
      </w:r>
      <w:r w:rsidRPr="007324A0">
        <w:rPr>
          <w:rFonts w:ascii="Arial" w:hAnsi="Arial" w:cs="Arial"/>
          <w:spacing w:val="10"/>
          <w:sz w:val="21"/>
          <w:szCs w:val="21"/>
        </w:rPr>
        <w:t xml:space="preserve"> ze strany zadavatele není možné dovolávat.</w:t>
      </w:r>
    </w:p>
    <w:p w14:paraId="27A3AB8D" w14:textId="3A4B5290" w:rsidR="002E6AC6" w:rsidRPr="007324A0" w:rsidRDefault="002E6AC6"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Zásady zadávání veřejných zakázek se uplatní i v případě veřejných zakázek malého rozsahu</w:t>
      </w:r>
      <w:r w:rsidR="007B195A" w:rsidRPr="007324A0">
        <w:rPr>
          <w:rFonts w:ascii="Arial" w:hAnsi="Arial" w:cs="Arial"/>
          <w:spacing w:val="10"/>
          <w:sz w:val="21"/>
          <w:szCs w:val="21"/>
        </w:rPr>
        <w:t>.</w:t>
      </w:r>
    </w:p>
    <w:p w14:paraId="227BF77F" w14:textId="067C7AF3" w:rsidR="007B195A" w:rsidRPr="007324A0" w:rsidRDefault="007B195A"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Od zásad je nutné odlišovat zásady (resp. principy) 3E, tj. efektivnost, hospodárnost a účelnost – tyto zásady</w:t>
      </w:r>
      <w:r w:rsidR="000B14AA">
        <w:rPr>
          <w:rFonts w:ascii="Arial" w:hAnsi="Arial" w:cs="Arial"/>
          <w:spacing w:val="10"/>
          <w:sz w:val="21"/>
          <w:szCs w:val="21"/>
        </w:rPr>
        <w:t xml:space="preserve"> (resp. principy)</w:t>
      </w:r>
      <w:r w:rsidRPr="007324A0">
        <w:rPr>
          <w:rFonts w:ascii="Arial" w:hAnsi="Arial" w:cs="Arial"/>
          <w:spacing w:val="10"/>
          <w:sz w:val="21"/>
          <w:szCs w:val="21"/>
        </w:rPr>
        <w:t xml:space="preserve"> nejsou vymezeny v ZZVZ a nemají aplikační přednost před zásadami uvedenými v § 6 ZZVZ. Nelze se tedy dovolávat toho, že jinak protizákonné jednání bylo v souladu se zásadami 3E.</w:t>
      </w:r>
    </w:p>
    <w:p w14:paraId="7113C25A" w14:textId="05AFC673" w:rsidR="007B195A" w:rsidRPr="007324A0" w:rsidRDefault="00B157FB"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Pokud jde o jednotlivé zásady</w:t>
      </w:r>
      <w:r w:rsidR="000B14AA">
        <w:rPr>
          <w:rFonts w:ascii="Arial" w:hAnsi="Arial" w:cs="Arial"/>
          <w:spacing w:val="10"/>
          <w:sz w:val="21"/>
          <w:szCs w:val="21"/>
        </w:rPr>
        <w:t xml:space="preserve"> a jejich uplatnění v zadávacím či výběrovém řízení</w:t>
      </w:r>
      <w:r w:rsidRPr="007324A0">
        <w:rPr>
          <w:rFonts w:ascii="Arial" w:hAnsi="Arial" w:cs="Arial"/>
          <w:spacing w:val="10"/>
          <w:sz w:val="21"/>
          <w:szCs w:val="21"/>
        </w:rPr>
        <w:t>, tak</w:t>
      </w:r>
      <w:r w:rsidR="000B14AA">
        <w:rPr>
          <w:rFonts w:ascii="Arial" w:hAnsi="Arial" w:cs="Arial"/>
          <w:spacing w:val="10"/>
          <w:sz w:val="21"/>
          <w:szCs w:val="21"/>
        </w:rPr>
        <w:t> </w:t>
      </w:r>
      <w:r w:rsidRPr="007324A0">
        <w:rPr>
          <w:rFonts w:ascii="Arial" w:hAnsi="Arial" w:cs="Arial"/>
          <w:spacing w:val="10"/>
          <w:sz w:val="21"/>
          <w:szCs w:val="21"/>
        </w:rPr>
        <w:t>platí následující:</w:t>
      </w:r>
    </w:p>
    <w:p w14:paraId="740F0410" w14:textId="77777777" w:rsidR="000B14AA" w:rsidRDefault="00B157FB" w:rsidP="007324A0">
      <w:pPr>
        <w:pStyle w:val="Odstavecseseznamem"/>
        <w:numPr>
          <w:ilvl w:val="0"/>
          <w:numId w:val="3"/>
        </w:numPr>
        <w:snapToGrid w:val="0"/>
        <w:spacing w:after="120" w:line="276" w:lineRule="auto"/>
        <w:contextualSpacing w:val="0"/>
        <w:jc w:val="both"/>
        <w:rPr>
          <w:rFonts w:ascii="Arial" w:hAnsi="Arial" w:cs="Arial"/>
          <w:spacing w:val="10"/>
          <w:sz w:val="21"/>
          <w:szCs w:val="21"/>
        </w:rPr>
      </w:pPr>
      <w:r w:rsidRPr="000B14AA">
        <w:rPr>
          <w:rFonts w:ascii="Arial" w:hAnsi="Arial" w:cs="Arial"/>
          <w:b/>
          <w:bCs/>
          <w:spacing w:val="10"/>
          <w:sz w:val="21"/>
          <w:szCs w:val="21"/>
        </w:rPr>
        <w:t>Zásada transparentnosti</w:t>
      </w:r>
    </w:p>
    <w:p w14:paraId="696CAB32" w14:textId="06CD35EC" w:rsidR="00B157FB" w:rsidRPr="007324A0" w:rsidRDefault="000B14AA" w:rsidP="000B14AA">
      <w:pPr>
        <w:pStyle w:val="Odstavecseseznamem"/>
        <w:numPr>
          <w:ilvl w:val="0"/>
          <w:numId w:val="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 xml:space="preserve">zato zásada se ze strany zadavatele </w:t>
      </w:r>
      <w:r w:rsidR="00B157FB" w:rsidRPr="007324A0">
        <w:rPr>
          <w:rFonts w:ascii="Arial" w:hAnsi="Arial" w:cs="Arial"/>
          <w:spacing w:val="10"/>
          <w:sz w:val="21"/>
          <w:szCs w:val="21"/>
        </w:rPr>
        <w:t xml:space="preserve">uplatňuje v celém zadávacím </w:t>
      </w:r>
      <w:r>
        <w:rPr>
          <w:rFonts w:ascii="Arial" w:hAnsi="Arial" w:cs="Arial"/>
          <w:spacing w:val="10"/>
          <w:sz w:val="21"/>
          <w:szCs w:val="21"/>
        </w:rPr>
        <w:t xml:space="preserve">či výběrovém </w:t>
      </w:r>
      <w:r w:rsidR="00B157FB" w:rsidRPr="007324A0">
        <w:rPr>
          <w:rFonts w:ascii="Arial" w:hAnsi="Arial" w:cs="Arial"/>
          <w:spacing w:val="10"/>
          <w:sz w:val="21"/>
          <w:szCs w:val="21"/>
        </w:rPr>
        <w:t>řízení</w:t>
      </w:r>
      <w:r>
        <w:rPr>
          <w:rFonts w:ascii="Arial" w:hAnsi="Arial" w:cs="Arial"/>
          <w:spacing w:val="10"/>
          <w:sz w:val="21"/>
          <w:szCs w:val="21"/>
        </w:rPr>
        <w:t>;</w:t>
      </w:r>
    </w:p>
    <w:p w14:paraId="5F30DABE" w14:textId="6EC0B212" w:rsidR="003D6068" w:rsidRPr="007324A0" w:rsidRDefault="003D6068"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projevuje se v povinnostech</w:t>
      </w:r>
      <w:r w:rsidR="00B157FB" w:rsidRPr="007324A0">
        <w:rPr>
          <w:rFonts w:ascii="Arial" w:hAnsi="Arial" w:cs="Arial"/>
          <w:spacing w:val="10"/>
          <w:sz w:val="21"/>
          <w:szCs w:val="21"/>
        </w:rPr>
        <w:t xml:space="preserve"> zadavatele </w:t>
      </w:r>
      <w:r w:rsidRPr="007324A0">
        <w:rPr>
          <w:rFonts w:ascii="Arial" w:hAnsi="Arial" w:cs="Arial"/>
          <w:spacing w:val="10"/>
          <w:sz w:val="21"/>
          <w:szCs w:val="21"/>
        </w:rPr>
        <w:t>souvisejících s uveřejňováním informací – zejména při zahájení zadávající</w:t>
      </w:r>
      <w:r w:rsidR="000B14AA">
        <w:rPr>
          <w:rFonts w:ascii="Arial" w:hAnsi="Arial" w:cs="Arial"/>
          <w:spacing w:val="10"/>
          <w:sz w:val="21"/>
          <w:szCs w:val="21"/>
        </w:rPr>
        <w:t>ho či výběrového</w:t>
      </w:r>
      <w:r w:rsidRPr="007324A0">
        <w:rPr>
          <w:rFonts w:ascii="Arial" w:hAnsi="Arial" w:cs="Arial"/>
          <w:spacing w:val="10"/>
          <w:sz w:val="21"/>
          <w:szCs w:val="21"/>
        </w:rPr>
        <w:t xml:space="preserve"> řízení; </w:t>
      </w:r>
    </w:p>
    <w:p w14:paraId="34342C25" w14:textId="360F206E" w:rsidR="00B157FB" w:rsidRPr="007324A0" w:rsidRDefault="003D6068"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 xml:space="preserve">pro její zachování </w:t>
      </w:r>
      <w:r w:rsidR="00B157FB" w:rsidRPr="007324A0">
        <w:rPr>
          <w:rFonts w:ascii="Arial" w:hAnsi="Arial" w:cs="Arial"/>
          <w:spacing w:val="10"/>
          <w:sz w:val="21"/>
          <w:szCs w:val="21"/>
        </w:rPr>
        <w:t xml:space="preserve">musí </w:t>
      </w:r>
      <w:r w:rsidRPr="007324A0">
        <w:rPr>
          <w:rFonts w:ascii="Arial" w:hAnsi="Arial" w:cs="Arial"/>
          <w:spacing w:val="10"/>
          <w:sz w:val="21"/>
          <w:szCs w:val="21"/>
        </w:rPr>
        <w:t xml:space="preserve">zadavatel v zadávacím </w:t>
      </w:r>
      <w:r w:rsidR="000B14AA">
        <w:rPr>
          <w:rFonts w:ascii="Arial" w:hAnsi="Arial" w:cs="Arial"/>
          <w:spacing w:val="10"/>
          <w:sz w:val="21"/>
          <w:szCs w:val="21"/>
        </w:rPr>
        <w:t xml:space="preserve">či výběrovém </w:t>
      </w:r>
      <w:r w:rsidRPr="007324A0">
        <w:rPr>
          <w:rFonts w:ascii="Arial" w:hAnsi="Arial" w:cs="Arial"/>
          <w:spacing w:val="10"/>
          <w:sz w:val="21"/>
          <w:szCs w:val="21"/>
        </w:rPr>
        <w:t xml:space="preserve">řízení </w:t>
      </w:r>
      <w:r w:rsidR="00B157FB" w:rsidRPr="007324A0">
        <w:rPr>
          <w:rFonts w:ascii="Arial" w:hAnsi="Arial" w:cs="Arial"/>
          <w:spacing w:val="10"/>
          <w:sz w:val="21"/>
          <w:szCs w:val="21"/>
        </w:rPr>
        <w:t xml:space="preserve">postupovat tak, aby jeho kroky </w:t>
      </w:r>
      <w:r w:rsidRPr="007324A0">
        <w:rPr>
          <w:rFonts w:ascii="Arial" w:hAnsi="Arial" w:cs="Arial"/>
          <w:spacing w:val="10"/>
          <w:sz w:val="21"/>
          <w:szCs w:val="21"/>
        </w:rPr>
        <w:t xml:space="preserve">byly </w:t>
      </w:r>
      <w:r w:rsidR="00B157FB" w:rsidRPr="007324A0">
        <w:rPr>
          <w:rFonts w:ascii="Arial" w:hAnsi="Arial" w:cs="Arial"/>
          <w:spacing w:val="10"/>
          <w:sz w:val="21"/>
          <w:szCs w:val="21"/>
        </w:rPr>
        <w:t xml:space="preserve">dostatečně </w:t>
      </w:r>
      <w:r w:rsidR="000B14AA">
        <w:rPr>
          <w:rFonts w:ascii="Arial" w:hAnsi="Arial" w:cs="Arial"/>
          <w:spacing w:val="10"/>
          <w:sz w:val="21"/>
          <w:szCs w:val="21"/>
        </w:rPr>
        <w:t xml:space="preserve">odůvodněny, </w:t>
      </w:r>
      <w:r w:rsidR="00B157FB" w:rsidRPr="007324A0">
        <w:rPr>
          <w:rFonts w:ascii="Arial" w:hAnsi="Arial" w:cs="Arial"/>
          <w:spacing w:val="10"/>
          <w:sz w:val="21"/>
          <w:szCs w:val="21"/>
        </w:rPr>
        <w:t>zdokumentovány a tím zpětně přezkoumatelné</w:t>
      </w:r>
      <w:r w:rsidRPr="007324A0">
        <w:rPr>
          <w:rFonts w:ascii="Arial" w:hAnsi="Arial" w:cs="Arial"/>
          <w:spacing w:val="10"/>
          <w:sz w:val="21"/>
          <w:szCs w:val="21"/>
        </w:rPr>
        <w:t xml:space="preserve"> – zadavatel </w:t>
      </w:r>
      <w:r w:rsidR="000B14AA">
        <w:rPr>
          <w:rFonts w:ascii="Arial" w:hAnsi="Arial" w:cs="Arial"/>
          <w:spacing w:val="10"/>
          <w:sz w:val="21"/>
          <w:szCs w:val="21"/>
        </w:rPr>
        <w:t>by měl</w:t>
      </w:r>
      <w:r w:rsidRPr="007324A0">
        <w:rPr>
          <w:rFonts w:ascii="Arial" w:hAnsi="Arial" w:cs="Arial"/>
          <w:spacing w:val="10"/>
          <w:sz w:val="21"/>
          <w:szCs w:val="21"/>
        </w:rPr>
        <w:t xml:space="preserve"> vést dokumentaci o</w:t>
      </w:r>
      <w:r w:rsidR="000B14AA">
        <w:rPr>
          <w:rFonts w:ascii="Arial" w:hAnsi="Arial" w:cs="Arial"/>
          <w:spacing w:val="10"/>
          <w:sz w:val="21"/>
          <w:szCs w:val="21"/>
        </w:rPr>
        <w:t> </w:t>
      </w:r>
      <w:r w:rsidRPr="007324A0">
        <w:rPr>
          <w:rFonts w:ascii="Arial" w:hAnsi="Arial" w:cs="Arial"/>
          <w:spacing w:val="10"/>
          <w:sz w:val="21"/>
          <w:szCs w:val="21"/>
        </w:rPr>
        <w:t>zadávacím</w:t>
      </w:r>
      <w:r w:rsidR="000B14AA">
        <w:rPr>
          <w:rFonts w:ascii="Arial" w:hAnsi="Arial" w:cs="Arial"/>
          <w:spacing w:val="10"/>
          <w:sz w:val="21"/>
          <w:szCs w:val="21"/>
        </w:rPr>
        <w:t xml:space="preserve"> či výběrovém</w:t>
      </w:r>
      <w:r w:rsidRPr="007324A0">
        <w:rPr>
          <w:rFonts w:ascii="Arial" w:hAnsi="Arial" w:cs="Arial"/>
          <w:spacing w:val="10"/>
          <w:sz w:val="21"/>
          <w:szCs w:val="21"/>
        </w:rPr>
        <w:t xml:space="preserve"> řízení, tak aby v ní byly zachyceny všechny kroky zadavatele a tyto bylo možné zpětně </w:t>
      </w:r>
      <w:r w:rsidR="000B14AA">
        <w:rPr>
          <w:rFonts w:ascii="Arial" w:hAnsi="Arial" w:cs="Arial"/>
          <w:spacing w:val="10"/>
          <w:sz w:val="21"/>
          <w:szCs w:val="21"/>
        </w:rPr>
        <w:t>zkontrolovat</w:t>
      </w:r>
      <w:r w:rsidR="006E0C27" w:rsidRPr="007324A0">
        <w:rPr>
          <w:rFonts w:ascii="Arial" w:hAnsi="Arial" w:cs="Arial"/>
          <w:spacing w:val="10"/>
          <w:sz w:val="21"/>
          <w:szCs w:val="21"/>
        </w:rPr>
        <w:t>.</w:t>
      </w:r>
    </w:p>
    <w:p w14:paraId="4606FBEF" w14:textId="77777777" w:rsidR="00FE7685" w:rsidRDefault="00B157FB" w:rsidP="007324A0">
      <w:pPr>
        <w:pStyle w:val="Odstavecseseznamem"/>
        <w:numPr>
          <w:ilvl w:val="0"/>
          <w:numId w:val="3"/>
        </w:numPr>
        <w:snapToGrid w:val="0"/>
        <w:spacing w:after="120" w:line="276" w:lineRule="auto"/>
        <w:contextualSpacing w:val="0"/>
        <w:jc w:val="both"/>
        <w:rPr>
          <w:rFonts w:ascii="Arial" w:hAnsi="Arial" w:cs="Arial"/>
          <w:spacing w:val="10"/>
          <w:sz w:val="21"/>
          <w:szCs w:val="21"/>
        </w:rPr>
      </w:pPr>
      <w:r w:rsidRPr="00FE7685">
        <w:rPr>
          <w:rFonts w:ascii="Arial" w:hAnsi="Arial" w:cs="Arial"/>
          <w:b/>
          <w:bCs/>
          <w:spacing w:val="10"/>
          <w:sz w:val="21"/>
          <w:szCs w:val="21"/>
        </w:rPr>
        <w:t>Zásada přiměřenosti</w:t>
      </w:r>
    </w:p>
    <w:p w14:paraId="074D4EBF" w14:textId="6C62AF6A" w:rsidR="003A24BA" w:rsidRPr="007324A0" w:rsidRDefault="003D6068" w:rsidP="00FE7685">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 xml:space="preserve">v praxi se </w:t>
      </w:r>
      <w:r w:rsidR="00FE7685">
        <w:rPr>
          <w:rFonts w:ascii="Arial" w:hAnsi="Arial" w:cs="Arial"/>
          <w:spacing w:val="10"/>
          <w:sz w:val="21"/>
          <w:szCs w:val="21"/>
        </w:rPr>
        <w:t xml:space="preserve">tato zásada </w:t>
      </w:r>
      <w:r w:rsidRPr="007324A0">
        <w:rPr>
          <w:rFonts w:ascii="Arial" w:hAnsi="Arial" w:cs="Arial"/>
          <w:spacing w:val="10"/>
          <w:sz w:val="21"/>
          <w:szCs w:val="21"/>
        </w:rPr>
        <w:t>nejvíce uplatňuje při přípravě zadávacího</w:t>
      </w:r>
      <w:r w:rsidR="00FE7685">
        <w:rPr>
          <w:rFonts w:ascii="Arial" w:hAnsi="Arial" w:cs="Arial"/>
          <w:spacing w:val="10"/>
          <w:sz w:val="21"/>
          <w:szCs w:val="21"/>
        </w:rPr>
        <w:t xml:space="preserve"> či výběrového</w:t>
      </w:r>
      <w:r w:rsidRPr="007324A0">
        <w:rPr>
          <w:rFonts w:ascii="Arial" w:hAnsi="Arial" w:cs="Arial"/>
          <w:spacing w:val="10"/>
          <w:sz w:val="21"/>
          <w:szCs w:val="21"/>
        </w:rPr>
        <w:t xml:space="preserve"> řízení</w:t>
      </w:r>
      <w:r w:rsidR="00FE7685">
        <w:rPr>
          <w:rFonts w:ascii="Arial" w:hAnsi="Arial" w:cs="Arial"/>
          <w:spacing w:val="10"/>
          <w:sz w:val="21"/>
          <w:szCs w:val="21"/>
        </w:rPr>
        <w:t>;</w:t>
      </w:r>
    </w:p>
    <w:p w14:paraId="4FC1F820" w14:textId="2F183A99" w:rsidR="003D6068" w:rsidRPr="007324A0" w:rsidRDefault="003D6068"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s ohledem na zásadu přiměřenosti musí být učiněna volba druhu zadávacího řízení, podmínky účasti</w:t>
      </w:r>
      <w:r w:rsidR="006E0C27" w:rsidRPr="007324A0">
        <w:rPr>
          <w:rFonts w:ascii="Arial" w:hAnsi="Arial" w:cs="Arial"/>
          <w:spacing w:val="10"/>
          <w:sz w:val="21"/>
          <w:szCs w:val="21"/>
        </w:rPr>
        <w:t>, ale též i lhůty v</w:t>
      </w:r>
      <w:r w:rsidR="00FE7685">
        <w:rPr>
          <w:rFonts w:ascii="Arial" w:hAnsi="Arial" w:cs="Arial"/>
          <w:spacing w:val="10"/>
          <w:sz w:val="21"/>
          <w:szCs w:val="21"/>
        </w:rPr>
        <w:t> </w:t>
      </w:r>
      <w:r w:rsidR="006E0C27" w:rsidRPr="007324A0">
        <w:rPr>
          <w:rFonts w:ascii="Arial" w:hAnsi="Arial" w:cs="Arial"/>
          <w:spacing w:val="10"/>
          <w:sz w:val="21"/>
          <w:szCs w:val="21"/>
        </w:rPr>
        <w:t>zadávacím</w:t>
      </w:r>
      <w:r w:rsidR="00FE7685">
        <w:rPr>
          <w:rFonts w:ascii="Arial" w:hAnsi="Arial" w:cs="Arial"/>
          <w:spacing w:val="10"/>
          <w:sz w:val="21"/>
          <w:szCs w:val="21"/>
        </w:rPr>
        <w:t xml:space="preserve"> či výběrovém</w:t>
      </w:r>
      <w:r w:rsidR="006E0C27" w:rsidRPr="007324A0">
        <w:rPr>
          <w:rFonts w:ascii="Arial" w:hAnsi="Arial" w:cs="Arial"/>
          <w:spacing w:val="10"/>
          <w:sz w:val="21"/>
          <w:szCs w:val="21"/>
        </w:rPr>
        <w:t xml:space="preserve"> řízení </w:t>
      </w:r>
      <w:r w:rsidRPr="007324A0">
        <w:rPr>
          <w:rFonts w:ascii="Arial" w:hAnsi="Arial" w:cs="Arial"/>
          <w:spacing w:val="10"/>
          <w:sz w:val="21"/>
          <w:szCs w:val="21"/>
        </w:rPr>
        <w:t xml:space="preserve">musí být stanoveny přiměřeně k předmětu </w:t>
      </w:r>
      <w:r w:rsidR="00FE7685">
        <w:rPr>
          <w:rFonts w:ascii="Arial" w:hAnsi="Arial" w:cs="Arial"/>
          <w:spacing w:val="10"/>
          <w:sz w:val="21"/>
          <w:szCs w:val="21"/>
        </w:rPr>
        <w:t>veřejné zakázky</w:t>
      </w:r>
      <w:r w:rsidR="006E0C27" w:rsidRPr="007324A0">
        <w:rPr>
          <w:rFonts w:ascii="Arial" w:hAnsi="Arial" w:cs="Arial"/>
          <w:spacing w:val="10"/>
          <w:sz w:val="21"/>
          <w:szCs w:val="21"/>
        </w:rPr>
        <w:t>.</w:t>
      </w:r>
    </w:p>
    <w:p w14:paraId="007F1DC0" w14:textId="77777777" w:rsidR="00FE7685" w:rsidRDefault="00B157FB" w:rsidP="007324A0">
      <w:pPr>
        <w:pStyle w:val="Odstavecseseznamem"/>
        <w:numPr>
          <w:ilvl w:val="0"/>
          <w:numId w:val="3"/>
        </w:numPr>
        <w:snapToGrid w:val="0"/>
        <w:spacing w:after="120" w:line="276" w:lineRule="auto"/>
        <w:contextualSpacing w:val="0"/>
        <w:jc w:val="both"/>
        <w:rPr>
          <w:rFonts w:ascii="Arial" w:hAnsi="Arial" w:cs="Arial"/>
          <w:spacing w:val="10"/>
          <w:sz w:val="21"/>
          <w:szCs w:val="21"/>
        </w:rPr>
      </w:pPr>
      <w:r w:rsidRPr="00FE7685">
        <w:rPr>
          <w:rFonts w:ascii="Arial" w:hAnsi="Arial" w:cs="Arial"/>
          <w:b/>
          <w:bCs/>
          <w:spacing w:val="10"/>
          <w:sz w:val="21"/>
          <w:szCs w:val="21"/>
        </w:rPr>
        <w:t>Zásada zákazu diskriminace</w:t>
      </w:r>
    </w:p>
    <w:p w14:paraId="17AF8098" w14:textId="31703710" w:rsidR="00B157FB" w:rsidRPr="007324A0" w:rsidRDefault="006E0C27" w:rsidP="00FE7685">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tuto zásadu je nutné respektovat před zahájením zadávacího</w:t>
      </w:r>
      <w:r w:rsidR="00FE7685">
        <w:rPr>
          <w:rFonts w:ascii="Arial" w:hAnsi="Arial" w:cs="Arial"/>
          <w:spacing w:val="10"/>
          <w:sz w:val="21"/>
          <w:szCs w:val="21"/>
        </w:rPr>
        <w:t xml:space="preserve"> či výběrového</w:t>
      </w:r>
      <w:r w:rsidRPr="007324A0">
        <w:rPr>
          <w:rFonts w:ascii="Arial" w:hAnsi="Arial" w:cs="Arial"/>
          <w:spacing w:val="10"/>
          <w:sz w:val="21"/>
          <w:szCs w:val="21"/>
        </w:rPr>
        <w:t xml:space="preserve"> řízení</w:t>
      </w:r>
      <w:r w:rsidR="00FE7685">
        <w:rPr>
          <w:rFonts w:ascii="Arial" w:hAnsi="Arial" w:cs="Arial"/>
          <w:spacing w:val="10"/>
          <w:sz w:val="21"/>
          <w:szCs w:val="21"/>
        </w:rPr>
        <w:t>, ale též i v jeho průběhu;</w:t>
      </w:r>
    </w:p>
    <w:p w14:paraId="1D6D27BF" w14:textId="1431E621" w:rsidR="006E0C27" w:rsidRPr="007324A0" w:rsidRDefault="00FE7685"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zadávací podmínky veřejné zakázky musí být zadavatelem nastaveny tak, aby nediskriminovali žádného z dodavatelů;</w:t>
      </w:r>
    </w:p>
    <w:p w14:paraId="52B21D4F" w14:textId="70993DD8" w:rsidR="006E0C27" w:rsidRPr="007324A0" w:rsidRDefault="00FE7685"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 xml:space="preserve">tato zásada se </w:t>
      </w:r>
      <w:r w:rsidR="006E0C27" w:rsidRPr="007324A0">
        <w:rPr>
          <w:rFonts w:ascii="Arial" w:hAnsi="Arial" w:cs="Arial"/>
          <w:spacing w:val="10"/>
          <w:sz w:val="21"/>
          <w:szCs w:val="21"/>
        </w:rPr>
        <w:t>uplatní i ve vztahu ke smluvním podmínkám – smluvní podmínky musí být nastaveny tak, aby žádnému dodavateli nebránily v podání nabídky</w:t>
      </w:r>
      <w:r w:rsidR="00C752C9">
        <w:rPr>
          <w:rFonts w:ascii="Arial" w:hAnsi="Arial" w:cs="Arial"/>
          <w:spacing w:val="10"/>
          <w:sz w:val="21"/>
          <w:szCs w:val="21"/>
        </w:rPr>
        <w:t>;</w:t>
      </w:r>
    </w:p>
    <w:p w14:paraId="7083BCD3" w14:textId="12D4586D" w:rsidR="006E0C27" w:rsidRPr="007324A0" w:rsidRDefault="00C752C9"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lastRenderedPageBreak/>
        <w:t>v praxi přitom r</w:t>
      </w:r>
      <w:r w:rsidR="006E0C27" w:rsidRPr="007324A0">
        <w:rPr>
          <w:rFonts w:ascii="Arial" w:hAnsi="Arial" w:cs="Arial"/>
          <w:spacing w:val="10"/>
          <w:sz w:val="21"/>
          <w:szCs w:val="21"/>
        </w:rPr>
        <w:t xml:space="preserve">ozlišujeme (i) </w:t>
      </w:r>
      <w:r w:rsidR="006E0C27" w:rsidRPr="00C752C9">
        <w:rPr>
          <w:rFonts w:ascii="Arial" w:hAnsi="Arial" w:cs="Arial"/>
          <w:spacing w:val="10"/>
          <w:sz w:val="21"/>
          <w:szCs w:val="21"/>
          <w:u w:val="single"/>
        </w:rPr>
        <w:t>skrytou diskriminaci</w:t>
      </w:r>
      <w:r w:rsidR="006E0C27" w:rsidRPr="007324A0">
        <w:rPr>
          <w:rFonts w:ascii="Arial" w:hAnsi="Arial" w:cs="Arial"/>
          <w:spacing w:val="10"/>
          <w:sz w:val="21"/>
          <w:szCs w:val="21"/>
        </w:rPr>
        <w:t>, kdy jsou uplatňovány stejné požadavky</w:t>
      </w:r>
      <w:r w:rsidR="00252D57" w:rsidRPr="007324A0">
        <w:rPr>
          <w:rFonts w:ascii="Arial" w:hAnsi="Arial" w:cs="Arial"/>
          <w:spacing w:val="10"/>
          <w:sz w:val="21"/>
          <w:szCs w:val="21"/>
        </w:rPr>
        <w:t>, které však mají na některé dodavatele odrazující efekt</w:t>
      </w:r>
      <w:r>
        <w:rPr>
          <w:rFonts w:ascii="Arial" w:hAnsi="Arial" w:cs="Arial"/>
          <w:spacing w:val="10"/>
          <w:sz w:val="21"/>
          <w:szCs w:val="21"/>
        </w:rPr>
        <w:t>, n</w:t>
      </w:r>
      <w:r w:rsidR="00252D57" w:rsidRPr="007324A0">
        <w:rPr>
          <w:rFonts w:ascii="Arial" w:hAnsi="Arial" w:cs="Arial"/>
          <w:spacing w:val="10"/>
          <w:sz w:val="21"/>
          <w:szCs w:val="21"/>
        </w:rPr>
        <w:t xml:space="preserve">ebo (ii) </w:t>
      </w:r>
      <w:r w:rsidR="00252D57" w:rsidRPr="00C752C9">
        <w:rPr>
          <w:rFonts w:ascii="Arial" w:hAnsi="Arial" w:cs="Arial"/>
          <w:spacing w:val="10"/>
          <w:sz w:val="21"/>
          <w:szCs w:val="21"/>
          <w:u w:val="single"/>
        </w:rPr>
        <w:t>přím</w:t>
      </w:r>
      <w:r w:rsidRPr="00C752C9">
        <w:rPr>
          <w:rFonts w:ascii="Arial" w:hAnsi="Arial" w:cs="Arial"/>
          <w:spacing w:val="10"/>
          <w:sz w:val="21"/>
          <w:szCs w:val="21"/>
          <w:u w:val="single"/>
        </w:rPr>
        <w:t>ou</w:t>
      </w:r>
      <w:r w:rsidR="00252D57" w:rsidRPr="00C752C9">
        <w:rPr>
          <w:rFonts w:ascii="Arial" w:hAnsi="Arial" w:cs="Arial"/>
          <w:spacing w:val="10"/>
          <w:sz w:val="21"/>
          <w:szCs w:val="21"/>
          <w:u w:val="single"/>
        </w:rPr>
        <w:t xml:space="preserve"> diskriminac</w:t>
      </w:r>
      <w:r w:rsidRPr="00C752C9">
        <w:rPr>
          <w:rFonts w:ascii="Arial" w:hAnsi="Arial" w:cs="Arial"/>
          <w:spacing w:val="10"/>
          <w:sz w:val="21"/>
          <w:szCs w:val="21"/>
          <w:u w:val="single"/>
        </w:rPr>
        <w:t>i</w:t>
      </w:r>
      <w:r w:rsidR="00252D57" w:rsidRPr="007324A0">
        <w:rPr>
          <w:rFonts w:ascii="Arial" w:hAnsi="Arial" w:cs="Arial"/>
          <w:spacing w:val="10"/>
          <w:sz w:val="21"/>
          <w:szCs w:val="21"/>
        </w:rPr>
        <w:t>, kdy jsou uplatňovány rozdílné podmínky vůči</w:t>
      </w:r>
      <w:r w:rsidR="007D2BA4">
        <w:rPr>
          <w:rFonts w:ascii="Arial" w:hAnsi="Arial" w:cs="Arial"/>
          <w:spacing w:val="10"/>
          <w:sz w:val="21"/>
          <w:szCs w:val="21"/>
        </w:rPr>
        <w:t> </w:t>
      </w:r>
      <w:r w:rsidR="00252D57" w:rsidRPr="007324A0">
        <w:rPr>
          <w:rFonts w:ascii="Arial" w:hAnsi="Arial" w:cs="Arial"/>
          <w:spacing w:val="10"/>
          <w:sz w:val="21"/>
          <w:szCs w:val="21"/>
        </w:rPr>
        <w:t>jednotlivý</w:t>
      </w:r>
      <w:r w:rsidR="00DE3A64" w:rsidRPr="007324A0">
        <w:rPr>
          <w:rFonts w:ascii="Arial" w:hAnsi="Arial" w:cs="Arial"/>
          <w:spacing w:val="10"/>
          <w:sz w:val="21"/>
          <w:szCs w:val="21"/>
        </w:rPr>
        <w:t>m</w:t>
      </w:r>
      <w:r w:rsidR="00E37DE1" w:rsidRPr="007324A0">
        <w:rPr>
          <w:rFonts w:ascii="Arial" w:hAnsi="Arial" w:cs="Arial"/>
          <w:spacing w:val="10"/>
          <w:sz w:val="21"/>
          <w:szCs w:val="21"/>
        </w:rPr>
        <w:t xml:space="preserve"> </w:t>
      </w:r>
      <w:r w:rsidR="00252D57" w:rsidRPr="007324A0">
        <w:rPr>
          <w:rFonts w:ascii="Arial" w:hAnsi="Arial" w:cs="Arial"/>
          <w:spacing w:val="10"/>
          <w:sz w:val="21"/>
          <w:szCs w:val="21"/>
        </w:rPr>
        <w:t>dodavatelům, nebo je dodavatelům znemožněno se</w:t>
      </w:r>
      <w:r w:rsidR="007D2BA4">
        <w:rPr>
          <w:rFonts w:ascii="Arial" w:hAnsi="Arial" w:cs="Arial"/>
          <w:spacing w:val="10"/>
          <w:sz w:val="21"/>
          <w:szCs w:val="21"/>
        </w:rPr>
        <w:t> </w:t>
      </w:r>
      <w:r w:rsidR="00252D57" w:rsidRPr="007324A0">
        <w:rPr>
          <w:rFonts w:ascii="Arial" w:hAnsi="Arial" w:cs="Arial"/>
          <w:spacing w:val="10"/>
          <w:sz w:val="21"/>
          <w:szCs w:val="21"/>
        </w:rPr>
        <w:t>ucházet o veřejnou zakázku.</w:t>
      </w:r>
    </w:p>
    <w:p w14:paraId="3E16B03F" w14:textId="77777777" w:rsidR="00C6181E" w:rsidRPr="00C6181E" w:rsidRDefault="00B157FB" w:rsidP="007324A0">
      <w:pPr>
        <w:pStyle w:val="Odstavecseseznamem"/>
        <w:numPr>
          <w:ilvl w:val="0"/>
          <w:numId w:val="3"/>
        </w:numPr>
        <w:snapToGrid w:val="0"/>
        <w:spacing w:after="120" w:line="276" w:lineRule="auto"/>
        <w:contextualSpacing w:val="0"/>
        <w:jc w:val="both"/>
        <w:rPr>
          <w:rFonts w:ascii="Arial" w:hAnsi="Arial" w:cs="Arial"/>
          <w:spacing w:val="10"/>
          <w:sz w:val="21"/>
          <w:szCs w:val="21"/>
        </w:rPr>
      </w:pPr>
      <w:r w:rsidRPr="00C6181E">
        <w:rPr>
          <w:rFonts w:ascii="Arial" w:hAnsi="Arial" w:cs="Arial"/>
          <w:b/>
          <w:bCs/>
          <w:spacing w:val="10"/>
          <w:sz w:val="21"/>
          <w:szCs w:val="21"/>
        </w:rPr>
        <w:t>Zásada rovného zacházení</w:t>
      </w:r>
    </w:p>
    <w:p w14:paraId="7819FA33" w14:textId="78F96F34" w:rsidR="00B157FB" w:rsidRPr="007324A0" w:rsidRDefault="00F45DBB" w:rsidP="00C6181E">
      <w:pPr>
        <w:pStyle w:val="Odstavecseseznamem"/>
        <w:numPr>
          <w:ilvl w:val="0"/>
          <w:numId w:val="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n</w:t>
      </w:r>
      <w:r w:rsidR="00C6181E">
        <w:rPr>
          <w:rFonts w:ascii="Arial" w:hAnsi="Arial" w:cs="Arial"/>
          <w:spacing w:val="10"/>
          <w:sz w:val="21"/>
          <w:szCs w:val="21"/>
        </w:rPr>
        <w:t>a základě této zásady</w:t>
      </w:r>
      <w:r>
        <w:rPr>
          <w:rFonts w:ascii="Arial" w:hAnsi="Arial" w:cs="Arial"/>
          <w:spacing w:val="10"/>
          <w:sz w:val="21"/>
          <w:szCs w:val="21"/>
        </w:rPr>
        <w:t xml:space="preserve"> je nutné ze strany zadavatele přistupovat ke </w:t>
      </w:r>
      <w:r w:rsidR="006E0C27" w:rsidRPr="007324A0">
        <w:rPr>
          <w:rFonts w:ascii="Arial" w:hAnsi="Arial" w:cs="Arial"/>
          <w:spacing w:val="10"/>
          <w:sz w:val="21"/>
          <w:szCs w:val="21"/>
        </w:rPr>
        <w:t>všem účastníkům zadávacího řízení</w:t>
      </w:r>
      <w:r w:rsidR="00252D57" w:rsidRPr="007324A0">
        <w:rPr>
          <w:rFonts w:ascii="Arial" w:hAnsi="Arial" w:cs="Arial"/>
          <w:spacing w:val="10"/>
          <w:sz w:val="21"/>
          <w:szCs w:val="21"/>
        </w:rPr>
        <w:t>, kteří se nachází ve</w:t>
      </w:r>
      <w:r>
        <w:rPr>
          <w:rFonts w:ascii="Arial" w:hAnsi="Arial" w:cs="Arial"/>
          <w:spacing w:val="10"/>
          <w:sz w:val="21"/>
          <w:szCs w:val="21"/>
        </w:rPr>
        <w:t> </w:t>
      </w:r>
      <w:r w:rsidR="00252D57" w:rsidRPr="007324A0">
        <w:rPr>
          <w:rFonts w:ascii="Arial" w:hAnsi="Arial" w:cs="Arial"/>
          <w:spacing w:val="10"/>
          <w:sz w:val="21"/>
          <w:szCs w:val="21"/>
        </w:rPr>
        <w:t>srovnatelných situacích,</w:t>
      </w:r>
      <w:r w:rsidR="006E0C27" w:rsidRPr="007324A0">
        <w:rPr>
          <w:rFonts w:ascii="Arial" w:hAnsi="Arial" w:cs="Arial"/>
          <w:spacing w:val="10"/>
          <w:sz w:val="21"/>
          <w:szCs w:val="21"/>
        </w:rPr>
        <w:t xml:space="preserve"> </w:t>
      </w:r>
      <w:r>
        <w:rPr>
          <w:rFonts w:ascii="Arial" w:hAnsi="Arial" w:cs="Arial"/>
          <w:spacing w:val="10"/>
          <w:sz w:val="21"/>
          <w:szCs w:val="21"/>
        </w:rPr>
        <w:t>totožným způsobem a nikoho nezvýhodňovat</w:t>
      </w:r>
      <w:r w:rsidR="006E0C27" w:rsidRPr="007324A0">
        <w:rPr>
          <w:rFonts w:ascii="Arial" w:hAnsi="Arial" w:cs="Arial"/>
          <w:spacing w:val="10"/>
          <w:sz w:val="21"/>
          <w:szCs w:val="21"/>
        </w:rPr>
        <w:t xml:space="preserve"> (např. </w:t>
      </w:r>
      <w:r>
        <w:rPr>
          <w:rFonts w:ascii="Arial" w:hAnsi="Arial" w:cs="Arial"/>
          <w:spacing w:val="10"/>
          <w:sz w:val="21"/>
          <w:szCs w:val="21"/>
        </w:rPr>
        <w:t>tím, že mu budou poskytovány informace navíc, které mu zajistí úspěch v zadávacím č</w:t>
      </w:r>
      <w:r w:rsidR="007F05DA">
        <w:rPr>
          <w:rFonts w:ascii="Arial" w:hAnsi="Arial" w:cs="Arial"/>
          <w:spacing w:val="10"/>
          <w:sz w:val="21"/>
          <w:szCs w:val="21"/>
        </w:rPr>
        <w:t>i</w:t>
      </w:r>
      <w:r w:rsidR="007D2BA4">
        <w:rPr>
          <w:rFonts w:ascii="Arial" w:hAnsi="Arial" w:cs="Arial"/>
          <w:spacing w:val="10"/>
          <w:sz w:val="21"/>
          <w:szCs w:val="21"/>
        </w:rPr>
        <w:t> </w:t>
      </w:r>
      <w:r>
        <w:rPr>
          <w:rFonts w:ascii="Arial" w:hAnsi="Arial" w:cs="Arial"/>
          <w:spacing w:val="10"/>
          <w:sz w:val="21"/>
          <w:szCs w:val="21"/>
        </w:rPr>
        <w:t>výběrovém řízení</w:t>
      </w:r>
      <w:r w:rsidR="006E0C27" w:rsidRPr="007324A0">
        <w:rPr>
          <w:rFonts w:ascii="Arial" w:hAnsi="Arial" w:cs="Arial"/>
          <w:spacing w:val="10"/>
          <w:sz w:val="21"/>
          <w:szCs w:val="21"/>
        </w:rPr>
        <w:t>)</w:t>
      </w:r>
      <w:r>
        <w:rPr>
          <w:rFonts w:ascii="Arial" w:hAnsi="Arial" w:cs="Arial"/>
          <w:spacing w:val="10"/>
          <w:sz w:val="21"/>
          <w:szCs w:val="21"/>
        </w:rPr>
        <w:t>.</w:t>
      </w:r>
    </w:p>
    <w:p w14:paraId="55CAFDEC" w14:textId="77777777" w:rsidR="007F05DA" w:rsidRPr="007F05DA" w:rsidRDefault="00B157FB" w:rsidP="007324A0">
      <w:pPr>
        <w:pStyle w:val="Odstavecseseznamem"/>
        <w:numPr>
          <w:ilvl w:val="0"/>
          <w:numId w:val="3"/>
        </w:numPr>
        <w:snapToGrid w:val="0"/>
        <w:spacing w:after="120" w:line="276" w:lineRule="auto"/>
        <w:contextualSpacing w:val="0"/>
        <w:jc w:val="both"/>
        <w:rPr>
          <w:rFonts w:ascii="Arial" w:hAnsi="Arial" w:cs="Arial"/>
          <w:b/>
          <w:bCs/>
          <w:spacing w:val="10"/>
          <w:sz w:val="21"/>
          <w:szCs w:val="21"/>
        </w:rPr>
      </w:pPr>
      <w:r w:rsidRPr="007F05DA">
        <w:rPr>
          <w:rFonts w:ascii="Arial" w:hAnsi="Arial" w:cs="Arial"/>
          <w:b/>
          <w:bCs/>
          <w:spacing w:val="10"/>
          <w:sz w:val="21"/>
          <w:szCs w:val="21"/>
        </w:rPr>
        <w:t>Zásady odpovědného zadávání</w:t>
      </w:r>
      <w:r w:rsidR="003A6741" w:rsidRPr="007F05DA">
        <w:rPr>
          <w:rFonts w:ascii="Arial" w:hAnsi="Arial" w:cs="Arial"/>
          <w:b/>
          <w:bCs/>
          <w:spacing w:val="10"/>
          <w:sz w:val="21"/>
          <w:szCs w:val="21"/>
        </w:rPr>
        <w:t xml:space="preserve"> </w:t>
      </w:r>
    </w:p>
    <w:p w14:paraId="4D64FE4A" w14:textId="77AE7CF3" w:rsidR="00B157FB" w:rsidRDefault="003A6741" w:rsidP="007F05DA">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t</w:t>
      </w:r>
      <w:r w:rsidR="007F05DA">
        <w:rPr>
          <w:rFonts w:ascii="Arial" w:hAnsi="Arial" w:cs="Arial"/>
          <w:spacing w:val="10"/>
          <w:sz w:val="21"/>
          <w:szCs w:val="21"/>
        </w:rPr>
        <w:t>y</w:t>
      </w:r>
      <w:r w:rsidRPr="007324A0">
        <w:rPr>
          <w:rFonts w:ascii="Arial" w:hAnsi="Arial" w:cs="Arial"/>
          <w:spacing w:val="10"/>
          <w:sz w:val="21"/>
          <w:szCs w:val="21"/>
        </w:rPr>
        <w:t>to zásada se aplikuj</w:t>
      </w:r>
      <w:r w:rsidR="007F05DA">
        <w:rPr>
          <w:rFonts w:ascii="Arial" w:hAnsi="Arial" w:cs="Arial"/>
          <w:spacing w:val="10"/>
          <w:sz w:val="21"/>
          <w:szCs w:val="21"/>
        </w:rPr>
        <w:t>í</w:t>
      </w:r>
      <w:r w:rsidRPr="007324A0">
        <w:rPr>
          <w:rFonts w:ascii="Arial" w:hAnsi="Arial" w:cs="Arial"/>
          <w:spacing w:val="10"/>
          <w:sz w:val="21"/>
          <w:szCs w:val="21"/>
        </w:rPr>
        <w:t xml:space="preserve"> v případě těch zadávacích </w:t>
      </w:r>
      <w:r w:rsidR="007F05DA">
        <w:rPr>
          <w:rFonts w:ascii="Arial" w:hAnsi="Arial" w:cs="Arial"/>
          <w:spacing w:val="10"/>
          <w:sz w:val="21"/>
          <w:szCs w:val="21"/>
        </w:rPr>
        <w:t xml:space="preserve">či výběrových </w:t>
      </w:r>
      <w:r w:rsidRPr="007324A0">
        <w:rPr>
          <w:rFonts w:ascii="Arial" w:hAnsi="Arial" w:cs="Arial"/>
          <w:spacing w:val="10"/>
          <w:sz w:val="21"/>
          <w:szCs w:val="21"/>
        </w:rPr>
        <w:t>řízení</w:t>
      </w:r>
      <w:r w:rsidR="007F05DA">
        <w:rPr>
          <w:rFonts w:ascii="Arial" w:hAnsi="Arial" w:cs="Arial"/>
          <w:spacing w:val="10"/>
          <w:sz w:val="21"/>
          <w:szCs w:val="21"/>
        </w:rPr>
        <w:t>ch</w:t>
      </w:r>
      <w:r w:rsidRPr="007324A0">
        <w:rPr>
          <w:rFonts w:ascii="Arial" w:hAnsi="Arial" w:cs="Arial"/>
          <w:spacing w:val="10"/>
          <w:sz w:val="21"/>
          <w:szCs w:val="21"/>
        </w:rPr>
        <w:t xml:space="preserve">, </w:t>
      </w:r>
      <w:r w:rsidR="007F05DA">
        <w:rPr>
          <w:rFonts w:ascii="Arial" w:hAnsi="Arial" w:cs="Arial"/>
          <w:spacing w:val="10"/>
          <w:sz w:val="21"/>
          <w:szCs w:val="21"/>
        </w:rPr>
        <w:t>u</w:t>
      </w:r>
      <w:r w:rsidR="007D2BA4">
        <w:rPr>
          <w:rFonts w:ascii="Arial" w:hAnsi="Arial" w:cs="Arial"/>
          <w:spacing w:val="10"/>
          <w:sz w:val="21"/>
          <w:szCs w:val="21"/>
        </w:rPr>
        <w:t> </w:t>
      </w:r>
      <w:r w:rsidR="007F05DA">
        <w:rPr>
          <w:rFonts w:ascii="Arial" w:hAnsi="Arial" w:cs="Arial"/>
          <w:spacing w:val="10"/>
          <w:sz w:val="21"/>
          <w:szCs w:val="21"/>
        </w:rPr>
        <w:t xml:space="preserve">kterých </w:t>
      </w:r>
      <w:r w:rsidRPr="007324A0">
        <w:rPr>
          <w:rFonts w:ascii="Arial" w:hAnsi="Arial" w:cs="Arial"/>
          <w:spacing w:val="10"/>
          <w:sz w:val="21"/>
          <w:szCs w:val="21"/>
        </w:rPr>
        <w:t>to je vhodné, přičemž vhodnost použití kritérií odpovědného zadávání posuzuje</w:t>
      </w:r>
      <w:r w:rsidR="007F05DA">
        <w:rPr>
          <w:rFonts w:ascii="Arial" w:hAnsi="Arial" w:cs="Arial"/>
          <w:spacing w:val="10"/>
          <w:sz w:val="21"/>
          <w:szCs w:val="21"/>
        </w:rPr>
        <w:t xml:space="preserve"> </w:t>
      </w:r>
      <w:r w:rsidRPr="007324A0">
        <w:rPr>
          <w:rFonts w:ascii="Arial" w:hAnsi="Arial" w:cs="Arial"/>
          <w:spacing w:val="10"/>
          <w:sz w:val="21"/>
          <w:szCs w:val="21"/>
        </w:rPr>
        <w:t>pouze a jen zadavatel</w:t>
      </w:r>
      <w:r w:rsidR="007F05DA">
        <w:rPr>
          <w:rFonts w:ascii="Arial" w:hAnsi="Arial" w:cs="Arial"/>
          <w:spacing w:val="10"/>
          <w:sz w:val="21"/>
          <w:szCs w:val="21"/>
        </w:rPr>
        <w:t xml:space="preserve"> – tzn. že tyto zásady se v případě některých zadávacích či výběrových řízeních </w:t>
      </w:r>
      <w:r w:rsidRPr="007F05DA">
        <w:rPr>
          <w:rFonts w:ascii="Arial" w:hAnsi="Arial" w:cs="Arial"/>
          <w:spacing w:val="10"/>
          <w:sz w:val="21"/>
          <w:szCs w:val="21"/>
        </w:rPr>
        <w:t>neuplatní</w:t>
      </w:r>
      <w:r w:rsidR="007F05DA">
        <w:rPr>
          <w:rFonts w:ascii="Arial" w:hAnsi="Arial" w:cs="Arial"/>
          <w:spacing w:val="10"/>
          <w:sz w:val="21"/>
          <w:szCs w:val="21"/>
        </w:rPr>
        <w:t>;</w:t>
      </w:r>
    </w:p>
    <w:p w14:paraId="64050FE4" w14:textId="77777777" w:rsidR="007F05DA" w:rsidRDefault="007F05DA" w:rsidP="007F05DA">
      <w:pPr>
        <w:pStyle w:val="Odstavecseseznamem"/>
        <w:numPr>
          <w:ilvl w:val="0"/>
          <w:numId w:val="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téměř vždy je možné:</w:t>
      </w:r>
    </w:p>
    <w:p w14:paraId="3C631FA6" w14:textId="200F3636" w:rsidR="007F05DA" w:rsidRDefault="007F05DA" w:rsidP="007F05DA">
      <w:pPr>
        <w:pStyle w:val="Odstavecseseznamem"/>
        <w:numPr>
          <w:ilvl w:val="0"/>
          <w:numId w:val="3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podporovat malé a střední podniky tím, že ze strany zadavatele jsou připraveny vzorové formuláře, jež jsou poskytnuty dodavatelům pro</w:t>
      </w:r>
      <w:r w:rsidR="007D2BA4">
        <w:rPr>
          <w:rFonts w:ascii="Arial" w:hAnsi="Arial" w:cs="Arial"/>
          <w:spacing w:val="10"/>
          <w:sz w:val="21"/>
          <w:szCs w:val="21"/>
        </w:rPr>
        <w:t> </w:t>
      </w:r>
      <w:r>
        <w:rPr>
          <w:rFonts w:ascii="Arial" w:hAnsi="Arial" w:cs="Arial"/>
          <w:spacing w:val="10"/>
          <w:sz w:val="21"/>
          <w:szCs w:val="21"/>
        </w:rPr>
        <w:t>účely přípravy jejich nabídky;</w:t>
      </w:r>
    </w:p>
    <w:p w14:paraId="0CF71537" w14:textId="17DD2B1A" w:rsidR="007F05DA" w:rsidRDefault="007F05DA" w:rsidP="007F05DA">
      <w:pPr>
        <w:pStyle w:val="Odstavecseseznamem"/>
        <w:numPr>
          <w:ilvl w:val="0"/>
          <w:numId w:val="3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požadovat dodržování předpisů v oblasti pracovněprávní, oblasti zaměstnanosti a bezpečnosti a ochrany zdraví při práci – tento požadavek je potřebné zahrnout do smlouvy na plnění veřejné zakázky;</w:t>
      </w:r>
    </w:p>
    <w:p w14:paraId="790F0E5E" w14:textId="11D7F042" w:rsidR="007F05DA" w:rsidRDefault="007F05DA" w:rsidP="007F05DA">
      <w:pPr>
        <w:pStyle w:val="Odstavecseseznamem"/>
        <w:numPr>
          <w:ilvl w:val="0"/>
          <w:numId w:val="34"/>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 xml:space="preserve">požadovat ochranu poddodavatelů vybraného </w:t>
      </w:r>
      <w:r w:rsidR="007D2BA4">
        <w:rPr>
          <w:rFonts w:ascii="Arial" w:hAnsi="Arial" w:cs="Arial"/>
          <w:spacing w:val="10"/>
          <w:sz w:val="21"/>
          <w:szCs w:val="21"/>
        </w:rPr>
        <w:t>dodavatele – tento</w:t>
      </w:r>
      <w:r>
        <w:rPr>
          <w:rFonts w:ascii="Arial" w:hAnsi="Arial" w:cs="Arial"/>
          <w:spacing w:val="10"/>
          <w:sz w:val="21"/>
          <w:szCs w:val="21"/>
        </w:rPr>
        <w:t xml:space="preserve"> požadavek je potřebné zahrnout do smlouvy na plnění veřejné zakázky.</w:t>
      </w:r>
    </w:p>
    <w:p w14:paraId="4DD423A7" w14:textId="77777777" w:rsidR="007D2BA4" w:rsidRPr="007F05DA" w:rsidRDefault="007D2BA4" w:rsidP="007D2BA4">
      <w:pPr>
        <w:pStyle w:val="Odstavecseseznamem"/>
        <w:snapToGrid w:val="0"/>
        <w:spacing w:after="120" w:line="276" w:lineRule="auto"/>
        <w:ind w:left="2160"/>
        <w:contextualSpacing w:val="0"/>
        <w:jc w:val="both"/>
        <w:rPr>
          <w:rFonts w:ascii="Arial" w:hAnsi="Arial" w:cs="Arial"/>
          <w:spacing w:val="10"/>
          <w:sz w:val="21"/>
          <w:szCs w:val="21"/>
        </w:rPr>
      </w:pPr>
    </w:p>
    <w:p w14:paraId="667A125E" w14:textId="1DFA5FA1" w:rsidR="00F03909" w:rsidRPr="007324A0" w:rsidRDefault="00F03909" w:rsidP="007324A0">
      <w:pPr>
        <w:pStyle w:val="Odstavecseseznamem"/>
        <w:numPr>
          <w:ilvl w:val="0"/>
          <w:numId w:val="2"/>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Požadavky na kvalifikaci</w:t>
      </w:r>
    </w:p>
    <w:p w14:paraId="4B1186E7" w14:textId="76CDAC00" w:rsidR="003A24BA" w:rsidRPr="007D2BA4" w:rsidRDefault="00F232D1" w:rsidP="007D2BA4">
      <w:pPr>
        <w:pStyle w:val="Odstavecseseznamem"/>
        <w:numPr>
          <w:ilvl w:val="0"/>
          <w:numId w:val="3"/>
        </w:numPr>
        <w:snapToGrid w:val="0"/>
        <w:spacing w:after="120" w:line="276" w:lineRule="auto"/>
        <w:contextualSpacing w:val="0"/>
        <w:jc w:val="both"/>
        <w:rPr>
          <w:rFonts w:ascii="Arial" w:hAnsi="Arial" w:cs="Arial"/>
          <w:b/>
          <w:bCs/>
          <w:spacing w:val="10"/>
          <w:sz w:val="21"/>
          <w:szCs w:val="21"/>
        </w:rPr>
      </w:pPr>
      <w:r w:rsidRPr="007D2BA4">
        <w:rPr>
          <w:rFonts w:ascii="Arial" w:hAnsi="Arial" w:cs="Arial"/>
          <w:b/>
          <w:bCs/>
          <w:spacing w:val="10"/>
          <w:sz w:val="21"/>
          <w:szCs w:val="21"/>
        </w:rPr>
        <w:t>Kvalifikace v nadlimitním režimu</w:t>
      </w:r>
    </w:p>
    <w:p w14:paraId="7144AD7C" w14:textId="76B9A793" w:rsidR="00F232D1" w:rsidRPr="007324A0" w:rsidRDefault="00F232D1"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Vždy je nutné požadovat prokázání základní způsobilost a profesní způsobilost dle § 77 odst. 1 ZZVZ (tj. výpis z obchodního rejstříku nebo</w:t>
      </w:r>
      <w:r w:rsidR="007D2BA4">
        <w:rPr>
          <w:rFonts w:ascii="Arial" w:hAnsi="Arial" w:cs="Arial"/>
          <w:spacing w:val="10"/>
          <w:sz w:val="21"/>
          <w:szCs w:val="21"/>
        </w:rPr>
        <w:t> </w:t>
      </w:r>
      <w:r w:rsidRPr="007324A0">
        <w:rPr>
          <w:rFonts w:ascii="Arial" w:hAnsi="Arial" w:cs="Arial"/>
          <w:spacing w:val="10"/>
          <w:sz w:val="21"/>
          <w:szCs w:val="21"/>
        </w:rPr>
        <w:t>z jiné obdobné evidence).</w:t>
      </w:r>
    </w:p>
    <w:p w14:paraId="4E299A51" w14:textId="4B5EA4E4" w:rsidR="00F232D1" w:rsidRPr="007324A0" w:rsidRDefault="00F232D1"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 xml:space="preserve">Zcela </w:t>
      </w:r>
      <w:r w:rsidR="007D2BA4">
        <w:rPr>
          <w:rFonts w:ascii="Arial" w:hAnsi="Arial" w:cs="Arial"/>
          <w:spacing w:val="10"/>
          <w:sz w:val="21"/>
          <w:szCs w:val="21"/>
        </w:rPr>
        <w:t>n</w:t>
      </w:r>
      <w:r w:rsidRPr="007324A0">
        <w:rPr>
          <w:rFonts w:ascii="Arial" w:hAnsi="Arial" w:cs="Arial"/>
          <w:spacing w:val="10"/>
          <w:sz w:val="21"/>
          <w:szCs w:val="21"/>
        </w:rPr>
        <w:t>a rozhodnutí zadavatele je profesní způsobilost dle § 77 odst. 2 ZZVZ, ekonomická kvalifikace a technická kvalifikace.</w:t>
      </w:r>
    </w:p>
    <w:p w14:paraId="33611469" w14:textId="7C8ABAFA" w:rsidR="00F232D1" w:rsidRPr="007324A0" w:rsidRDefault="00F232D1"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V nadlimitním režimu není možné požadovat prokázání jiné než výše uvedené kvalifikace.</w:t>
      </w:r>
    </w:p>
    <w:p w14:paraId="4D08DFED" w14:textId="586DD60E" w:rsidR="00F232D1" w:rsidRPr="007324A0" w:rsidRDefault="00F232D1"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V případě technické a ekonomické kvalifikace musí zadavatel v zadávací dokumentaci uvést minimální úroveň pro splnění.</w:t>
      </w:r>
    </w:p>
    <w:p w14:paraId="2C335D52" w14:textId="5B3C076D" w:rsidR="00F0317A" w:rsidRPr="007D2BA4" w:rsidRDefault="00F0317A" w:rsidP="007324A0">
      <w:pPr>
        <w:pStyle w:val="Odstavecseseznamem"/>
        <w:numPr>
          <w:ilvl w:val="0"/>
          <w:numId w:val="17"/>
        </w:numPr>
        <w:snapToGrid w:val="0"/>
        <w:spacing w:after="120" w:line="276" w:lineRule="auto"/>
        <w:contextualSpacing w:val="0"/>
        <w:jc w:val="both"/>
        <w:rPr>
          <w:rFonts w:ascii="Arial" w:hAnsi="Arial" w:cs="Arial"/>
          <w:b/>
          <w:bCs/>
          <w:spacing w:val="10"/>
          <w:sz w:val="21"/>
          <w:szCs w:val="21"/>
        </w:rPr>
      </w:pPr>
      <w:r w:rsidRPr="007D2BA4">
        <w:rPr>
          <w:rFonts w:ascii="Arial" w:hAnsi="Arial" w:cs="Arial"/>
          <w:b/>
          <w:bCs/>
          <w:spacing w:val="10"/>
          <w:sz w:val="21"/>
          <w:szCs w:val="21"/>
        </w:rPr>
        <w:t>Nastavení kvalifikace v nadlimitním režimu</w:t>
      </w:r>
    </w:p>
    <w:p w14:paraId="7E04F091" w14:textId="77777777" w:rsidR="007D2BA4" w:rsidRDefault="00F0317A" w:rsidP="007D2BA4">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Ekonomickou a technickou kvalifikaci, pokud ji zadavatel požaduje po</w:t>
      </w:r>
      <w:r w:rsidR="007D2BA4">
        <w:rPr>
          <w:rFonts w:ascii="Arial" w:hAnsi="Arial" w:cs="Arial"/>
          <w:spacing w:val="10"/>
          <w:sz w:val="21"/>
          <w:szCs w:val="21"/>
        </w:rPr>
        <w:t> </w:t>
      </w:r>
      <w:r w:rsidRPr="007324A0">
        <w:rPr>
          <w:rFonts w:ascii="Arial" w:hAnsi="Arial" w:cs="Arial"/>
          <w:spacing w:val="10"/>
          <w:sz w:val="21"/>
          <w:szCs w:val="21"/>
        </w:rPr>
        <w:t xml:space="preserve">dodavatelích prokázat, </w:t>
      </w:r>
      <w:r w:rsidR="007D2BA4">
        <w:rPr>
          <w:rFonts w:ascii="Arial" w:hAnsi="Arial" w:cs="Arial"/>
          <w:spacing w:val="10"/>
          <w:sz w:val="21"/>
          <w:szCs w:val="21"/>
        </w:rPr>
        <w:t>je nutné ze strany</w:t>
      </w:r>
      <w:r w:rsidRPr="007324A0">
        <w:rPr>
          <w:rFonts w:ascii="Arial" w:hAnsi="Arial" w:cs="Arial"/>
          <w:spacing w:val="10"/>
          <w:sz w:val="21"/>
          <w:szCs w:val="21"/>
        </w:rPr>
        <w:t xml:space="preserve"> </w:t>
      </w:r>
      <w:r w:rsidR="007D2BA4">
        <w:rPr>
          <w:rFonts w:ascii="Arial" w:hAnsi="Arial" w:cs="Arial"/>
          <w:spacing w:val="10"/>
          <w:sz w:val="21"/>
          <w:szCs w:val="21"/>
        </w:rPr>
        <w:t>zadavatele nastavit tak</w:t>
      </w:r>
      <w:r w:rsidRPr="007324A0">
        <w:rPr>
          <w:rFonts w:ascii="Arial" w:hAnsi="Arial" w:cs="Arial"/>
          <w:spacing w:val="10"/>
          <w:sz w:val="21"/>
          <w:szCs w:val="21"/>
        </w:rPr>
        <w:t xml:space="preserve">, </w:t>
      </w:r>
      <w:r w:rsidRPr="007324A0">
        <w:rPr>
          <w:rFonts w:ascii="Arial" w:hAnsi="Arial" w:cs="Arial"/>
          <w:spacing w:val="10"/>
          <w:sz w:val="21"/>
          <w:szCs w:val="21"/>
        </w:rPr>
        <w:lastRenderedPageBreak/>
        <w:t>aby</w:t>
      </w:r>
      <w:r w:rsidR="007D2BA4">
        <w:rPr>
          <w:rFonts w:ascii="Arial" w:hAnsi="Arial" w:cs="Arial"/>
          <w:spacing w:val="10"/>
          <w:sz w:val="21"/>
          <w:szCs w:val="21"/>
        </w:rPr>
        <w:t xml:space="preserve"> tato </w:t>
      </w:r>
      <w:r w:rsidRPr="007324A0">
        <w:rPr>
          <w:rFonts w:ascii="Arial" w:hAnsi="Arial" w:cs="Arial"/>
          <w:spacing w:val="10"/>
          <w:sz w:val="21"/>
          <w:szCs w:val="21"/>
        </w:rPr>
        <w:t>byla přiměřená rozsahu předmětu veřejné zakázky a též vzhledem ke složitosti předmětu veřejné zakázky.</w:t>
      </w:r>
    </w:p>
    <w:p w14:paraId="3CD0AAC0" w14:textId="30F1256D" w:rsidR="00F0317A" w:rsidRPr="007D2BA4" w:rsidRDefault="00F0317A" w:rsidP="007D2BA4">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D2BA4">
        <w:rPr>
          <w:rFonts w:ascii="Arial" w:hAnsi="Arial" w:cs="Arial"/>
          <w:spacing w:val="10"/>
          <w:sz w:val="21"/>
          <w:szCs w:val="21"/>
        </w:rPr>
        <w:t xml:space="preserve">Při </w:t>
      </w:r>
      <w:r w:rsidR="007D2BA4">
        <w:rPr>
          <w:rFonts w:ascii="Arial" w:hAnsi="Arial" w:cs="Arial"/>
          <w:spacing w:val="10"/>
          <w:sz w:val="21"/>
          <w:szCs w:val="21"/>
        </w:rPr>
        <w:t xml:space="preserve">stanovení požadavků </w:t>
      </w:r>
      <w:r w:rsidRPr="007D2BA4">
        <w:rPr>
          <w:rFonts w:ascii="Arial" w:hAnsi="Arial" w:cs="Arial"/>
          <w:spacing w:val="10"/>
          <w:sz w:val="21"/>
          <w:szCs w:val="21"/>
        </w:rPr>
        <w:t xml:space="preserve">ekonomické a technické kvalifikaci je potřebné </w:t>
      </w:r>
      <w:r w:rsidR="007D2BA4">
        <w:rPr>
          <w:rFonts w:ascii="Arial" w:hAnsi="Arial" w:cs="Arial"/>
          <w:spacing w:val="10"/>
          <w:sz w:val="21"/>
          <w:szCs w:val="21"/>
        </w:rPr>
        <w:t xml:space="preserve">ze strany zadavatele </w:t>
      </w:r>
      <w:r w:rsidRPr="007D2BA4">
        <w:rPr>
          <w:rFonts w:ascii="Arial" w:hAnsi="Arial" w:cs="Arial"/>
          <w:spacing w:val="10"/>
          <w:sz w:val="21"/>
          <w:szCs w:val="21"/>
        </w:rPr>
        <w:t>přihlížet i k předpokládané hodnotě veřejné zakázky.</w:t>
      </w:r>
    </w:p>
    <w:p w14:paraId="73370957" w14:textId="6562F437" w:rsidR="00F232D1" w:rsidRPr="007D2BA4" w:rsidRDefault="00F232D1" w:rsidP="007324A0">
      <w:pPr>
        <w:pStyle w:val="Odstavecseseznamem"/>
        <w:numPr>
          <w:ilvl w:val="0"/>
          <w:numId w:val="17"/>
        </w:numPr>
        <w:snapToGrid w:val="0"/>
        <w:spacing w:after="120" w:line="276" w:lineRule="auto"/>
        <w:contextualSpacing w:val="0"/>
        <w:jc w:val="both"/>
        <w:rPr>
          <w:rFonts w:ascii="Arial" w:hAnsi="Arial" w:cs="Arial"/>
          <w:b/>
          <w:bCs/>
          <w:spacing w:val="10"/>
          <w:sz w:val="21"/>
          <w:szCs w:val="21"/>
        </w:rPr>
      </w:pPr>
      <w:r w:rsidRPr="007D2BA4">
        <w:rPr>
          <w:rFonts w:ascii="Arial" w:hAnsi="Arial" w:cs="Arial"/>
          <w:b/>
          <w:bCs/>
          <w:spacing w:val="10"/>
          <w:sz w:val="21"/>
          <w:szCs w:val="21"/>
        </w:rPr>
        <w:t>Kvalifikace v podlimitním režimu</w:t>
      </w:r>
    </w:p>
    <w:p w14:paraId="63845189" w14:textId="2CE9513C" w:rsidR="00F0317A" w:rsidRPr="007324A0" w:rsidRDefault="00545B10" w:rsidP="007324A0">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Z</w:t>
      </w:r>
      <w:r w:rsidR="00F0317A" w:rsidRPr="007324A0">
        <w:rPr>
          <w:rFonts w:ascii="Arial" w:hAnsi="Arial" w:cs="Arial"/>
          <w:spacing w:val="10"/>
          <w:sz w:val="21"/>
          <w:szCs w:val="21"/>
        </w:rPr>
        <w:t>adavatel nemusí vůbec požadovat splnění kritérií kvalifikace – s ohledem na předmět veřejné zakázky a celkové okolnosti jejího zadávání by měl zadavatel zvážit, zda je účelné požadovat prokázání splnění kvalifikace.</w:t>
      </w:r>
    </w:p>
    <w:p w14:paraId="368CA64A" w14:textId="4048218B" w:rsidR="00F0317A" w:rsidRPr="007324A0" w:rsidRDefault="00F0317A" w:rsidP="007D2BA4">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Pokud se zadavatel rozhodně požadovat prokázání kvalifikace má možnost</w:t>
      </w:r>
      <w:r w:rsidR="00F232D1" w:rsidRPr="007324A0">
        <w:rPr>
          <w:rFonts w:ascii="Arial" w:hAnsi="Arial" w:cs="Arial"/>
          <w:spacing w:val="10"/>
          <w:sz w:val="21"/>
          <w:szCs w:val="21"/>
        </w:rPr>
        <w:t xml:space="preserve"> využít </w:t>
      </w:r>
      <w:r w:rsidRPr="007324A0">
        <w:rPr>
          <w:rFonts w:ascii="Arial" w:hAnsi="Arial" w:cs="Arial"/>
          <w:spacing w:val="10"/>
          <w:sz w:val="21"/>
          <w:szCs w:val="21"/>
        </w:rPr>
        <w:t>kritéria, která jsou stanovena pro nadlimitní režim</w:t>
      </w:r>
      <w:r w:rsidR="007D2BA4">
        <w:rPr>
          <w:rFonts w:ascii="Arial" w:hAnsi="Arial" w:cs="Arial"/>
          <w:spacing w:val="10"/>
          <w:sz w:val="21"/>
          <w:szCs w:val="21"/>
        </w:rPr>
        <w:t xml:space="preserve"> (tato jsou uvedena výše)</w:t>
      </w:r>
      <w:r w:rsidRPr="007324A0">
        <w:rPr>
          <w:rFonts w:ascii="Arial" w:hAnsi="Arial" w:cs="Arial"/>
          <w:spacing w:val="10"/>
          <w:sz w:val="21"/>
          <w:szCs w:val="21"/>
        </w:rPr>
        <w:t>.</w:t>
      </w:r>
      <w:r w:rsidR="00F232D1" w:rsidRPr="007324A0">
        <w:rPr>
          <w:rFonts w:ascii="Arial" w:hAnsi="Arial" w:cs="Arial"/>
          <w:spacing w:val="10"/>
          <w:sz w:val="21"/>
          <w:szCs w:val="21"/>
        </w:rPr>
        <w:t xml:space="preserve"> </w:t>
      </w:r>
    </w:p>
    <w:p w14:paraId="74F68590" w14:textId="75F6FB5B" w:rsidR="00F232D1" w:rsidRPr="007324A0" w:rsidRDefault="00F232D1" w:rsidP="007D2BA4">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Vedle toho má zadavatel možnost použít i jiná kritéria kvalifikace</w:t>
      </w:r>
      <w:r w:rsidR="00F0317A" w:rsidRPr="007324A0">
        <w:rPr>
          <w:rFonts w:ascii="Arial" w:hAnsi="Arial" w:cs="Arial"/>
          <w:spacing w:val="10"/>
          <w:sz w:val="21"/>
          <w:szCs w:val="21"/>
        </w:rPr>
        <w:t xml:space="preserve"> nebo</w:t>
      </w:r>
      <w:r w:rsidR="007D2BA4">
        <w:rPr>
          <w:rFonts w:ascii="Arial" w:hAnsi="Arial" w:cs="Arial"/>
          <w:spacing w:val="10"/>
          <w:sz w:val="21"/>
          <w:szCs w:val="21"/>
        </w:rPr>
        <w:t> </w:t>
      </w:r>
      <w:r w:rsidR="00F0317A" w:rsidRPr="007324A0">
        <w:rPr>
          <w:rFonts w:ascii="Arial" w:hAnsi="Arial" w:cs="Arial"/>
          <w:spacing w:val="10"/>
          <w:sz w:val="21"/>
          <w:szCs w:val="21"/>
        </w:rPr>
        <w:t>může požadovat prokázání pouze některých kritérií kvalifikace – tzn.</w:t>
      </w:r>
      <w:r w:rsidR="007D2BA4">
        <w:rPr>
          <w:rFonts w:ascii="Arial" w:hAnsi="Arial" w:cs="Arial"/>
          <w:spacing w:val="10"/>
          <w:sz w:val="21"/>
          <w:szCs w:val="21"/>
        </w:rPr>
        <w:t> </w:t>
      </w:r>
      <w:r w:rsidR="00F0317A" w:rsidRPr="007324A0">
        <w:rPr>
          <w:rFonts w:ascii="Arial" w:hAnsi="Arial" w:cs="Arial"/>
          <w:spacing w:val="10"/>
          <w:sz w:val="21"/>
          <w:szCs w:val="21"/>
        </w:rPr>
        <w:t>že může požadovat prokázání pouze některých kritérií základní způsobilosti a tyto případně dále modifikovat (např. požadovat výpis z evidence Rejstříku trestů jen účastníka zadávacího řízení, nikoliv statutárního orgánu, resp. jeho jednotlivých členů).</w:t>
      </w:r>
    </w:p>
    <w:p w14:paraId="0503E2FB" w14:textId="06E4ABB2" w:rsidR="00F0317A" w:rsidRPr="007D2BA4" w:rsidRDefault="00F0317A" w:rsidP="007324A0">
      <w:pPr>
        <w:pStyle w:val="Odstavecseseznamem"/>
        <w:numPr>
          <w:ilvl w:val="0"/>
          <w:numId w:val="17"/>
        </w:numPr>
        <w:snapToGrid w:val="0"/>
        <w:spacing w:after="120" w:line="276" w:lineRule="auto"/>
        <w:contextualSpacing w:val="0"/>
        <w:jc w:val="both"/>
        <w:rPr>
          <w:rFonts w:ascii="Arial" w:hAnsi="Arial" w:cs="Arial"/>
          <w:b/>
          <w:bCs/>
          <w:spacing w:val="10"/>
          <w:sz w:val="21"/>
          <w:szCs w:val="21"/>
        </w:rPr>
      </w:pPr>
      <w:r w:rsidRPr="007D2BA4">
        <w:rPr>
          <w:rFonts w:ascii="Arial" w:hAnsi="Arial" w:cs="Arial"/>
          <w:b/>
          <w:bCs/>
          <w:spacing w:val="10"/>
          <w:sz w:val="21"/>
          <w:szCs w:val="21"/>
        </w:rPr>
        <w:t>Nastavení kvalifikace v podlimitním režimu</w:t>
      </w:r>
    </w:p>
    <w:p w14:paraId="319F8E3A" w14:textId="0D185CF9" w:rsidR="00F0317A" w:rsidRDefault="00F0317A" w:rsidP="007D2BA4">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Nastavení je limitováno základními zásadami zadávání veřejných zakázek</w:t>
      </w:r>
      <w:r w:rsidR="007D2BA4">
        <w:rPr>
          <w:rFonts w:ascii="Arial" w:hAnsi="Arial" w:cs="Arial"/>
          <w:spacing w:val="10"/>
          <w:sz w:val="21"/>
          <w:szCs w:val="21"/>
        </w:rPr>
        <w:t>, ale též i předpokládanou hodnotou veřejné zakázky.</w:t>
      </w:r>
    </w:p>
    <w:p w14:paraId="61EF5736" w14:textId="77777777" w:rsidR="007D2BA4" w:rsidRPr="007324A0" w:rsidRDefault="007D2BA4" w:rsidP="007D2BA4">
      <w:pPr>
        <w:pStyle w:val="Odstavecseseznamem"/>
        <w:snapToGrid w:val="0"/>
        <w:spacing w:after="120" w:line="276" w:lineRule="auto"/>
        <w:ind w:left="1440"/>
        <w:contextualSpacing w:val="0"/>
        <w:jc w:val="both"/>
        <w:rPr>
          <w:rFonts w:ascii="Arial" w:hAnsi="Arial" w:cs="Arial"/>
          <w:spacing w:val="10"/>
          <w:sz w:val="21"/>
          <w:szCs w:val="21"/>
        </w:rPr>
      </w:pPr>
    </w:p>
    <w:p w14:paraId="3287C8CC" w14:textId="0F976E6E" w:rsidR="00F03909" w:rsidRPr="007324A0" w:rsidRDefault="00F03909" w:rsidP="007324A0">
      <w:pPr>
        <w:pStyle w:val="Odstavecseseznamem"/>
        <w:numPr>
          <w:ilvl w:val="0"/>
          <w:numId w:val="2"/>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Lhůty v zadávacím řízení</w:t>
      </w:r>
    </w:p>
    <w:p w14:paraId="68B66232" w14:textId="5F69F6F6" w:rsidR="001A5FA8" w:rsidRPr="0076031F" w:rsidRDefault="001A5FA8" w:rsidP="007D2BA4">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V </w:t>
      </w:r>
      <w:r w:rsidRPr="0076031F">
        <w:rPr>
          <w:rFonts w:ascii="Arial" w:hAnsi="Arial" w:cs="Arial"/>
          <w:spacing w:val="10"/>
          <w:sz w:val="21"/>
          <w:szCs w:val="21"/>
        </w:rPr>
        <w:t>zadávacím řízení se lze nejčastěji setkat s těmito lhůtami:</w:t>
      </w:r>
    </w:p>
    <w:p w14:paraId="3676ED7A" w14:textId="3ADD3D02" w:rsidR="003A24BA" w:rsidRPr="0076031F" w:rsidRDefault="001A5FA8"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6031F">
        <w:rPr>
          <w:rFonts w:ascii="Arial" w:hAnsi="Arial" w:cs="Arial"/>
          <w:spacing w:val="10"/>
          <w:sz w:val="21"/>
          <w:szCs w:val="21"/>
        </w:rPr>
        <w:t>Lhůtou pro podání nabídek</w:t>
      </w:r>
      <w:r w:rsidR="001B5E10" w:rsidRPr="0076031F">
        <w:rPr>
          <w:rFonts w:ascii="Arial" w:hAnsi="Arial" w:cs="Arial"/>
          <w:spacing w:val="10"/>
          <w:sz w:val="21"/>
          <w:szCs w:val="21"/>
        </w:rPr>
        <w:t>, žádostí o účast, předběžných nabídek</w:t>
      </w:r>
    </w:p>
    <w:p w14:paraId="47DE13CF" w14:textId="4ABA6718" w:rsidR="001A5FA8" w:rsidRPr="0076031F" w:rsidRDefault="001A5FA8"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6031F">
        <w:rPr>
          <w:rFonts w:ascii="Arial" w:hAnsi="Arial" w:cs="Arial"/>
          <w:spacing w:val="10"/>
          <w:sz w:val="21"/>
          <w:szCs w:val="21"/>
        </w:rPr>
        <w:t>Lhůtou pro podání žádosti o vysvětlení zadávací dokumentace</w:t>
      </w:r>
    </w:p>
    <w:p w14:paraId="03177804" w14:textId="1E869388" w:rsidR="001A5FA8" w:rsidRPr="0076031F" w:rsidRDefault="001A5FA8"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6031F">
        <w:rPr>
          <w:rFonts w:ascii="Arial" w:hAnsi="Arial" w:cs="Arial"/>
          <w:spacing w:val="10"/>
          <w:sz w:val="21"/>
          <w:szCs w:val="21"/>
        </w:rPr>
        <w:t>Lhůtou pro vysvětlení zadávací dokumentace</w:t>
      </w:r>
    </w:p>
    <w:p w14:paraId="61E4D609" w14:textId="6130F27F" w:rsidR="001A5FA8" w:rsidRPr="0076031F" w:rsidRDefault="001A5FA8"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6031F">
        <w:rPr>
          <w:rFonts w:ascii="Arial" w:hAnsi="Arial" w:cs="Arial"/>
          <w:spacing w:val="10"/>
          <w:sz w:val="21"/>
          <w:szCs w:val="21"/>
        </w:rPr>
        <w:t>Lhůtou pro objasnění</w:t>
      </w:r>
    </w:p>
    <w:p w14:paraId="1C41A2D9" w14:textId="05C52E67" w:rsidR="001A5FA8" w:rsidRPr="0076031F" w:rsidRDefault="001A5FA8"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6031F">
        <w:rPr>
          <w:rFonts w:ascii="Arial" w:hAnsi="Arial" w:cs="Arial"/>
          <w:spacing w:val="10"/>
          <w:sz w:val="21"/>
          <w:szCs w:val="21"/>
        </w:rPr>
        <w:t>Lhůtou pro podání námitek</w:t>
      </w:r>
    </w:p>
    <w:p w14:paraId="0F1AD0C7" w14:textId="3666B023" w:rsidR="001A5FA8" w:rsidRDefault="001A5FA8"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6031F">
        <w:rPr>
          <w:rFonts w:ascii="Arial" w:hAnsi="Arial" w:cs="Arial"/>
          <w:spacing w:val="10"/>
          <w:sz w:val="21"/>
          <w:szCs w:val="21"/>
        </w:rPr>
        <w:t>Lhůtou pro rozhodnutí o námitkách</w:t>
      </w:r>
    </w:p>
    <w:p w14:paraId="519560CB" w14:textId="77777777" w:rsidR="00FE15C1" w:rsidRPr="0076031F" w:rsidRDefault="00FE15C1" w:rsidP="00FE15C1">
      <w:pPr>
        <w:pStyle w:val="Odstavecseseznamem"/>
        <w:snapToGrid w:val="0"/>
        <w:spacing w:after="120" w:line="276" w:lineRule="auto"/>
        <w:ind w:left="1080"/>
        <w:contextualSpacing w:val="0"/>
        <w:jc w:val="both"/>
        <w:rPr>
          <w:rFonts w:ascii="Arial" w:hAnsi="Arial" w:cs="Arial"/>
          <w:spacing w:val="10"/>
          <w:sz w:val="21"/>
          <w:szCs w:val="21"/>
        </w:rPr>
      </w:pPr>
    </w:p>
    <w:p w14:paraId="47D4F0E3" w14:textId="258BBEF1" w:rsidR="00941C19" w:rsidRPr="007324A0" w:rsidRDefault="00941C19" w:rsidP="0076031F">
      <w:pPr>
        <w:snapToGrid w:val="0"/>
        <w:spacing w:after="120" w:line="276" w:lineRule="auto"/>
        <w:ind w:left="360"/>
        <w:jc w:val="both"/>
        <w:rPr>
          <w:rFonts w:ascii="Arial" w:hAnsi="Arial" w:cs="Arial"/>
          <w:b/>
          <w:bCs/>
          <w:spacing w:val="10"/>
          <w:sz w:val="21"/>
          <w:szCs w:val="21"/>
        </w:rPr>
      </w:pPr>
      <w:r w:rsidRPr="007324A0">
        <w:rPr>
          <w:rFonts w:ascii="Arial" w:hAnsi="Arial" w:cs="Arial"/>
          <w:b/>
          <w:bCs/>
          <w:spacing w:val="10"/>
          <w:sz w:val="21"/>
          <w:szCs w:val="21"/>
        </w:rPr>
        <w:t>Lhůta pro podání nabídek</w:t>
      </w:r>
      <w:r w:rsidR="00C06009" w:rsidRPr="007324A0">
        <w:rPr>
          <w:rFonts w:ascii="Arial" w:hAnsi="Arial" w:cs="Arial"/>
          <w:b/>
          <w:bCs/>
          <w:spacing w:val="10"/>
          <w:sz w:val="21"/>
          <w:szCs w:val="21"/>
        </w:rPr>
        <w:t>, žádostí o účast a předběžných nabídek</w:t>
      </w:r>
    </w:p>
    <w:p w14:paraId="3DD0BB06" w14:textId="5B117E0B" w:rsidR="000C79F3" w:rsidRPr="007324A0" w:rsidRDefault="000C79F3" w:rsidP="0076031F">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ZZVZ vymezuje, s ohledem na druh zadávacího řízení, základní minimální lhůty pro</w:t>
      </w:r>
      <w:r w:rsidR="0076031F">
        <w:rPr>
          <w:rFonts w:ascii="Arial" w:hAnsi="Arial" w:cs="Arial"/>
          <w:spacing w:val="10"/>
          <w:sz w:val="21"/>
          <w:szCs w:val="21"/>
        </w:rPr>
        <w:t> </w:t>
      </w:r>
      <w:r w:rsidRPr="007324A0">
        <w:rPr>
          <w:rFonts w:ascii="Arial" w:hAnsi="Arial" w:cs="Arial"/>
          <w:spacing w:val="10"/>
          <w:sz w:val="21"/>
          <w:szCs w:val="21"/>
        </w:rPr>
        <w:t xml:space="preserve">podání žádosti o účast, předběžných nabídek a nabídek. Vedle toho jsou vymezeny i skutečnosti, v případě jejíchž naplnění je nutné základní minimální lhůty prodloužit nejméně o 5 dnů. Jedná se konkrétně o situaci, </w:t>
      </w:r>
      <w:r w:rsidR="0076031F">
        <w:rPr>
          <w:rFonts w:ascii="Arial" w:hAnsi="Arial" w:cs="Arial"/>
          <w:spacing w:val="10"/>
          <w:sz w:val="21"/>
          <w:szCs w:val="21"/>
        </w:rPr>
        <w:t>pokud</w:t>
      </w:r>
      <w:r w:rsidRPr="007324A0">
        <w:rPr>
          <w:rFonts w:ascii="Arial" w:hAnsi="Arial" w:cs="Arial"/>
          <w:spacing w:val="10"/>
          <w:sz w:val="21"/>
          <w:szCs w:val="21"/>
        </w:rPr>
        <w:t xml:space="preserve">: </w:t>
      </w:r>
    </w:p>
    <w:p w14:paraId="055E2B22" w14:textId="5F28E05A" w:rsidR="000C79F3" w:rsidRPr="007324A0" w:rsidRDefault="000C79F3"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zadavatel neumožní podávat nabídky prostřednictvím elektronického nástroje</w:t>
      </w:r>
      <w:r w:rsidR="00677DB7" w:rsidRPr="007324A0">
        <w:rPr>
          <w:rFonts w:ascii="Arial" w:hAnsi="Arial" w:cs="Arial"/>
          <w:spacing w:val="10"/>
          <w:sz w:val="21"/>
          <w:szCs w:val="21"/>
        </w:rPr>
        <w:t xml:space="preserve"> nebo je vyžadováno předložení vzorků nebo modelů, které nemohou být předloženy za použití elektronických nástrojů,</w:t>
      </w:r>
    </w:p>
    <w:p w14:paraId="5CAC86EF" w14:textId="08A96A88" w:rsidR="000C79F3" w:rsidRPr="007324A0" w:rsidRDefault="000C79F3" w:rsidP="0076031F">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některá část zadávací dokumentace není uveřejněna na profilu zadavatele.</w:t>
      </w:r>
    </w:p>
    <w:p w14:paraId="55CA49C3" w14:textId="57E7ABDA" w:rsidR="000C79F3" w:rsidRPr="007324A0" w:rsidRDefault="000C79F3" w:rsidP="00DD681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lastRenderedPageBreak/>
        <w:t xml:space="preserve">v případě, že nastanou obě výše uvedené skutečnosti současně, je nezbytné obě prodloužení sčítat a stanovit minimální lhůtu pro podání nabídek na základě </w:t>
      </w:r>
      <w:r w:rsidR="00DD6810">
        <w:rPr>
          <w:rFonts w:ascii="Arial" w:hAnsi="Arial" w:cs="Arial"/>
          <w:spacing w:val="10"/>
          <w:sz w:val="21"/>
          <w:szCs w:val="21"/>
        </w:rPr>
        <w:t xml:space="preserve">tohoto </w:t>
      </w:r>
      <w:r w:rsidRPr="007324A0">
        <w:rPr>
          <w:rFonts w:ascii="Arial" w:hAnsi="Arial" w:cs="Arial"/>
          <w:spacing w:val="10"/>
          <w:sz w:val="21"/>
          <w:szCs w:val="21"/>
        </w:rPr>
        <w:t>pravidla: základní lhůta + 5 dnů + 5 dnů.</w:t>
      </w:r>
    </w:p>
    <w:p w14:paraId="6295C93B" w14:textId="77777777" w:rsidR="006D297D" w:rsidRDefault="006D297D" w:rsidP="007324A0">
      <w:pPr>
        <w:snapToGrid w:val="0"/>
        <w:spacing w:after="120" w:line="276" w:lineRule="auto"/>
        <w:jc w:val="both"/>
        <w:rPr>
          <w:rFonts w:ascii="Arial" w:hAnsi="Arial" w:cs="Arial"/>
          <w:spacing w:val="10"/>
          <w:sz w:val="18"/>
          <w:szCs w:val="18"/>
        </w:rPr>
      </w:pPr>
    </w:p>
    <w:p w14:paraId="040CC52C" w14:textId="5C41C7AB" w:rsidR="000C79F3" w:rsidRPr="006D297D" w:rsidRDefault="00322D01" w:rsidP="007324A0">
      <w:pPr>
        <w:snapToGrid w:val="0"/>
        <w:spacing w:after="120" w:line="276" w:lineRule="auto"/>
        <w:jc w:val="both"/>
        <w:rPr>
          <w:rFonts w:ascii="Arial" w:hAnsi="Arial" w:cs="Arial"/>
          <w:spacing w:val="10"/>
          <w:sz w:val="18"/>
          <w:szCs w:val="18"/>
        </w:rPr>
      </w:pPr>
      <w:r w:rsidRPr="006D297D">
        <w:rPr>
          <w:rFonts w:ascii="Arial" w:hAnsi="Arial" w:cs="Arial"/>
          <w:spacing w:val="10"/>
          <w:sz w:val="18"/>
          <w:szCs w:val="18"/>
        </w:rPr>
        <w:t>Otevřené řízení:</w:t>
      </w:r>
    </w:p>
    <w:tbl>
      <w:tblPr>
        <w:tblStyle w:val="Mkatabulky"/>
        <w:tblW w:w="0" w:type="auto"/>
        <w:tblLook w:val="04A0" w:firstRow="1" w:lastRow="0" w:firstColumn="1" w:lastColumn="0" w:noHBand="0" w:noVBand="1"/>
      </w:tblPr>
      <w:tblGrid>
        <w:gridCol w:w="3256"/>
        <w:gridCol w:w="992"/>
        <w:gridCol w:w="2410"/>
        <w:gridCol w:w="2404"/>
      </w:tblGrid>
      <w:tr w:rsidR="000C79F3" w:rsidRPr="007324A0" w14:paraId="30215D58" w14:textId="77777777" w:rsidTr="00677DB7">
        <w:tc>
          <w:tcPr>
            <w:tcW w:w="3256" w:type="dxa"/>
          </w:tcPr>
          <w:p w14:paraId="67974580" w14:textId="3303AF98" w:rsidR="000C79F3" w:rsidRPr="007324A0" w:rsidRDefault="00322D01"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nabídek v otevřeném řízení</w:t>
            </w:r>
          </w:p>
        </w:tc>
        <w:tc>
          <w:tcPr>
            <w:tcW w:w="992" w:type="dxa"/>
          </w:tcPr>
          <w:p w14:paraId="31523AFC" w14:textId="234768EF" w:rsidR="000C79F3" w:rsidRPr="007324A0" w:rsidRDefault="000C79F3" w:rsidP="007324A0">
            <w:pPr>
              <w:snapToGrid w:val="0"/>
              <w:spacing w:after="120" w:line="276" w:lineRule="auto"/>
              <w:jc w:val="both"/>
              <w:rPr>
                <w:rFonts w:ascii="Arial" w:hAnsi="Arial" w:cs="Arial"/>
                <w:b/>
                <w:bCs/>
                <w:spacing w:val="10"/>
                <w:sz w:val="18"/>
                <w:szCs w:val="18"/>
              </w:rPr>
            </w:pPr>
          </w:p>
        </w:tc>
        <w:tc>
          <w:tcPr>
            <w:tcW w:w="2410" w:type="dxa"/>
          </w:tcPr>
          <w:p w14:paraId="3AAD9636" w14:textId="03354C79" w:rsidR="000C79F3" w:rsidRPr="007324A0" w:rsidRDefault="000C79F3"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w:t>
            </w:r>
            <w:r w:rsidR="00C72823" w:rsidRPr="007324A0">
              <w:rPr>
                <w:rFonts w:ascii="Arial" w:hAnsi="Arial" w:cs="Arial"/>
                <w:b/>
                <w:bCs/>
                <w:spacing w:val="10"/>
                <w:sz w:val="18"/>
                <w:szCs w:val="18"/>
              </w:rPr>
              <w:t xml:space="preserve"> nebo předložit vzorky dle ZD</w:t>
            </w:r>
          </w:p>
        </w:tc>
        <w:tc>
          <w:tcPr>
            <w:tcW w:w="2404" w:type="dxa"/>
          </w:tcPr>
          <w:p w14:paraId="30686617" w14:textId="72DCBE6A" w:rsidR="000C79F3" w:rsidRPr="007324A0" w:rsidRDefault="000C79F3"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w:t>
            </w:r>
            <w:r w:rsidR="00C72823" w:rsidRPr="007324A0">
              <w:rPr>
                <w:rFonts w:ascii="Arial" w:hAnsi="Arial" w:cs="Arial"/>
                <w:b/>
                <w:bCs/>
                <w:spacing w:val="10"/>
                <w:sz w:val="18"/>
                <w:szCs w:val="18"/>
              </w:rPr>
              <w:t xml:space="preserve"> na profilu zadavatele</w:t>
            </w:r>
          </w:p>
        </w:tc>
      </w:tr>
      <w:tr w:rsidR="000C79F3" w:rsidRPr="007324A0" w14:paraId="4B3C275D" w14:textId="77777777" w:rsidTr="00677DB7">
        <w:tc>
          <w:tcPr>
            <w:tcW w:w="3256" w:type="dxa"/>
          </w:tcPr>
          <w:p w14:paraId="0B06BC68" w14:textId="4633A02B" w:rsidR="000C79F3" w:rsidRPr="007324A0" w:rsidRDefault="00E214C2"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992" w:type="dxa"/>
          </w:tcPr>
          <w:p w14:paraId="1C76A78B" w14:textId="1C40ABD1"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30</w:t>
            </w:r>
          </w:p>
        </w:tc>
        <w:tc>
          <w:tcPr>
            <w:tcW w:w="2410" w:type="dxa"/>
          </w:tcPr>
          <w:p w14:paraId="0F063719" w14:textId="395FA970"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c>
          <w:tcPr>
            <w:tcW w:w="2404" w:type="dxa"/>
          </w:tcPr>
          <w:p w14:paraId="7C7C6503" w14:textId="3FDCE207"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0C79F3" w:rsidRPr="007324A0" w14:paraId="7D0B709A" w14:textId="77777777" w:rsidTr="00677DB7">
        <w:tc>
          <w:tcPr>
            <w:tcW w:w="3256" w:type="dxa"/>
          </w:tcPr>
          <w:p w14:paraId="5DBEFD9D" w14:textId="6A305C6F" w:rsidR="00677DB7" w:rsidRPr="007324A0" w:rsidRDefault="00E214C2"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Uveřejnění předběžného opatření</w:t>
            </w:r>
          </w:p>
        </w:tc>
        <w:tc>
          <w:tcPr>
            <w:tcW w:w="992" w:type="dxa"/>
          </w:tcPr>
          <w:p w14:paraId="03146048" w14:textId="544BA481"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15</w:t>
            </w:r>
          </w:p>
        </w:tc>
        <w:tc>
          <w:tcPr>
            <w:tcW w:w="2410" w:type="dxa"/>
          </w:tcPr>
          <w:p w14:paraId="3FBE6161" w14:textId="42B50FD3"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05AA9B10" w14:textId="4A14F308"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0C79F3" w:rsidRPr="007324A0" w14:paraId="157137D6" w14:textId="77777777" w:rsidTr="00677DB7">
        <w:tc>
          <w:tcPr>
            <w:tcW w:w="3256" w:type="dxa"/>
          </w:tcPr>
          <w:p w14:paraId="3AEBC233" w14:textId="68113A5F" w:rsidR="000C79F3" w:rsidRPr="007324A0" w:rsidRDefault="00E214C2"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Naléhavé okolnosti</w:t>
            </w:r>
          </w:p>
        </w:tc>
        <w:tc>
          <w:tcPr>
            <w:tcW w:w="992" w:type="dxa"/>
          </w:tcPr>
          <w:p w14:paraId="0185FAEB" w14:textId="0F7109C6"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15</w:t>
            </w:r>
          </w:p>
        </w:tc>
        <w:tc>
          <w:tcPr>
            <w:tcW w:w="2410" w:type="dxa"/>
          </w:tcPr>
          <w:p w14:paraId="0BF7BB6D" w14:textId="74E16A79"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39DE04F7" w14:textId="209208B5" w:rsidR="000C79F3" w:rsidRPr="007324A0" w:rsidRDefault="00677DB7"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6D40FD1E" w14:textId="77777777" w:rsidR="009E441D" w:rsidRPr="007324A0" w:rsidRDefault="009E441D" w:rsidP="007324A0">
      <w:pPr>
        <w:snapToGrid w:val="0"/>
        <w:spacing w:after="120" w:line="276" w:lineRule="auto"/>
        <w:jc w:val="both"/>
        <w:rPr>
          <w:rFonts w:ascii="Arial" w:hAnsi="Arial" w:cs="Arial"/>
          <w:spacing w:val="10"/>
          <w:sz w:val="21"/>
          <w:szCs w:val="21"/>
        </w:rPr>
      </w:pPr>
    </w:p>
    <w:p w14:paraId="6085A133" w14:textId="16D4655A" w:rsidR="008A2F5A" w:rsidRPr="006D297D" w:rsidRDefault="008A2F5A" w:rsidP="007324A0">
      <w:pPr>
        <w:snapToGrid w:val="0"/>
        <w:spacing w:after="120" w:line="276" w:lineRule="auto"/>
        <w:jc w:val="both"/>
        <w:rPr>
          <w:rFonts w:ascii="Arial" w:hAnsi="Arial" w:cs="Arial"/>
          <w:spacing w:val="10"/>
          <w:sz w:val="18"/>
          <w:szCs w:val="18"/>
        </w:rPr>
      </w:pPr>
      <w:r w:rsidRPr="006D297D">
        <w:rPr>
          <w:rFonts w:ascii="Arial" w:hAnsi="Arial" w:cs="Arial"/>
          <w:spacing w:val="10"/>
          <w:sz w:val="18"/>
          <w:szCs w:val="18"/>
        </w:rPr>
        <w:t>Užší řízení:</w:t>
      </w:r>
    </w:p>
    <w:tbl>
      <w:tblPr>
        <w:tblStyle w:val="Mkatabulky"/>
        <w:tblW w:w="0" w:type="auto"/>
        <w:tblLook w:val="04A0" w:firstRow="1" w:lastRow="0" w:firstColumn="1" w:lastColumn="0" w:noHBand="0" w:noVBand="1"/>
      </w:tblPr>
      <w:tblGrid>
        <w:gridCol w:w="3256"/>
        <w:gridCol w:w="992"/>
        <w:gridCol w:w="2410"/>
        <w:gridCol w:w="2404"/>
      </w:tblGrid>
      <w:tr w:rsidR="008A2F5A" w:rsidRPr="007324A0" w14:paraId="1071AE48" w14:textId="77777777" w:rsidTr="00695E62">
        <w:tc>
          <w:tcPr>
            <w:tcW w:w="3256" w:type="dxa"/>
          </w:tcPr>
          <w:p w14:paraId="63A387BD" w14:textId="319E8E2B" w:rsidR="008A2F5A" w:rsidRPr="007324A0" w:rsidRDefault="008A2F5A"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žádostí o účast v užším řízení</w:t>
            </w:r>
          </w:p>
        </w:tc>
        <w:tc>
          <w:tcPr>
            <w:tcW w:w="992" w:type="dxa"/>
          </w:tcPr>
          <w:p w14:paraId="139B3C5F" w14:textId="77777777" w:rsidR="008A2F5A" w:rsidRPr="007324A0" w:rsidRDefault="008A2F5A" w:rsidP="007324A0">
            <w:pPr>
              <w:snapToGrid w:val="0"/>
              <w:spacing w:after="120" w:line="276" w:lineRule="auto"/>
              <w:jc w:val="both"/>
              <w:rPr>
                <w:rFonts w:ascii="Arial" w:hAnsi="Arial" w:cs="Arial"/>
                <w:b/>
                <w:bCs/>
                <w:spacing w:val="10"/>
                <w:sz w:val="18"/>
                <w:szCs w:val="18"/>
              </w:rPr>
            </w:pPr>
          </w:p>
        </w:tc>
        <w:tc>
          <w:tcPr>
            <w:tcW w:w="2410" w:type="dxa"/>
          </w:tcPr>
          <w:p w14:paraId="4567D2C4" w14:textId="796C933B" w:rsidR="008A2F5A" w:rsidRPr="007324A0" w:rsidRDefault="00C72823"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404" w:type="dxa"/>
          </w:tcPr>
          <w:p w14:paraId="3B0D8344" w14:textId="22CB7850" w:rsidR="008A2F5A" w:rsidRPr="007324A0" w:rsidRDefault="008A2F5A"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w:t>
            </w:r>
            <w:r w:rsidR="00C72823" w:rsidRPr="007324A0">
              <w:rPr>
                <w:rFonts w:ascii="Arial" w:hAnsi="Arial" w:cs="Arial"/>
                <w:b/>
                <w:bCs/>
                <w:spacing w:val="10"/>
                <w:sz w:val="18"/>
                <w:szCs w:val="18"/>
              </w:rPr>
              <w:t xml:space="preserve"> na profilu zadavatele</w:t>
            </w:r>
          </w:p>
        </w:tc>
      </w:tr>
      <w:tr w:rsidR="008A2F5A" w:rsidRPr="007324A0" w14:paraId="22D96EAD" w14:textId="77777777" w:rsidTr="00695E62">
        <w:tc>
          <w:tcPr>
            <w:tcW w:w="3256" w:type="dxa"/>
          </w:tcPr>
          <w:p w14:paraId="7437CD2E" w14:textId="77777777"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992" w:type="dxa"/>
          </w:tcPr>
          <w:p w14:paraId="1BC7536D" w14:textId="77777777"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30</w:t>
            </w:r>
          </w:p>
        </w:tc>
        <w:tc>
          <w:tcPr>
            <w:tcW w:w="2410" w:type="dxa"/>
          </w:tcPr>
          <w:p w14:paraId="48D83DDC" w14:textId="443D218C"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2ACA02C8" w14:textId="4EC8C5AB"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r w:rsidR="008A2F5A" w:rsidRPr="007324A0" w14:paraId="6ACE177B" w14:textId="77777777" w:rsidTr="00695E62">
        <w:tc>
          <w:tcPr>
            <w:tcW w:w="3256" w:type="dxa"/>
          </w:tcPr>
          <w:p w14:paraId="2CF1332D" w14:textId="72D356FF"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Naléhavé okolnosti</w:t>
            </w:r>
          </w:p>
        </w:tc>
        <w:tc>
          <w:tcPr>
            <w:tcW w:w="992" w:type="dxa"/>
          </w:tcPr>
          <w:p w14:paraId="3C450D6E" w14:textId="77777777"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15</w:t>
            </w:r>
          </w:p>
        </w:tc>
        <w:tc>
          <w:tcPr>
            <w:tcW w:w="2410" w:type="dxa"/>
          </w:tcPr>
          <w:p w14:paraId="402104C3" w14:textId="77777777"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4DC07179" w14:textId="77777777" w:rsidR="008A2F5A" w:rsidRPr="007324A0" w:rsidRDefault="008A2F5A"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1BD31211" w14:textId="77777777" w:rsidR="008A2F5A" w:rsidRPr="007324A0" w:rsidRDefault="008A2F5A" w:rsidP="007324A0">
      <w:pPr>
        <w:snapToGrid w:val="0"/>
        <w:spacing w:after="120" w:line="276" w:lineRule="auto"/>
        <w:jc w:val="both"/>
        <w:rPr>
          <w:rFonts w:ascii="Arial" w:hAnsi="Arial" w:cs="Arial"/>
          <w:spacing w:val="10"/>
          <w:sz w:val="21"/>
          <w:szCs w:val="21"/>
        </w:rPr>
      </w:pPr>
    </w:p>
    <w:tbl>
      <w:tblPr>
        <w:tblStyle w:val="Mkatabulky"/>
        <w:tblW w:w="0" w:type="auto"/>
        <w:tblLook w:val="04A0" w:firstRow="1" w:lastRow="0" w:firstColumn="1" w:lastColumn="0" w:noHBand="0" w:noVBand="1"/>
      </w:tblPr>
      <w:tblGrid>
        <w:gridCol w:w="3256"/>
        <w:gridCol w:w="1134"/>
        <w:gridCol w:w="2268"/>
        <w:gridCol w:w="2404"/>
      </w:tblGrid>
      <w:tr w:rsidR="008E1B14" w:rsidRPr="007324A0" w14:paraId="743134C7" w14:textId="77777777" w:rsidTr="00BB2FE9">
        <w:tc>
          <w:tcPr>
            <w:tcW w:w="3256" w:type="dxa"/>
          </w:tcPr>
          <w:p w14:paraId="026D7E9F" w14:textId="31A32332" w:rsidR="008E1B14" w:rsidRPr="007324A0" w:rsidRDefault="008E1B14"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nabídek v užším řízení</w:t>
            </w:r>
          </w:p>
        </w:tc>
        <w:tc>
          <w:tcPr>
            <w:tcW w:w="1134" w:type="dxa"/>
          </w:tcPr>
          <w:p w14:paraId="3D9F4FB6" w14:textId="77777777" w:rsidR="008E1B14" w:rsidRPr="007324A0" w:rsidRDefault="008E1B14" w:rsidP="007324A0">
            <w:pPr>
              <w:snapToGrid w:val="0"/>
              <w:spacing w:after="120" w:line="276" w:lineRule="auto"/>
              <w:jc w:val="both"/>
              <w:rPr>
                <w:rFonts w:ascii="Arial" w:hAnsi="Arial" w:cs="Arial"/>
                <w:b/>
                <w:bCs/>
                <w:spacing w:val="10"/>
                <w:sz w:val="18"/>
                <w:szCs w:val="18"/>
              </w:rPr>
            </w:pPr>
          </w:p>
        </w:tc>
        <w:tc>
          <w:tcPr>
            <w:tcW w:w="2268" w:type="dxa"/>
          </w:tcPr>
          <w:p w14:paraId="23C1CA92" w14:textId="77777777" w:rsidR="008E1B14" w:rsidRPr="007324A0" w:rsidRDefault="008E1B14"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404" w:type="dxa"/>
          </w:tcPr>
          <w:p w14:paraId="5C84F829" w14:textId="77777777" w:rsidR="008E1B14" w:rsidRPr="007324A0" w:rsidRDefault="008E1B14"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 na profilu zadavatele</w:t>
            </w:r>
          </w:p>
        </w:tc>
      </w:tr>
      <w:tr w:rsidR="008E1B14" w:rsidRPr="007324A0" w14:paraId="16C32EBD" w14:textId="77777777" w:rsidTr="00BB2FE9">
        <w:tc>
          <w:tcPr>
            <w:tcW w:w="3256" w:type="dxa"/>
          </w:tcPr>
          <w:p w14:paraId="1EC2A81D" w14:textId="77777777"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1134" w:type="dxa"/>
          </w:tcPr>
          <w:p w14:paraId="2CB810B7" w14:textId="42385D6B"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25</w:t>
            </w:r>
          </w:p>
        </w:tc>
        <w:tc>
          <w:tcPr>
            <w:tcW w:w="2268" w:type="dxa"/>
          </w:tcPr>
          <w:p w14:paraId="2C660E74" w14:textId="39FA0F5D"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c>
          <w:tcPr>
            <w:tcW w:w="2404" w:type="dxa"/>
          </w:tcPr>
          <w:p w14:paraId="6245470A" w14:textId="3DA93FA1"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8E1B14" w:rsidRPr="007324A0" w14:paraId="128CF293" w14:textId="77777777" w:rsidTr="00BB2FE9">
        <w:tc>
          <w:tcPr>
            <w:tcW w:w="3256" w:type="dxa"/>
          </w:tcPr>
          <w:p w14:paraId="2C8FC44D" w14:textId="3DC7CC32"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Zadavatel dle § 4 odst. 1 písm. c) až e) ZZVZ</w:t>
            </w:r>
          </w:p>
        </w:tc>
        <w:tc>
          <w:tcPr>
            <w:tcW w:w="1134" w:type="dxa"/>
          </w:tcPr>
          <w:p w14:paraId="226A7A38" w14:textId="2B55BA8F"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10</w:t>
            </w:r>
          </w:p>
        </w:tc>
        <w:tc>
          <w:tcPr>
            <w:tcW w:w="2268" w:type="dxa"/>
          </w:tcPr>
          <w:p w14:paraId="69DF6B51" w14:textId="7B79DF6E"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3B24EC60" w14:textId="2B9796A3"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BB2FE9" w:rsidRPr="007324A0" w14:paraId="34D69FE7" w14:textId="77777777" w:rsidTr="00BB2FE9">
        <w:tc>
          <w:tcPr>
            <w:tcW w:w="3256" w:type="dxa"/>
          </w:tcPr>
          <w:p w14:paraId="78618E2D" w14:textId="3AA1A244"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Zadavatel dle § 4 odst. 1 písm. c) až e) ZZVZ</w:t>
            </w:r>
          </w:p>
        </w:tc>
        <w:tc>
          <w:tcPr>
            <w:tcW w:w="1134" w:type="dxa"/>
          </w:tcPr>
          <w:p w14:paraId="51985151" w14:textId="6C9801AD"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kratší než 10</w:t>
            </w:r>
          </w:p>
        </w:tc>
        <w:tc>
          <w:tcPr>
            <w:tcW w:w="2268" w:type="dxa"/>
          </w:tcPr>
          <w:p w14:paraId="5B748071" w14:textId="12672EC4"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1F705E19" w14:textId="3FB141F8"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r w:rsidR="00BB2FE9" w:rsidRPr="007324A0" w14:paraId="5423F5A7" w14:textId="77777777" w:rsidTr="00BB2FE9">
        <w:tc>
          <w:tcPr>
            <w:tcW w:w="3256" w:type="dxa"/>
          </w:tcPr>
          <w:p w14:paraId="6B6B005D" w14:textId="7D6A5377"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Uveřejnění předběžného opatření</w:t>
            </w:r>
          </w:p>
        </w:tc>
        <w:tc>
          <w:tcPr>
            <w:tcW w:w="1134" w:type="dxa"/>
          </w:tcPr>
          <w:p w14:paraId="02F9F071" w14:textId="6D551B23"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10</w:t>
            </w:r>
          </w:p>
        </w:tc>
        <w:tc>
          <w:tcPr>
            <w:tcW w:w="2268" w:type="dxa"/>
          </w:tcPr>
          <w:p w14:paraId="4989CDE1" w14:textId="22D59A99"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46AC1EBC" w14:textId="7F41C9C1" w:rsidR="00BB2FE9"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8E1B14" w:rsidRPr="007324A0" w14:paraId="00C56336" w14:textId="77777777" w:rsidTr="00BB2FE9">
        <w:tc>
          <w:tcPr>
            <w:tcW w:w="3256" w:type="dxa"/>
          </w:tcPr>
          <w:p w14:paraId="58E4D5E9" w14:textId="77777777"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Naléhavé okolnosti</w:t>
            </w:r>
          </w:p>
        </w:tc>
        <w:tc>
          <w:tcPr>
            <w:tcW w:w="1134" w:type="dxa"/>
          </w:tcPr>
          <w:p w14:paraId="5DEF2FE6" w14:textId="7C514E79" w:rsidR="008E1B14" w:rsidRPr="007324A0" w:rsidRDefault="00BB2FE9"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10</w:t>
            </w:r>
          </w:p>
        </w:tc>
        <w:tc>
          <w:tcPr>
            <w:tcW w:w="2268" w:type="dxa"/>
          </w:tcPr>
          <w:p w14:paraId="3C0D65BE" w14:textId="77777777"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69050608" w14:textId="77777777" w:rsidR="008E1B14" w:rsidRPr="007324A0" w:rsidRDefault="008E1B14"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135C6E08" w14:textId="77777777" w:rsidR="008E1B14" w:rsidRPr="007324A0" w:rsidRDefault="008E1B14" w:rsidP="007324A0">
      <w:pPr>
        <w:snapToGrid w:val="0"/>
        <w:spacing w:after="120" w:line="276" w:lineRule="auto"/>
        <w:jc w:val="both"/>
        <w:rPr>
          <w:rFonts w:ascii="Arial" w:hAnsi="Arial" w:cs="Arial"/>
          <w:spacing w:val="10"/>
          <w:sz w:val="21"/>
          <w:szCs w:val="21"/>
        </w:rPr>
      </w:pPr>
    </w:p>
    <w:p w14:paraId="52204E65" w14:textId="5DD54768" w:rsidR="008A2F5A" w:rsidRPr="006D297D" w:rsidRDefault="009E441D" w:rsidP="007324A0">
      <w:pPr>
        <w:snapToGrid w:val="0"/>
        <w:spacing w:after="120" w:line="276" w:lineRule="auto"/>
        <w:jc w:val="both"/>
        <w:rPr>
          <w:rFonts w:ascii="Arial" w:hAnsi="Arial" w:cs="Arial"/>
          <w:spacing w:val="10"/>
          <w:sz w:val="18"/>
          <w:szCs w:val="18"/>
        </w:rPr>
      </w:pPr>
      <w:r w:rsidRPr="006D297D">
        <w:rPr>
          <w:rFonts w:ascii="Arial" w:hAnsi="Arial" w:cs="Arial"/>
          <w:spacing w:val="10"/>
          <w:sz w:val="18"/>
          <w:szCs w:val="18"/>
        </w:rPr>
        <w:t>Jednací řízení s uveřejněním:</w:t>
      </w:r>
    </w:p>
    <w:tbl>
      <w:tblPr>
        <w:tblStyle w:val="Mkatabulky"/>
        <w:tblW w:w="0" w:type="auto"/>
        <w:tblLook w:val="04A0" w:firstRow="1" w:lastRow="0" w:firstColumn="1" w:lastColumn="0" w:noHBand="0" w:noVBand="1"/>
      </w:tblPr>
      <w:tblGrid>
        <w:gridCol w:w="3256"/>
        <w:gridCol w:w="992"/>
        <w:gridCol w:w="2410"/>
        <w:gridCol w:w="2404"/>
      </w:tblGrid>
      <w:tr w:rsidR="009E441D" w:rsidRPr="007324A0" w14:paraId="0223AA45" w14:textId="77777777" w:rsidTr="00695E62">
        <w:tc>
          <w:tcPr>
            <w:tcW w:w="3256" w:type="dxa"/>
          </w:tcPr>
          <w:p w14:paraId="5EE70A95" w14:textId="48AD4F81"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žádostí o účast v jednacím řízení s uveřejněním</w:t>
            </w:r>
          </w:p>
        </w:tc>
        <w:tc>
          <w:tcPr>
            <w:tcW w:w="992" w:type="dxa"/>
          </w:tcPr>
          <w:p w14:paraId="608DDB5B" w14:textId="77777777" w:rsidR="009E441D" w:rsidRPr="007324A0" w:rsidRDefault="009E441D" w:rsidP="007324A0">
            <w:pPr>
              <w:snapToGrid w:val="0"/>
              <w:spacing w:after="120" w:line="276" w:lineRule="auto"/>
              <w:jc w:val="both"/>
              <w:rPr>
                <w:rFonts w:ascii="Arial" w:hAnsi="Arial" w:cs="Arial"/>
                <w:b/>
                <w:bCs/>
                <w:spacing w:val="10"/>
                <w:sz w:val="18"/>
                <w:szCs w:val="18"/>
              </w:rPr>
            </w:pPr>
          </w:p>
        </w:tc>
        <w:tc>
          <w:tcPr>
            <w:tcW w:w="2410" w:type="dxa"/>
          </w:tcPr>
          <w:p w14:paraId="3D251B1C"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404" w:type="dxa"/>
          </w:tcPr>
          <w:p w14:paraId="538DCDF9"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 na profilu zadavatele</w:t>
            </w:r>
          </w:p>
        </w:tc>
      </w:tr>
      <w:tr w:rsidR="009E441D" w:rsidRPr="007324A0" w14:paraId="59853D18" w14:textId="77777777" w:rsidTr="00695E62">
        <w:tc>
          <w:tcPr>
            <w:tcW w:w="3256" w:type="dxa"/>
          </w:tcPr>
          <w:p w14:paraId="2D47C041"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992" w:type="dxa"/>
          </w:tcPr>
          <w:p w14:paraId="34A75761"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30</w:t>
            </w:r>
          </w:p>
        </w:tc>
        <w:tc>
          <w:tcPr>
            <w:tcW w:w="2410" w:type="dxa"/>
          </w:tcPr>
          <w:p w14:paraId="12D005F3"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5180E95C"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r w:rsidR="009E441D" w:rsidRPr="007324A0" w14:paraId="1BD61DFA" w14:textId="77777777" w:rsidTr="00695E62">
        <w:tc>
          <w:tcPr>
            <w:tcW w:w="3256" w:type="dxa"/>
          </w:tcPr>
          <w:p w14:paraId="6785B747"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Naléhavé okolnosti</w:t>
            </w:r>
          </w:p>
        </w:tc>
        <w:tc>
          <w:tcPr>
            <w:tcW w:w="992" w:type="dxa"/>
          </w:tcPr>
          <w:p w14:paraId="0FD51EC6"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15</w:t>
            </w:r>
          </w:p>
        </w:tc>
        <w:tc>
          <w:tcPr>
            <w:tcW w:w="2410" w:type="dxa"/>
          </w:tcPr>
          <w:p w14:paraId="7E0A4EB1"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6C79E86A"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48B5CD37" w14:textId="77777777" w:rsidR="009E441D" w:rsidRPr="007324A0" w:rsidRDefault="009E441D" w:rsidP="007324A0">
      <w:pPr>
        <w:snapToGrid w:val="0"/>
        <w:spacing w:after="120" w:line="276" w:lineRule="auto"/>
        <w:jc w:val="both"/>
        <w:rPr>
          <w:rFonts w:ascii="Arial" w:hAnsi="Arial" w:cs="Arial"/>
          <w:spacing w:val="10"/>
          <w:sz w:val="21"/>
          <w:szCs w:val="21"/>
        </w:rPr>
      </w:pPr>
    </w:p>
    <w:tbl>
      <w:tblPr>
        <w:tblStyle w:val="Mkatabulky"/>
        <w:tblW w:w="0" w:type="auto"/>
        <w:tblLook w:val="04A0" w:firstRow="1" w:lastRow="0" w:firstColumn="1" w:lastColumn="0" w:noHBand="0" w:noVBand="1"/>
      </w:tblPr>
      <w:tblGrid>
        <w:gridCol w:w="3256"/>
        <w:gridCol w:w="1134"/>
        <w:gridCol w:w="2268"/>
        <w:gridCol w:w="2404"/>
      </w:tblGrid>
      <w:tr w:rsidR="009E441D" w:rsidRPr="007324A0" w14:paraId="292B5449" w14:textId="77777777" w:rsidTr="00695E62">
        <w:tc>
          <w:tcPr>
            <w:tcW w:w="3256" w:type="dxa"/>
          </w:tcPr>
          <w:p w14:paraId="7FFDDD97" w14:textId="4A23755A"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předběžných nabídek v jednacím řízení s uveřejněním</w:t>
            </w:r>
          </w:p>
        </w:tc>
        <w:tc>
          <w:tcPr>
            <w:tcW w:w="1134" w:type="dxa"/>
          </w:tcPr>
          <w:p w14:paraId="492AF78B" w14:textId="77777777" w:rsidR="009E441D" w:rsidRPr="007324A0" w:rsidRDefault="009E441D" w:rsidP="007324A0">
            <w:pPr>
              <w:snapToGrid w:val="0"/>
              <w:spacing w:after="120" w:line="276" w:lineRule="auto"/>
              <w:jc w:val="both"/>
              <w:rPr>
                <w:rFonts w:ascii="Arial" w:hAnsi="Arial" w:cs="Arial"/>
                <w:b/>
                <w:bCs/>
                <w:spacing w:val="10"/>
                <w:sz w:val="18"/>
                <w:szCs w:val="18"/>
              </w:rPr>
            </w:pPr>
          </w:p>
        </w:tc>
        <w:tc>
          <w:tcPr>
            <w:tcW w:w="2268" w:type="dxa"/>
          </w:tcPr>
          <w:p w14:paraId="10677BEC"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404" w:type="dxa"/>
          </w:tcPr>
          <w:p w14:paraId="6D09B9D7"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 na profilu zadavatele</w:t>
            </w:r>
          </w:p>
        </w:tc>
      </w:tr>
      <w:tr w:rsidR="009E441D" w:rsidRPr="007324A0" w14:paraId="4AC097B4" w14:textId="77777777" w:rsidTr="00695E62">
        <w:tc>
          <w:tcPr>
            <w:tcW w:w="3256" w:type="dxa"/>
          </w:tcPr>
          <w:p w14:paraId="7E4D2CA3"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1134" w:type="dxa"/>
          </w:tcPr>
          <w:p w14:paraId="71B66B4A"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25</w:t>
            </w:r>
          </w:p>
        </w:tc>
        <w:tc>
          <w:tcPr>
            <w:tcW w:w="2268" w:type="dxa"/>
          </w:tcPr>
          <w:p w14:paraId="7E3EDC4E"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c>
          <w:tcPr>
            <w:tcW w:w="2404" w:type="dxa"/>
          </w:tcPr>
          <w:p w14:paraId="4C96A83A"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9E441D" w:rsidRPr="007324A0" w14:paraId="1A75CCBA" w14:textId="77777777" w:rsidTr="00695E62">
        <w:tc>
          <w:tcPr>
            <w:tcW w:w="3256" w:type="dxa"/>
          </w:tcPr>
          <w:p w14:paraId="5988BE0A"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lastRenderedPageBreak/>
              <w:t>Zadavatel dle § 4 odst. 1 písm. c) až e) ZZVZ</w:t>
            </w:r>
          </w:p>
        </w:tc>
        <w:tc>
          <w:tcPr>
            <w:tcW w:w="1134" w:type="dxa"/>
          </w:tcPr>
          <w:p w14:paraId="6DEF63D1"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10</w:t>
            </w:r>
          </w:p>
        </w:tc>
        <w:tc>
          <w:tcPr>
            <w:tcW w:w="2268" w:type="dxa"/>
          </w:tcPr>
          <w:p w14:paraId="13D52F22"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747DD589"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9E441D" w:rsidRPr="007324A0" w14:paraId="6743D7AA" w14:textId="77777777" w:rsidTr="00695E62">
        <w:tc>
          <w:tcPr>
            <w:tcW w:w="3256" w:type="dxa"/>
          </w:tcPr>
          <w:p w14:paraId="343BBAE3"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Zadavatel dle § 4 odst. 1 písm. c) až e) ZZVZ</w:t>
            </w:r>
          </w:p>
        </w:tc>
        <w:tc>
          <w:tcPr>
            <w:tcW w:w="1134" w:type="dxa"/>
          </w:tcPr>
          <w:p w14:paraId="727D5C98"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kratší než 10</w:t>
            </w:r>
          </w:p>
        </w:tc>
        <w:tc>
          <w:tcPr>
            <w:tcW w:w="2268" w:type="dxa"/>
          </w:tcPr>
          <w:p w14:paraId="4E563405"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5C1686F2"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r w:rsidR="009E441D" w:rsidRPr="007324A0" w14:paraId="3672E0CE" w14:textId="77777777" w:rsidTr="00695E62">
        <w:tc>
          <w:tcPr>
            <w:tcW w:w="3256" w:type="dxa"/>
          </w:tcPr>
          <w:p w14:paraId="30B58839"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Uveřejnění předběžného opatření</w:t>
            </w:r>
          </w:p>
        </w:tc>
        <w:tc>
          <w:tcPr>
            <w:tcW w:w="1134" w:type="dxa"/>
          </w:tcPr>
          <w:p w14:paraId="3F37C906"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10</w:t>
            </w:r>
          </w:p>
        </w:tc>
        <w:tc>
          <w:tcPr>
            <w:tcW w:w="2268" w:type="dxa"/>
          </w:tcPr>
          <w:p w14:paraId="5A27CE9C"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442E11EF"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+ 5</w:t>
            </w:r>
          </w:p>
        </w:tc>
      </w:tr>
      <w:tr w:rsidR="009E441D" w:rsidRPr="007324A0" w14:paraId="4A9CC1DD" w14:textId="77777777" w:rsidTr="00695E62">
        <w:tc>
          <w:tcPr>
            <w:tcW w:w="3256" w:type="dxa"/>
          </w:tcPr>
          <w:p w14:paraId="702716A6"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Naléhavé okolnosti</w:t>
            </w:r>
          </w:p>
        </w:tc>
        <w:tc>
          <w:tcPr>
            <w:tcW w:w="1134" w:type="dxa"/>
          </w:tcPr>
          <w:p w14:paraId="269CDA03"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10</w:t>
            </w:r>
          </w:p>
        </w:tc>
        <w:tc>
          <w:tcPr>
            <w:tcW w:w="2268" w:type="dxa"/>
          </w:tcPr>
          <w:p w14:paraId="6A647ABB"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404" w:type="dxa"/>
          </w:tcPr>
          <w:p w14:paraId="2BC54960"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3CE0327E" w14:textId="77777777" w:rsidR="009E441D" w:rsidRPr="007324A0" w:rsidRDefault="009E441D" w:rsidP="007324A0">
      <w:pPr>
        <w:snapToGrid w:val="0"/>
        <w:spacing w:after="120" w:line="276" w:lineRule="auto"/>
        <w:jc w:val="both"/>
        <w:rPr>
          <w:rFonts w:ascii="Arial" w:hAnsi="Arial" w:cs="Arial"/>
          <w:spacing w:val="10"/>
          <w:sz w:val="21"/>
          <w:szCs w:val="21"/>
        </w:rPr>
      </w:pPr>
    </w:p>
    <w:tbl>
      <w:tblPr>
        <w:tblStyle w:val="Mkatabulky"/>
        <w:tblW w:w="0" w:type="auto"/>
        <w:tblLook w:val="04A0" w:firstRow="1" w:lastRow="0" w:firstColumn="1" w:lastColumn="0" w:noHBand="0" w:noVBand="1"/>
      </w:tblPr>
      <w:tblGrid>
        <w:gridCol w:w="3195"/>
        <w:gridCol w:w="1117"/>
        <w:gridCol w:w="2377"/>
        <w:gridCol w:w="2373"/>
      </w:tblGrid>
      <w:tr w:rsidR="009E441D" w:rsidRPr="007324A0" w14:paraId="753E5803" w14:textId="77777777" w:rsidTr="009E441D">
        <w:tc>
          <w:tcPr>
            <w:tcW w:w="3195" w:type="dxa"/>
          </w:tcPr>
          <w:p w14:paraId="4919532B" w14:textId="6215F2DC"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(finální) nabídky v jednacím řízení s uveřejněním</w:t>
            </w:r>
          </w:p>
        </w:tc>
        <w:tc>
          <w:tcPr>
            <w:tcW w:w="1117" w:type="dxa"/>
          </w:tcPr>
          <w:p w14:paraId="6B987E5F" w14:textId="77777777" w:rsidR="009E441D" w:rsidRPr="007324A0" w:rsidRDefault="009E441D" w:rsidP="007324A0">
            <w:pPr>
              <w:snapToGrid w:val="0"/>
              <w:spacing w:after="120" w:line="276" w:lineRule="auto"/>
              <w:jc w:val="both"/>
              <w:rPr>
                <w:rFonts w:ascii="Arial" w:hAnsi="Arial" w:cs="Arial"/>
                <w:b/>
                <w:bCs/>
                <w:spacing w:val="10"/>
                <w:sz w:val="18"/>
                <w:szCs w:val="18"/>
              </w:rPr>
            </w:pPr>
          </w:p>
        </w:tc>
        <w:tc>
          <w:tcPr>
            <w:tcW w:w="2377" w:type="dxa"/>
          </w:tcPr>
          <w:p w14:paraId="5434F5FA"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373" w:type="dxa"/>
          </w:tcPr>
          <w:p w14:paraId="0ECD4E37"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 na profilu zadavatele</w:t>
            </w:r>
          </w:p>
        </w:tc>
      </w:tr>
      <w:tr w:rsidR="009E441D" w:rsidRPr="007324A0" w14:paraId="5CDE84BD" w14:textId="77777777" w:rsidTr="009E441D">
        <w:tc>
          <w:tcPr>
            <w:tcW w:w="3195" w:type="dxa"/>
          </w:tcPr>
          <w:p w14:paraId="73C36898"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1117" w:type="dxa"/>
          </w:tcPr>
          <w:p w14:paraId="2A9072A6" w14:textId="3283794C"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přiměřená</w:t>
            </w:r>
          </w:p>
        </w:tc>
        <w:tc>
          <w:tcPr>
            <w:tcW w:w="2377" w:type="dxa"/>
          </w:tcPr>
          <w:p w14:paraId="028B25A5"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373" w:type="dxa"/>
          </w:tcPr>
          <w:p w14:paraId="2F2FEE87"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0569DB93" w14:textId="77777777" w:rsidR="009E441D" w:rsidRPr="007324A0" w:rsidRDefault="009E441D" w:rsidP="007324A0">
      <w:pPr>
        <w:snapToGrid w:val="0"/>
        <w:spacing w:after="120" w:line="276" w:lineRule="auto"/>
        <w:jc w:val="both"/>
        <w:rPr>
          <w:rFonts w:ascii="Arial" w:hAnsi="Arial" w:cs="Arial"/>
          <w:spacing w:val="10"/>
          <w:sz w:val="21"/>
          <w:szCs w:val="21"/>
        </w:rPr>
      </w:pPr>
    </w:p>
    <w:p w14:paraId="0C6F1DB7" w14:textId="40017435" w:rsidR="009E441D" w:rsidRPr="006D297D" w:rsidRDefault="009E441D" w:rsidP="007324A0">
      <w:pPr>
        <w:snapToGrid w:val="0"/>
        <w:spacing w:after="120" w:line="276" w:lineRule="auto"/>
        <w:jc w:val="both"/>
        <w:rPr>
          <w:rFonts w:ascii="Arial" w:hAnsi="Arial" w:cs="Arial"/>
          <w:spacing w:val="10"/>
          <w:sz w:val="18"/>
          <w:szCs w:val="18"/>
        </w:rPr>
      </w:pPr>
      <w:r w:rsidRPr="006D297D">
        <w:rPr>
          <w:rFonts w:ascii="Arial" w:hAnsi="Arial" w:cs="Arial"/>
          <w:spacing w:val="10"/>
          <w:sz w:val="18"/>
          <w:szCs w:val="18"/>
        </w:rPr>
        <w:t>Řízení se soutěžním dialogem:</w:t>
      </w:r>
    </w:p>
    <w:tbl>
      <w:tblPr>
        <w:tblStyle w:val="Mkatabulky"/>
        <w:tblW w:w="0" w:type="auto"/>
        <w:tblLook w:val="04A0" w:firstRow="1" w:lastRow="0" w:firstColumn="1" w:lastColumn="0" w:noHBand="0" w:noVBand="1"/>
      </w:tblPr>
      <w:tblGrid>
        <w:gridCol w:w="3195"/>
        <w:gridCol w:w="1117"/>
        <w:gridCol w:w="2377"/>
        <w:gridCol w:w="2373"/>
      </w:tblGrid>
      <w:tr w:rsidR="009E441D" w:rsidRPr="007324A0" w14:paraId="479C1DAF" w14:textId="77777777" w:rsidTr="00695E62">
        <w:tc>
          <w:tcPr>
            <w:tcW w:w="3195" w:type="dxa"/>
          </w:tcPr>
          <w:p w14:paraId="76B3A088" w14:textId="01AB7019"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žádostí o účast v řízení se soutěžním dialogem</w:t>
            </w:r>
          </w:p>
        </w:tc>
        <w:tc>
          <w:tcPr>
            <w:tcW w:w="1117" w:type="dxa"/>
          </w:tcPr>
          <w:p w14:paraId="64226FEC" w14:textId="77777777" w:rsidR="009E441D" w:rsidRPr="007324A0" w:rsidRDefault="009E441D" w:rsidP="007324A0">
            <w:pPr>
              <w:snapToGrid w:val="0"/>
              <w:spacing w:after="120" w:line="276" w:lineRule="auto"/>
              <w:jc w:val="both"/>
              <w:rPr>
                <w:rFonts w:ascii="Arial" w:hAnsi="Arial" w:cs="Arial"/>
                <w:b/>
                <w:bCs/>
                <w:spacing w:val="10"/>
                <w:sz w:val="18"/>
                <w:szCs w:val="18"/>
              </w:rPr>
            </w:pPr>
          </w:p>
        </w:tc>
        <w:tc>
          <w:tcPr>
            <w:tcW w:w="2377" w:type="dxa"/>
          </w:tcPr>
          <w:p w14:paraId="182CADF1"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373" w:type="dxa"/>
          </w:tcPr>
          <w:p w14:paraId="0519BE09"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 na profilu zadavatele</w:t>
            </w:r>
          </w:p>
        </w:tc>
      </w:tr>
      <w:tr w:rsidR="009E441D" w:rsidRPr="007324A0" w14:paraId="4DC1BC3E" w14:textId="77777777" w:rsidTr="00695E62">
        <w:tc>
          <w:tcPr>
            <w:tcW w:w="3195" w:type="dxa"/>
          </w:tcPr>
          <w:p w14:paraId="4B2BA82D"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1117" w:type="dxa"/>
          </w:tcPr>
          <w:p w14:paraId="64DFABE0" w14:textId="1C9563A4"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30</w:t>
            </w:r>
          </w:p>
        </w:tc>
        <w:tc>
          <w:tcPr>
            <w:tcW w:w="2377" w:type="dxa"/>
          </w:tcPr>
          <w:p w14:paraId="73D18EEF"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373" w:type="dxa"/>
          </w:tcPr>
          <w:p w14:paraId="49654981"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69096C0F" w14:textId="77777777" w:rsidR="009E441D" w:rsidRPr="007324A0" w:rsidRDefault="009E441D" w:rsidP="007324A0">
      <w:pPr>
        <w:snapToGrid w:val="0"/>
        <w:spacing w:after="120" w:line="276" w:lineRule="auto"/>
        <w:jc w:val="both"/>
        <w:rPr>
          <w:rFonts w:ascii="Arial" w:hAnsi="Arial" w:cs="Arial"/>
          <w:spacing w:val="10"/>
          <w:sz w:val="21"/>
          <w:szCs w:val="21"/>
        </w:rPr>
      </w:pPr>
    </w:p>
    <w:tbl>
      <w:tblPr>
        <w:tblStyle w:val="Mkatabulky"/>
        <w:tblW w:w="0" w:type="auto"/>
        <w:tblLook w:val="04A0" w:firstRow="1" w:lastRow="0" w:firstColumn="1" w:lastColumn="0" w:noHBand="0" w:noVBand="1"/>
      </w:tblPr>
      <w:tblGrid>
        <w:gridCol w:w="3185"/>
        <w:gridCol w:w="1137"/>
        <w:gridCol w:w="2372"/>
        <w:gridCol w:w="2368"/>
      </w:tblGrid>
      <w:tr w:rsidR="009E441D" w:rsidRPr="007324A0" w14:paraId="07C9BC68" w14:textId="77777777" w:rsidTr="00695E62">
        <w:tc>
          <w:tcPr>
            <w:tcW w:w="3195" w:type="dxa"/>
          </w:tcPr>
          <w:p w14:paraId="2CCA6E7A" w14:textId="5ED4B3D3"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nabídky v řízení se soutěžním dialogem</w:t>
            </w:r>
          </w:p>
        </w:tc>
        <w:tc>
          <w:tcPr>
            <w:tcW w:w="1117" w:type="dxa"/>
          </w:tcPr>
          <w:p w14:paraId="6CFD1828" w14:textId="77777777" w:rsidR="009E441D" w:rsidRPr="007324A0" w:rsidRDefault="009E441D" w:rsidP="007324A0">
            <w:pPr>
              <w:snapToGrid w:val="0"/>
              <w:spacing w:after="120" w:line="276" w:lineRule="auto"/>
              <w:jc w:val="both"/>
              <w:rPr>
                <w:rFonts w:ascii="Arial" w:hAnsi="Arial" w:cs="Arial"/>
                <w:b/>
                <w:bCs/>
                <w:spacing w:val="10"/>
                <w:sz w:val="18"/>
                <w:szCs w:val="18"/>
              </w:rPr>
            </w:pPr>
          </w:p>
        </w:tc>
        <w:tc>
          <w:tcPr>
            <w:tcW w:w="2377" w:type="dxa"/>
          </w:tcPr>
          <w:p w14:paraId="4494AE91"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373" w:type="dxa"/>
          </w:tcPr>
          <w:p w14:paraId="16F9CA11"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 na profilu zadavatele</w:t>
            </w:r>
          </w:p>
        </w:tc>
      </w:tr>
      <w:tr w:rsidR="009E441D" w:rsidRPr="007324A0" w14:paraId="62DD6E14" w14:textId="77777777" w:rsidTr="00695E62">
        <w:tc>
          <w:tcPr>
            <w:tcW w:w="3195" w:type="dxa"/>
          </w:tcPr>
          <w:p w14:paraId="614D872B"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1117" w:type="dxa"/>
          </w:tcPr>
          <w:p w14:paraId="76476EF5" w14:textId="0FA4783C"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Přiměřená (viz příloha č. 6 ZZVZ)</w:t>
            </w:r>
          </w:p>
        </w:tc>
        <w:tc>
          <w:tcPr>
            <w:tcW w:w="2377" w:type="dxa"/>
          </w:tcPr>
          <w:p w14:paraId="2D78B440"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373" w:type="dxa"/>
          </w:tcPr>
          <w:p w14:paraId="0AA7CFD9"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18DE8CC0" w14:textId="77777777" w:rsidR="009E441D" w:rsidRPr="007324A0" w:rsidRDefault="009E441D" w:rsidP="007324A0">
      <w:pPr>
        <w:snapToGrid w:val="0"/>
        <w:spacing w:after="120" w:line="276" w:lineRule="auto"/>
        <w:jc w:val="both"/>
        <w:rPr>
          <w:rFonts w:ascii="Arial" w:hAnsi="Arial" w:cs="Arial"/>
          <w:spacing w:val="10"/>
          <w:sz w:val="21"/>
          <w:szCs w:val="21"/>
        </w:rPr>
      </w:pPr>
    </w:p>
    <w:p w14:paraId="69689809" w14:textId="5AFB0DAC" w:rsidR="009E441D" w:rsidRPr="006D297D" w:rsidRDefault="009E441D" w:rsidP="007324A0">
      <w:pPr>
        <w:snapToGrid w:val="0"/>
        <w:spacing w:after="120" w:line="276" w:lineRule="auto"/>
        <w:jc w:val="both"/>
        <w:rPr>
          <w:rFonts w:ascii="Arial" w:hAnsi="Arial" w:cs="Arial"/>
          <w:spacing w:val="10"/>
          <w:sz w:val="18"/>
          <w:szCs w:val="18"/>
        </w:rPr>
      </w:pPr>
      <w:r w:rsidRPr="006D297D">
        <w:rPr>
          <w:rFonts w:ascii="Arial" w:hAnsi="Arial" w:cs="Arial"/>
          <w:spacing w:val="10"/>
          <w:sz w:val="18"/>
          <w:szCs w:val="18"/>
        </w:rPr>
        <w:t>Řízení s inovačním partnerstvím:</w:t>
      </w:r>
    </w:p>
    <w:tbl>
      <w:tblPr>
        <w:tblStyle w:val="Mkatabulky"/>
        <w:tblW w:w="0" w:type="auto"/>
        <w:tblLook w:val="04A0" w:firstRow="1" w:lastRow="0" w:firstColumn="1" w:lastColumn="0" w:noHBand="0" w:noVBand="1"/>
      </w:tblPr>
      <w:tblGrid>
        <w:gridCol w:w="3195"/>
        <w:gridCol w:w="1117"/>
        <w:gridCol w:w="2377"/>
        <w:gridCol w:w="2373"/>
      </w:tblGrid>
      <w:tr w:rsidR="009E441D" w:rsidRPr="007324A0" w14:paraId="6DF752B6" w14:textId="77777777" w:rsidTr="00695E62">
        <w:tc>
          <w:tcPr>
            <w:tcW w:w="3195" w:type="dxa"/>
          </w:tcPr>
          <w:p w14:paraId="2D2157AF" w14:textId="2123BF09"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Minimální lhůty pro podání žádostí o účast v řízení o inovačním partnerství</w:t>
            </w:r>
          </w:p>
        </w:tc>
        <w:tc>
          <w:tcPr>
            <w:tcW w:w="1117" w:type="dxa"/>
          </w:tcPr>
          <w:p w14:paraId="732DA831" w14:textId="77777777" w:rsidR="009E441D" w:rsidRPr="007324A0" w:rsidRDefault="009E441D" w:rsidP="007324A0">
            <w:pPr>
              <w:snapToGrid w:val="0"/>
              <w:spacing w:after="120" w:line="276" w:lineRule="auto"/>
              <w:jc w:val="both"/>
              <w:rPr>
                <w:rFonts w:ascii="Arial" w:hAnsi="Arial" w:cs="Arial"/>
                <w:b/>
                <w:bCs/>
                <w:spacing w:val="10"/>
                <w:sz w:val="18"/>
                <w:szCs w:val="18"/>
              </w:rPr>
            </w:pPr>
          </w:p>
        </w:tc>
        <w:tc>
          <w:tcPr>
            <w:tcW w:w="2377" w:type="dxa"/>
          </w:tcPr>
          <w:p w14:paraId="399A54EA"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Neumožnění podávat el. nabídky nebo předložit vzorky dle ZD</w:t>
            </w:r>
          </w:p>
        </w:tc>
        <w:tc>
          <w:tcPr>
            <w:tcW w:w="2373" w:type="dxa"/>
          </w:tcPr>
          <w:p w14:paraId="70B86B3F" w14:textId="77777777" w:rsidR="009E441D" w:rsidRPr="007324A0" w:rsidRDefault="009E441D" w:rsidP="007324A0">
            <w:pPr>
              <w:snapToGrid w:val="0"/>
              <w:spacing w:after="120" w:line="276" w:lineRule="auto"/>
              <w:jc w:val="both"/>
              <w:rPr>
                <w:rFonts w:ascii="Arial" w:hAnsi="Arial" w:cs="Arial"/>
                <w:b/>
                <w:bCs/>
                <w:spacing w:val="10"/>
                <w:sz w:val="18"/>
                <w:szCs w:val="18"/>
              </w:rPr>
            </w:pPr>
            <w:r w:rsidRPr="007324A0">
              <w:rPr>
                <w:rFonts w:ascii="Arial" w:hAnsi="Arial" w:cs="Arial"/>
                <w:b/>
                <w:bCs/>
                <w:spacing w:val="10"/>
                <w:sz w:val="18"/>
                <w:szCs w:val="18"/>
              </w:rPr>
              <w:t>Neuveřejnění celé ZD na profilu zadavatele</w:t>
            </w:r>
          </w:p>
        </w:tc>
      </w:tr>
      <w:tr w:rsidR="009E441D" w:rsidRPr="007324A0" w14:paraId="7A0B7439" w14:textId="77777777" w:rsidTr="00695E62">
        <w:tc>
          <w:tcPr>
            <w:tcW w:w="3195" w:type="dxa"/>
          </w:tcPr>
          <w:p w14:paraId="442CEF80"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Základní</w:t>
            </w:r>
          </w:p>
        </w:tc>
        <w:tc>
          <w:tcPr>
            <w:tcW w:w="1117" w:type="dxa"/>
          </w:tcPr>
          <w:p w14:paraId="0AECE42F" w14:textId="1C945E51"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30</w:t>
            </w:r>
          </w:p>
        </w:tc>
        <w:tc>
          <w:tcPr>
            <w:tcW w:w="2377" w:type="dxa"/>
          </w:tcPr>
          <w:p w14:paraId="3CFA9B04"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c>
          <w:tcPr>
            <w:tcW w:w="2373" w:type="dxa"/>
          </w:tcPr>
          <w:p w14:paraId="7519CE47" w14:textId="77777777" w:rsidR="009E441D" w:rsidRPr="007324A0" w:rsidRDefault="009E441D" w:rsidP="007324A0">
            <w:pPr>
              <w:snapToGrid w:val="0"/>
              <w:spacing w:after="120" w:line="276" w:lineRule="auto"/>
              <w:jc w:val="both"/>
              <w:rPr>
                <w:rFonts w:ascii="Arial" w:hAnsi="Arial" w:cs="Arial"/>
                <w:spacing w:val="10"/>
                <w:sz w:val="18"/>
                <w:szCs w:val="18"/>
              </w:rPr>
            </w:pPr>
            <w:r w:rsidRPr="007324A0">
              <w:rPr>
                <w:rFonts w:ascii="Arial" w:hAnsi="Arial" w:cs="Arial"/>
                <w:spacing w:val="10"/>
                <w:sz w:val="18"/>
                <w:szCs w:val="18"/>
              </w:rPr>
              <w:t>+ 0</w:t>
            </w:r>
          </w:p>
        </w:tc>
      </w:tr>
    </w:tbl>
    <w:p w14:paraId="61AAC753" w14:textId="77777777" w:rsidR="00C06009" w:rsidRPr="007324A0" w:rsidRDefault="00C06009" w:rsidP="007324A0">
      <w:pPr>
        <w:snapToGrid w:val="0"/>
        <w:spacing w:after="120" w:line="276" w:lineRule="auto"/>
        <w:jc w:val="both"/>
        <w:rPr>
          <w:rFonts w:ascii="Arial" w:hAnsi="Arial" w:cs="Arial"/>
          <w:spacing w:val="10"/>
          <w:sz w:val="21"/>
          <w:szCs w:val="21"/>
        </w:rPr>
      </w:pPr>
    </w:p>
    <w:p w14:paraId="2495C7A5" w14:textId="597ECD49" w:rsidR="003F0015" w:rsidRPr="007324A0" w:rsidRDefault="00941C19" w:rsidP="00221235">
      <w:pPr>
        <w:snapToGrid w:val="0"/>
        <w:spacing w:after="120" w:line="276" w:lineRule="auto"/>
        <w:ind w:left="360"/>
        <w:jc w:val="both"/>
        <w:rPr>
          <w:rFonts w:ascii="Arial" w:hAnsi="Arial" w:cs="Arial"/>
          <w:b/>
          <w:bCs/>
          <w:spacing w:val="10"/>
          <w:sz w:val="21"/>
          <w:szCs w:val="21"/>
        </w:rPr>
      </w:pPr>
      <w:r w:rsidRPr="007324A0">
        <w:rPr>
          <w:rFonts w:ascii="Arial" w:hAnsi="Arial" w:cs="Arial"/>
          <w:b/>
          <w:bCs/>
          <w:spacing w:val="10"/>
          <w:sz w:val="21"/>
          <w:szCs w:val="21"/>
        </w:rPr>
        <w:t xml:space="preserve">Lhůta pro </w:t>
      </w:r>
      <w:r w:rsidR="00221235">
        <w:rPr>
          <w:rFonts w:ascii="Arial" w:hAnsi="Arial" w:cs="Arial"/>
          <w:b/>
          <w:bCs/>
          <w:spacing w:val="10"/>
          <w:sz w:val="21"/>
          <w:szCs w:val="21"/>
        </w:rPr>
        <w:t xml:space="preserve">podání </w:t>
      </w:r>
      <w:r w:rsidR="003F0015" w:rsidRPr="007324A0">
        <w:rPr>
          <w:rFonts w:ascii="Arial" w:hAnsi="Arial" w:cs="Arial"/>
          <w:b/>
          <w:bCs/>
          <w:spacing w:val="10"/>
          <w:sz w:val="21"/>
          <w:szCs w:val="21"/>
        </w:rPr>
        <w:t>žádost</w:t>
      </w:r>
      <w:r w:rsidR="00221235">
        <w:rPr>
          <w:rFonts w:ascii="Arial" w:hAnsi="Arial" w:cs="Arial"/>
          <w:b/>
          <w:bCs/>
          <w:spacing w:val="10"/>
          <w:sz w:val="21"/>
          <w:szCs w:val="21"/>
        </w:rPr>
        <w:t>i</w:t>
      </w:r>
      <w:r w:rsidR="003F0015" w:rsidRPr="007324A0">
        <w:rPr>
          <w:rFonts w:ascii="Arial" w:hAnsi="Arial" w:cs="Arial"/>
          <w:b/>
          <w:bCs/>
          <w:spacing w:val="10"/>
          <w:sz w:val="21"/>
          <w:szCs w:val="21"/>
        </w:rPr>
        <w:t xml:space="preserve"> o </w:t>
      </w:r>
      <w:r w:rsidRPr="007324A0">
        <w:rPr>
          <w:rFonts w:ascii="Arial" w:hAnsi="Arial" w:cs="Arial"/>
          <w:b/>
          <w:bCs/>
          <w:spacing w:val="10"/>
          <w:sz w:val="21"/>
          <w:szCs w:val="21"/>
        </w:rPr>
        <w:t>vysvětlení zadávací dokumentace</w:t>
      </w:r>
    </w:p>
    <w:p w14:paraId="1B6FE738" w14:textId="77777777" w:rsidR="00FE15C1" w:rsidRDefault="003F0015" w:rsidP="00221235">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Žádost o vysvětlení zadávací dokumentace musí být doručena zadavateli nejpozději 8, resp. 7, pracovních dnů před koncem lhůty pro podání nabídek, předběžných nabídek či žádostí o účast</w:t>
      </w:r>
      <w:r w:rsidR="00FE15C1">
        <w:rPr>
          <w:rFonts w:ascii="Arial" w:hAnsi="Arial" w:cs="Arial"/>
          <w:spacing w:val="10"/>
          <w:sz w:val="21"/>
          <w:szCs w:val="21"/>
        </w:rPr>
        <w:t>.</w:t>
      </w:r>
    </w:p>
    <w:p w14:paraId="556025C9" w14:textId="63CBA2EB" w:rsidR="003F0015" w:rsidRDefault="00FE15C1" w:rsidP="00221235">
      <w:pPr>
        <w:snapToGrid w:val="0"/>
        <w:spacing w:after="120" w:line="276" w:lineRule="auto"/>
        <w:ind w:left="360"/>
        <w:jc w:val="both"/>
        <w:rPr>
          <w:rFonts w:ascii="Arial" w:hAnsi="Arial" w:cs="Arial"/>
          <w:spacing w:val="10"/>
          <w:sz w:val="21"/>
          <w:szCs w:val="21"/>
        </w:rPr>
      </w:pPr>
      <w:r>
        <w:rPr>
          <w:rFonts w:ascii="Arial" w:hAnsi="Arial" w:cs="Arial"/>
          <w:spacing w:val="10"/>
          <w:sz w:val="21"/>
          <w:szCs w:val="21"/>
        </w:rPr>
        <w:t xml:space="preserve">Pokud zadavatel v zadávací dokumentaci uvedl informaci o zkrácení lhůty pro podání námitek o 72 hodin, tato skutečnost bude mít dopad i na lhůtu, v níž mohou být ze strany dodavatelů podávány žádosti o vysvětlení zadávací dokumentace – žádost o vysvětlení zadávací dokumentace bude nutné v této situaci podat do </w:t>
      </w:r>
      <w:r w:rsidR="003F0015" w:rsidRPr="007324A0">
        <w:rPr>
          <w:rFonts w:ascii="Arial" w:hAnsi="Arial" w:cs="Arial"/>
          <w:spacing w:val="10"/>
          <w:sz w:val="21"/>
          <w:szCs w:val="21"/>
        </w:rPr>
        <w:t>8, resp. 7, pracovních dnů před lhůtou pro podán námitek</w:t>
      </w:r>
      <w:r>
        <w:rPr>
          <w:rFonts w:ascii="Arial" w:hAnsi="Arial" w:cs="Arial"/>
          <w:spacing w:val="10"/>
          <w:sz w:val="21"/>
          <w:szCs w:val="21"/>
        </w:rPr>
        <w:t>.</w:t>
      </w:r>
    </w:p>
    <w:p w14:paraId="0839D63A" w14:textId="77777777" w:rsidR="00FE15C1" w:rsidRDefault="00FE15C1" w:rsidP="00221235">
      <w:pPr>
        <w:snapToGrid w:val="0"/>
        <w:spacing w:after="120" w:line="276" w:lineRule="auto"/>
        <w:ind w:left="360"/>
        <w:jc w:val="both"/>
        <w:rPr>
          <w:rFonts w:ascii="Arial" w:hAnsi="Arial" w:cs="Arial"/>
          <w:spacing w:val="10"/>
          <w:sz w:val="21"/>
          <w:szCs w:val="21"/>
        </w:rPr>
      </w:pPr>
    </w:p>
    <w:p w14:paraId="3D0F61E9" w14:textId="77777777" w:rsidR="00BC1DE2" w:rsidRPr="007324A0" w:rsidRDefault="00BC1DE2" w:rsidP="00221235">
      <w:pPr>
        <w:snapToGrid w:val="0"/>
        <w:spacing w:after="120" w:line="276" w:lineRule="auto"/>
        <w:ind w:left="360"/>
        <w:jc w:val="both"/>
        <w:rPr>
          <w:rFonts w:ascii="Arial" w:hAnsi="Arial" w:cs="Arial"/>
          <w:spacing w:val="10"/>
          <w:sz w:val="21"/>
          <w:szCs w:val="21"/>
        </w:rPr>
      </w:pPr>
    </w:p>
    <w:p w14:paraId="0B5D2E0E" w14:textId="6CC1E5E2" w:rsidR="003F0015" w:rsidRPr="007324A0" w:rsidRDefault="003F0015" w:rsidP="00FE15C1">
      <w:pPr>
        <w:snapToGrid w:val="0"/>
        <w:spacing w:after="120" w:line="276" w:lineRule="auto"/>
        <w:ind w:left="360"/>
        <w:jc w:val="both"/>
        <w:rPr>
          <w:rFonts w:ascii="Arial" w:hAnsi="Arial" w:cs="Arial"/>
          <w:b/>
          <w:bCs/>
          <w:spacing w:val="10"/>
          <w:sz w:val="21"/>
          <w:szCs w:val="21"/>
        </w:rPr>
      </w:pPr>
      <w:r w:rsidRPr="007324A0">
        <w:rPr>
          <w:rFonts w:ascii="Arial" w:hAnsi="Arial" w:cs="Arial"/>
          <w:b/>
          <w:bCs/>
          <w:spacing w:val="10"/>
          <w:sz w:val="21"/>
          <w:szCs w:val="21"/>
        </w:rPr>
        <w:lastRenderedPageBreak/>
        <w:t>Lhůt</w:t>
      </w:r>
      <w:r w:rsidR="00FE15C1">
        <w:rPr>
          <w:rFonts w:ascii="Arial" w:hAnsi="Arial" w:cs="Arial"/>
          <w:b/>
          <w:bCs/>
          <w:spacing w:val="10"/>
          <w:sz w:val="21"/>
          <w:szCs w:val="21"/>
        </w:rPr>
        <w:t>a</w:t>
      </w:r>
      <w:r w:rsidRPr="007324A0">
        <w:rPr>
          <w:rFonts w:ascii="Arial" w:hAnsi="Arial" w:cs="Arial"/>
          <w:b/>
          <w:bCs/>
          <w:spacing w:val="10"/>
          <w:sz w:val="21"/>
          <w:szCs w:val="21"/>
        </w:rPr>
        <w:t xml:space="preserve"> pro poskytnutí vysvětlení zadávací dokumentace</w:t>
      </w:r>
    </w:p>
    <w:p w14:paraId="7984AD4C" w14:textId="3B532F26" w:rsidR="003F0015" w:rsidRPr="007324A0" w:rsidRDefault="003F0015" w:rsidP="00FE15C1">
      <w:pPr>
        <w:snapToGrid w:val="0"/>
        <w:spacing w:after="120" w:line="276" w:lineRule="auto"/>
        <w:ind w:left="360"/>
        <w:jc w:val="both"/>
        <w:rPr>
          <w:rFonts w:ascii="Arial" w:eastAsia="Times New Roman" w:hAnsi="Arial" w:cs="Arial"/>
          <w:spacing w:val="10"/>
          <w:sz w:val="21"/>
          <w:szCs w:val="21"/>
        </w:rPr>
      </w:pPr>
      <w:r w:rsidRPr="00FE15C1">
        <w:rPr>
          <w:rFonts w:ascii="Arial" w:hAnsi="Arial" w:cs="Arial"/>
          <w:spacing w:val="10"/>
          <w:sz w:val="21"/>
          <w:szCs w:val="21"/>
        </w:rPr>
        <w:t>Pokud</w:t>
      </w:r>
      <w:r w:rsidRPr="007324A0">
        <w:rPr>
          <w:rFonts w:ascii="Arial" w:eastAsia="Times New Roman" w:hAnsi="Arial" w:cs="Arial"/>
          <w:spacing w:val="10"/>
          <w:sz w:val="21"/>
          <w:szCs w:val="21"/>
        </w:rPr>
        <w:t xml:space="preserve"> bude žádost o vysvětlení zadávací dokumentace zadavateli doručena ve</w:t>
      </w:r>
      <w:r w:rsidR="00FE15C1">
        <w:rPr>
          <w:rFonts w:ascii="Arial" w:eastAsia="Times New Roman" w:hAnsi="Arial" w:cs="Arial"/>
          <w:spacing w:val="10"/>
          <w:sz w:val="21"/>
          <w:szCs w:val="21"/>
        </w:rPr>
        <w:t> </w:t>
      </w:r>
      <w:r w:rsidRPr="007324A0">
        <w:rPr>
          <w:rFonts w:ascii="Arial" w:eastAsia="Times New Roman" w:hAnsi="Arial" w:cs="Arial"/>
          <w:spacing w:val="10"/>
          <w:sz w:val="21"/>
          <w:szCs w:val="21"/>
        </w:rPr>
        <w:t>stanovené lhůtě</w:t>
      </w:r>
      <w:r w:rsidR="00FE15C1">
        <w:rPr>
          <w:rFonts w:ascii="Arial" w:eastAsia="Times New Roman" w:hAnsi="Arial" w:cs="Arial"/>
          <w:spacing w:val="10"/>
          <w:sz w:val="21"/>
          <w:szCs w:val="21"/>
        </w:rPr>
        <w:t xml:space="preserve"> (viz výše)</w:t>
      </w:r>
      <w:r w:rsidRPr="007324A0">
        <w:rPr>
          <w:rFonts w:ascii="Arial" w:eastAsia="Times New Roman" w:hAnsi="Arial" w:cs="Arial"/>
          <w:spacing w:val="10"/>
          <w:sz w:val="21"/>
          <w:szCs w:val="21"/>
        </w:rPr>
        <w:t>, je zadavatel povinen ji zodpovědět</w:t>
      </w:r>
      <w:r w:rsidR="00FE15C1">
        <w:rPr>
          <w:rFonts w:ascii="Arial" w:eastAsia="Times New Roman" w:hAnsi="Arial" w:cs="Arial"/>
          <w:spacing w:val="10"/>
          <w:sz w:val="21"/>
          <w:szCs w:val="21"/>
        </w:rPr>
        <w:t xml:space="preserve"> a odpověď uveřejnit na profilu zadavatele</w:t>
      </w:r>
      <w:r w:rsidRPr="007324A0">
        <w:rPr>
          <w:rFonts w:ascii="Arial" w:eastAsia="Times New Roman" w:hAnsi="Arial" w:cs="Arial"/>
          <w:spacing w:val="10"/>
          <w:sz w:val="21"/>
          <w:szCs w:val="21"/>
        </w:rPr>
        <w:t>, do 3 pracovních dnů od doručení předmětné žádosti. V opačném případě (tzn. že žádost o vysvětlení zadávací dokumentace byla doručena opožděně) z</w:t>
      </w:r>
      <w:r w:rsidR="00366D47">
        <w:rPr>
          <w:rFonts w:ascii="Arial" w:eastAsia="Times New Roman" w:hAnsi="Arial" w:cs="Arial"/>
          <w:spacing w:val="10"/>
          <w:sz w:val="21"/>
          <w:szCs w:val="21"/>
        </w:rPr>
        <w:t>á</w:t>
      </w:r>
      <w:r w:rsidRPr="007324A0">
        <w:rPr>
          <w:rFonts w:ascii="Arial" w:eastAsia="Times New Roman" w:hAnsi="Arial" w:cs="Arial"/>
          <w:spacing w:val="10"/>
          <w:sz w:val="21"/>
          <w:szCs w:val="21"/>
        </w:rPr>
        <w:t>leží pouze na rozhodnutí zadavatele, zda žádost o vysvětlení zadávací dokumentace zodpoví či nikoliv.</w:t>
      </w:r>
    </w:p>
    <w:p w14:paraId="28D7D590" w14:textId="2280CEEC" w:rsidR="00CA0970" w:rsidRPr="007324A0" w:rsidRDefault="00CA0970" w:rsidP="00FE15C1">
      <w:pPr>
        <w:snapToGrid w:val="0"/>
        <w:spacing w:after="120" w:line="276" w:lineRule="auto"/>
        <w:ind w:left="360"/>
        <w:jc w:val="both"/>
        <w:rPr>
          <w:rFonts w:ascii="Arial" w:eastAsia="Times New Roman" w:hAnsi="Arial" w:cs="Arial"/>
          <w:spacing w:val="10"/>
          <w:sz w:val="21"/>
          <w:szCs w:val="21"/>
        </w:rPr>
      </w:pPr>
      <w:r w:rsidRPr="00FE15C1">
        <w:rPr>
          <w:rFonts w:ascii="Arial" w:hAnsi="Arial" w:cs="Arial"/>
          <w:spacing w:val="10"/>
          <w:sz w:val="21"/>
          <w:szCs w:val="21"/>
        </w:rPr>
        <w:t>Pokud</w:t>
      </w:r>
      <w:r w:rsidRPr="007324A0">
        <w:rPr>
          <w:rFonts w:ascii="Arial" w:eastAsia="Times New Roman" w:hAnsi="Arial" w:cs="Arial"/>
          <w:spacing w:val="10"/>
          <w:sz w:val="21"/>
          <w:szCs w:val="21"/>
        </w:rPr>
        <w:t xml:space="preserve"> zadavatel vysvětlení zadávací dokumentace učiní opožděně (tzn.</w:t>
      </w:r>
      <w:r w:rsidR="00FE15C1">
        <w:rPr>
          <w:rFonts w:ascii="Arial" w:eastAsia="Times New Roman" w:hAnsi="Arial" w:cs="Arial"/>
          <w:spacing w:val="10"/>
          <w:sz w:val="21"/>
          <w:szCs w:val="21"/>
        </w:rPr>
        <w:t> až </w:t>
      </w:r>
      <w:r w:rsidRPr="007324A0">
        <w:rPr>
          <w:rFonts w:ascii="Arial" w:eastAsia="Times New Roman" w:hAnsi="Arial" w:cs="Arial"/>
          <w:spacing w:val="10"/>
          <w:sz w:val="21"/>
          <w:szCs w:val="21"/>
        </w:rPr>
        <w:t>po</w:t>
      </w:r>
      <w:r w:rsidR="00FE15C1">
        <w:rPr>
          <w:rFonts w:ascii="Arial" w:eastAsia="Times New Roman" w:hAnsi="Arial" w:cs="Arial"/>
          <w:spacing w:val="10"/>
          <w:sz w:val="21"/>
          <w:szCs w:val="21"/>
        </w:rPr>
        <w:t> </w:t>
      </w:r>
      <w:r w:rsidRPr="007324A0">
        <w:rPr>
          <w:rFonts w:ascii="Arial" w:eastAsia="Times New Roman" w:hAnsi="Arial" w:cs="Arial"/>
          <w:spacing w:val="10"/>
          <w:sz w:val="21"/>
          <w:szCs w:val="21"/>
        </w:rPr>
        <w:t>uplynut</w:t>
      </w:r>
      <w:r w:rsidR="00FE15C1">
        <w:rPr>
          <w:rFonts w:ascii="Arial" w:eastAsia="Times New Roman" w:hAnsi="Arial" w:cs="Arial"/>
          <w:spacing w:val="10"/>
          <w:sz w:val="21"/>
          <w:szCs w:val="21"/>
        </w:rPr>
        <w:t>í</w:t>
      </w:r>
      <w:r w:rsidRPr="007324A0">
        <w:rPr>
          <w:rFonts w:ascii="Arial" w:eastAsia="Times New Roman" w:hAnsi="Arial" w:cs="Arial"/>
          <w:spacing w:val="10"/>
          <w:sz w:val="21"/>
          <w:szCs w:val="21"/>
        </w:rPr>
        <w:t xml:space="preserve"> 3 pracovních dnů), je povinen přistoupit k prodloužení příslušné lhůty, a to o tolik dnů, o</w:t>
      </w:r>
      <w:r w:rsidR="00FE15C1">
        <w:rPr>
          <w:rFonts w:ascii="Arial" w:eastAsia="Times New Roman" w:hAnsi="Arial" w:cs="Arial"/>
          <w:spacing w:val="10"/>
          <w:sz w:val="21"/>
          <w:szCs w:val="21"/>
        </w:rPr>
        <w:t> </w:t>
      </w:r>
      <w:r w:rsidRPr="007324A0">
        <w:rPr>
          <w:rFonts w:ascii="Arial" w:eastAsia="Times New Roman" w:hAnsi="Arial" w:cs="Arial"/>
          <w:spacing w:val="10"/>
          <w:sz w:val="21"/>
          <w:szCs w:val="21"/>
        </w:rPr>
        <w:t>kolik byla zadavatelem překročena zákonná lhůta 3 pracovních dnů</w:t>
      </w:r>
      <w:r w:rsidR="00FE15C1">
        <w:rPr>
          <w:rFonts w:ascii="Arial" w:eastAsia="Times New Roman" w:hAnsi="Arial" w:cs="Arial"/>
          <w:spacing w:val="10"/>
          <w:sz w:val="21"/>
          <w:szCs w:val="21"/>
        </w:rPr>
        <w:t xml:space="preserve"> pro vyřízení žádosti o vysvětlení zadávací dokumentace</w:t>
      </w:r>
      <w:r w:rsidRPr="007324A0">
        <w:rPr>
          <w:rFonts w:ascii="Arial" w:eastAsia="Times New Roman" w:hAnsi="Arial" w:cs="Arial"/>
          <w:spacing w:val="10"/>
          <w:sz w:val="21"/>
          <w:szCs w:val="21"/>
        </w:rPr>
        <w:t>.</w:t>
      </w:r>
    </w:p>
    <w:p w14:paraId="16A29E45" w14:textId="77777777" w:rsidR="00941C19" w:rsidRPr="007324A0" w:rsidRDefault="00941C19" w:rsidP="007324A0">
      <w:pPr>
        <w:snapToGrid w:val="0"/>
        <w:spacing w:after="120" w:line="276" w:lineRule="auto"/>
        <w:jc w:val="both"/>
        <w:rPr>
          <w:rFonts w:ascii="Arial" w:hAnsi="Arial" w:cs="Arial"/>
          <w:spacing w:val="10"/>
          <w:sz w:val="21"/>
          <w:szCs w:val="21"/>
        </w:rPr>
      </w:pPr>
    </w:p>
    <w:p w14:paraId="17F3AC45" w14:textId="599496F1" w:rsidR="00941C19" w:rsidRPr="007324A0" w:rsidRDefault="00941C19" w:rsidP="00BC1DE2">
      <w:pPr>
        <w:snapToGrid w:val="0"/>
        <w:spacing w:after="120" w:line="276" w:lineRule="auto"/>
        <w:ind w:left="360"/>
        <w:jc w:val="both"/>
        <w:rPr>
          <w:rFonts w:ascii="Arial" w:hAnsi="Arial" w:cs="Arial"/>
          <w:b/>
          <w:bCs/>
          <w:spacing w:val="10"/>
          <w:sz w:val="21"/>
          <w:szCs w:val="21"/>
        </w:rPr>
      </w:pPr>
      <w:r w:rsidRPr="007324A0">
        <w:rPr>
          <w:rFonts w:ascii="Arial" w:hAnsi="Arial" w:cs="Arial"/>
          <w:b/>
          <w:bCs/>
          <w:spacing w:val="10"/>
          <w:sz w:val="21"/>
          <w:szCs w:val="21"/>
        </w:rPr>
        <w:t>Lhůta pro objasnění</w:t>
      </w:r>
    </w:p>
    <w:p w14:paraId="6D1B82DC" w14:textId="3A3E78F1" w:rsidR="00BC1DE2" w:rsidRDefault="00160C35" w:rsidP="00BC1DE2">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Zadavatel má možnost vyzvat účastníka zadávacího řízení postupe dle § 46 ZZVZ k objasnění nebo k doplnění údajů, dokladů, vzorků nebo modelů (dále jen „</w:t>
      </w:r>
      <w:r w:rsidRPr="007324A0">
        <w:rPr>
          <w:rFonts w:ascii="Arial" w:hAnsi="Arial" w:cs="Arial"/>
          <w:b/>
          <w:bCs/>
          <w:i/>
          <w:iCs/>
          <w:spacing w:val="10"/>
          <w:sz w:val="21"/>
          <w:szCs w:val="21"/>
        </w:rPr>
        <w:t>žádost o</w:t>
      </w:r>
      <w:r w:rsidR="00BC1DE2">
        <w:rPr>
          <w:rFonts w:ascii="Arial" w:hAnsi="Arial" w:cs="Arial"/>
          <w:b/>
          <w:bCs/>
          <w:i/>
          <w:iCs/>
          <w:spacing w:val="10"/>
          <w:sz w:val="21"/>
          <w:szCs w:val="21"/>
        </w:rPr>
        <w:t> </w:t>
      </w:r>
      <w:r w:rsidRPr="007324A0">
        <w:rPr>
          <w:rFonts w:ascii="Arial" w:hAnsi="Arial" w:cs="Arial"/>
          <w:b/>
          <w:bCs/>
          <w:i/>
          <w:iCs/>
          <w:spacing w:val="10"/>
          <w:sz w:val="21"/>
          <w:szCs w:val="21"/>
        </w:rPr>
        <w:t>objasnění</w:t>
      </w:r>
      <w:r w:rsidRPr="007324A0">
        <w:rPr>
          <w:rFonts w:ascii="Arial" w:hAnsi="Arial" w:cs="Arial"/>
          <w:spacing w:val="10"/>
          <w:sz w:val="21"/>
          <w:szCs w:val="21"/>
        </w:rPr>
        <w:t>“). Zadavatel je povinen v žádosti o objasnění stanovit lhůtu, v níž je účastník zadávacího řízení povinen požadované objasnění zadavateli předložit</w:t>
      </w:r>
      <w:r w:rsidR="00BC1DE2">
        <w:rPr>
          <w:rFonts w:ascii="Arial" w:hAnsi="Arial" w:cs="Arial"/>
          <w:spacing w:val="10"/>
          <w:sz w:val="21"/>
          <w:szCs w:val="21"/>
        </w:rPr>
        <w:t xml:space="preserve"> (doručit)</w:t>
      </w:r>
      <w:r w:rsidRPr="007324A0">
        <w:rPr>
          <w:rFonts w:ascii="Arial" w:hAnsi="Arial" w:cs="Arial"/>
          <w:spacing w:val="10"/>
          <w:sz w:val="21"/>
          <w:szCs w:val="21"/>
        </w:rPr>
        <w:t>. Tato lhůta by přitom měla být stanovena tak, aby byla přiměřená požadovaným skutečnostem</w:t>
      </w:r>
      <w:r w:rsidR="00BC1DE2">
        <w:rPr>
          <w:rFonts w:ascii="Arial" w:hAnsi="Arial" w:cs="Arial"/>
          <w:spacing w:val="10"/>
          <w:sz w:val="21"/>
          <w:szCs w:val="21"/>
        </w:rPr>
        <w:t>.</w:t>
      </w:r>
    </w:p>
    <w:p w14:paraId="573EAC37" w14:textId="7E21D729" w:rsidR="00160C35" w:rsidRPr="007324A0" w:rsidRDefault="00BC1DE2" w:rsidP="00BC1DE2">
      <w:pPr>
        <w:snapToGrid w:val="0"/>
        <w:spacing w:after="120" w:line="276" w:lineRule="auto"/>
        <w:ind w:left="360"/>
        <w:jc w:val="both"/>
        <w:rPr>
          <w:rFonts w:ascii="Arial" w:hAnsi="Arial" w:cs="Arial"/>
          <w:spacing w:val="10"/>
          <w:sz w:val="21"/>
          <w:szCs w:val="21"/>
        </w:rPr>
      </w:pPr>
      <w:r>
        <w:rPr>
          <w:rFonts w:ascii="Arial" w:hAnsi="Arial" w:cs="Arial"/>
          <w:spacing w:val="10"/>
          <w:sz w:val="21"/>
          <w:szCs w:val="21"/>
        </w:rPr>
        <w:t>L</w:t>
      </w:r>
      <w:r w:rsidR="00160C35" w:rsidRPr="007324A0">
        <w:rPr>
          <w:rFonts w:ascii="Arial" w:hAnsi="Arial" w:cs="Arial"/>
          <w:spacing w:val="10"/>
          <w:sz w:val="21"/>
          <w:szCs w:val="21"/>
        </w:rPr>
        <w:t>hůtu pro objasnění je zadavatel oprávněn prodloužit, a to na žádost účastníka zadávacího řízení, a to i opakovaně. Pokud účastník zadávacího řízení doloží zadavateli požadované skutečnosti opožděně, má zadavatel možnost zmeškání lhůty prominout</w:t>
      </w:r>
      <w:r>
        <w:rPr>
          <w:rFonts w:ascii="Arial" w:hAnsi="Arial" w:cs="Arial"/>
          <w:spacing w:val="10"/>
          <w:sz w:val="21"/>
          <w:szCs w:val="21"/>
        </w:rPr>
        <w:t>, a to i opakovaně</w:t>
      </w:r>
      <w:r w:rsidR="00160C35" w:rsidRPr="007324A0">
        <w:rPr>
          <w:rFonts w:ascii="Arial" w:hAnsi="Arial" w:cs="Arial"/>
          <w:spacing w:val="10"/>
          <w:sz w:val="21"/>
          <w:szCs w:val="21"/>
        </w:rPr>
        <w:t>.</w:t>
      </w:r>
    </w:p>
    <w:p w14:paraId="54C767F9" w14:textId="77777777" w:rsidR="00160C35" w:rsidRPr="007324A0" w:rsidRDefault="00160C35" w:rsidP="007324A0">
      <w:pPr>
        <w:snapToGrid w:val="0"/>
        <w:spacing w:after="120" w:line="276" w:lineRule="auto"/>
        <w:jc w:val="both"/>
        <w:rPr>
          <w:rFonts w:ascii="Arial" w:hAnsi="Arial" w:cs="Arial"/>
          <w:b/>
          <w:bCs/>
          <w:spacing w:val="10"/>
          <w:sz w:val="21"/>
          <w:szCs w:val="21"/>
        </w:rPr>
      </w:pPr>
    </w:p>
    <w:p w14:paraId="1E6D6731" w14:textId="0744825A" w:rsidR="00941C19" w:rsidRPr="007324A0" w:rsidRDefault="00941C19" w:rsidP="00BC1DE2">
      <w:pPr>
        <w:snapToGrid w:val="0"/>
        <w:spacing w:after="120" w:line="276" w:lineRule="auto"/>
        <w:ind w:left="360"/>
        <w:jc w:val="both"/>
        <w:rPr>
          <w:rFonts w:ascii="Arial" w:hAnsi="Arial" w:cs="Arial"/>
          <w:b/>
          <w:bCs/>
          <w:spacing w:val="10"/>
          <w:sz w:val="21"/>
          <w:szCs w:val="21"/>
        </w:rPr>
      </w:pPr>
      <w:r w:rsidRPr="007324A0">
        <w:rPr>
          <w:rFonts w:ascii="Arial" w:hAnsi="Arial" w:cs="Arial"/>
          <w:b/>
          <w:bCs/>
          <w:spacing w:val="10"/>
          <w:sz w:val="21"/>
          <w:szCs w:val="21"/>
        </w:rPr>
        <w:t>Lhůt</w:t>
      </w:r>
      <w:r w:rsidR="00BC1DE2">
        <w:rPr>
          <w:rFonts w:ascii="Arial" w:hAnsi="Arial" w:cs="Arial"/>
          <w:b/>
          <w:bCs/>
          <w:spacing w:val="10"/>
          <w:sz w:val="21"/>
          <w:szCs w:val="21"/>
        </w:rPr>
        <w:t>a</w:t>
      </w:r>
      <w:r w:rsidRPr="007324A0">
        <w:rPr>
          <w:rFonts w:ascii="Arial" w:hAnsi="Arial" w:cs="Arial"/>
          <w:b/>
          <w:bCs/>
          <w:spacing w:val="10"/>
          <w:sz w:val="21"/>
          <w:szCs w:val="21"/>
        </w:rPr>
        <w:t xml:space="preserve"> pro podání námitek</w:t>
      </w:r>
    </w:p>
    <w:p w14:paraId="1C74EE8B" w14:textId="4BD075DB" w:rsidR="00B9795A" w:rsidRPr="007324A0" w:rsidRDefault="00B9795A" w:rsidP="00BC1DE2">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ZZVZ obsahuje tyto lhůty pro podání námitek:</w:t>
      </w:r>
    </w:p>
    <w:p w14:paraId="13661587" w14:textId="77777777" w:rsidR="00BC1DE2" w:rsidRDefault="00BC1DE2" w:rsidP="00BC1DE2">
      <w:pPr>
        <w:pStyle w:val="Odstavecseseznamem"/>
        <w:numPr>
          <w:ilvl w:val="0"/>
          <w:numId w:val="17"/>
        </w:numPr>
        <w:snapToGrid w:val="0"/>
        <w:spacing w:after="120" w:line="276" w:lineRule="auto"/>
        <w:contextualSpacing w:val="0"/>
        <w:jc w:val="both"/>
        <w:rPr>
          <w:rFonts w:ascii="Arial" w:hAnsi="Arial" w:cs="Arial"/>
          <w:spacing w:val="10"/>
          <w:sz w:val="21"/>
          <w:szCs w:val="21"/>
        </w:rPr>
      </w:pPr>
      <w:r>
        <w:rPr>
          <w:rFonts w:ascii="Arial" w:hAnsi="Arial" w:cs="Arial"/>
          <w:spacing w:val="10"/>
          <w:sz w:val="21"/>
          <w:szCs w:val="21"/>
        </w:rPr>
        <w:t>z</w:t>
      </w:r>
      <w:r w:rsidR="00B9795A" w:rsidRPr="007324A0">
        <w:rPr>
          <w:rFonts w:ascii="Arial" w:hAnsi="Arial" w:cs="Arial"/>
          <w:spacing w:val="10"/>
          <w:sz w:val="21"/>
          <w:szCs w:val="21"/>
        </w:rPr>
        <w:t>ákladní obecnou lhůtu pro podání námitek, podle níž je stěžovatel oprávněn podat námitky do 15 kalendářních dnů ode dne, kdy se stěžovatel dozvěděl o</w:t>
      </w:r>
      <w:r>
        <w:rPr>
          <w:rFonts w:ascii="Arial" w:hAnsi="Arial" w:cs="Arial"/>
          <w:spacing w:val="10"/>
          <w:sz w:val="21"/>
          <w:szCs w:val="21"/>
        </w:rPr>
        <w:t> </w:t>
      </w:r>
      <w:r w:rsidR="00B9795A" w:rsidRPr="007324A0">
        <w:rPr>
          <w:rFonts w:ascii="Arial" w:hAnsi="Arial" w:cs="Arial"/>
          <w:spacing w:val="10"/>
          <w:sz w:val="21"/>
          <w:szCs w:val="21"/>
        </w:rPr>
        <w:t>domnělém porušení ZZVZ ze strany zadavatele (pozn. námitky nelze podat po uzavření smlouvy nebo poté, co se soutěž o návrh považuje po výběru návrhu za ukončenou), a vedle toho</w:t>
      </w:r>
    </w:p>
    <w:p w14:paraId="73BEA520" w14:textId="5AB6018B" w:rsidR="00B9795A" w:rsidRPr="00BC1DE2" w:rsidRDefault="00B9795A" w:rsidP="00BC1DE2">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BC1DE2">
        <w:rPr>
          <w:rFonts w:ascii="Arial" w:hAnsi="Arial" w:cs="Arial"/>
          <w:spacing w:val="10"/>
          <w:sz w:val="21"/>
          <w:szCs w:val="21"/>
        </w:rPr>
        <w:t>zvláštní lhůty pro podání námitek, které se uplatní v jednotlivých výslovně uvedených případech; jde přitom o tyto případy:</w:t>
      </w:r>
    </w:p>
    <w:p w14:paraId="1D30376C" w14:textId="2A3DA5C1" w:rsidR="00780028" w:rsidRPr="007324A0" w:rsidRDefault="00B9795A" w:rsidP="00BC1DE2">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námitky proti úkonům oznamovaným v povinně uveřejňovaných či</w:t>
      </w:r>
      <w:r w:rsidR="00BC1DE2">
        <w:rPr>
          <w:rFonts w:ascii="Arial" w:hAnsi="Arial" w:cs="Arial"/>
          <w:spacing w:val="10"/>
          <w:sz w:val="21"/>
          <w:szCs w:val="21"/>
        </w:rPr>
        <w:t> </w:t>
      </w:r>
      <w:r w:rsidRPr="007324A0">
        <w:rPr>
          <w:rFonts w:ascii="Arial" w:hAnsi="Arial" w:cs="Arial"/>
          <w:spacing w:val="10"/>
          <w:sz w:val="21"/>
          <w:szCs w:val="21"/>
        </w:rPr>
        <w:t>odesílaných dokumentech (např. oznámení o výběru dodavatele, oznámení o vyloučení dodavatele ze zadávacího řízení) je nutné podat do</w:t>
      </w:r>
      <w:r w:rsidR="00BC1DE2">
        <w:rPr>
          <w:rFonts w:ascii="Arial" w:hAnsi="Arial" w:cs="Arial"/>
          <w:spacing w:val="10"/>
          <w:sz w:val="21"/>
          <w:szCs w:val="21"/>
        </w:rPr>
        <w:t> </w:t>
      </w:r>
      <w:r w:rsidRPr="007324A0">
        <w:rPr>
          <w:rFonts w:ascii="Arial" w:hAnsi="Arial" w:cs="Arial"/>
          <w:spacing w:val="10"/>
          <w:sz w:val="21"/>
          <w:szCs w:val="21"/>
        </w:rPr>
        <w:t>15 kalendářních dnů ode dne doručení dokumentu obsahujícího úkon zadavatele stěžovateli nebo ode dne uveřejnění dokumentu (na profilu zadavatele) obsahujícího úkon zadavatele,</w:t>
      </w:r>
    </w:p>
    <w:p w14:paraId="634A2C95" w14:textId="77777777" w:rsidR="00780028" w:rsidRPr="007324A0" w:rsidRDefault="00B9795A" w:rsidP="00BC1DE2">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námitky proti podmínkám vztahujícím se ke kvalifikaci v případě stanovení lhůty pro podání žádosti o účast (tj. vícefázová zadávací řízení) je nutné podat do konce lhůty pro podání žádosti o účast,</w:t>
      </w:r>
    </w:p>
    <w:p w14:paraId="5C921FB4" w14:textId="2FD91143" w:rsidR="00780028" w:rsidRPr="007324A0" w:rsidRDefault="00B9795A" w:rsidP="00BC1DE2">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námitky proti zadávacím podmínkám je nutné podat do konce lhůty pro</w:t>
      </w:r>
      <w:r w:rsidR="00BC1DE2">
        <w:rPr>
          <w:rFonts w:ascii="Arial" w:hAnsi="Arial" w:cs="Arial"/>
          <w:spacing w:val="10"/>
          <w:sz w:val="21"/>
          <w:szCs w:val="21"/>
        </w:rPr>
        <w:t> </w:t>
      </w:r>
      <w:r w:rsidRPr="007324A0">
        <w:rPr>
          <w:rFonts w:ascii="Arial" w:hAnsi="Arial" w:cs="Arial"/>
          <w:spacing w:val="10"/>
          <w:sz w:val="21"/>
          <w:szCs w:val="21"/>
        </w:rPr>
        <w:t>podání nabídek,</w:t>
      </w:r>
    </w:p>
    <w:p w14:paraId="53635D72" w14:textId="1D623B85" w:rsidR="00B9795A" w:rsidRPr="007324A0" w:rsidRDefault="00B9795A" w:rsidP="00BC1DE2">
      <w:pPr>
        <w:pStyle w:val="Odstavecseseznamem"/>
        <w:numPr>
          <w:ilvl w:val="0"/>
          <w:numId w:val="4"/>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lastRenderedPageBreak/>
        <w:t>námitky proti dobrovolnému oznámení o záměru uzavřít smlouvu je nutné podat do 30 kalendářních dnů ode dne uveřejnění takového oznámení.</w:t>
      </w:r>
    </w:p>
    <w:p w14:paraId="1FE672B9" w14:textId="65E0B1BC" w:rsidR="00B9795A" w:rsidRPr="007324A0" w:rsidRDefault="00B9795A" w:rsidP="00BC1DE2">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Zvláštní lhůtu v případě námitek proti podmínkám vztahujícím se ke kvalifikaci a</w:t>
      </w:r>
      <w:r w:rsidR="00BC1DE2">
        <w:rPr>
          <w:rFonts w:ascii="Arial" w:hAnsi="Arial" w:cs="Arial"/>
          <w:spacing w:val="10"/>
          <w:sz w:val="21"/>
          <w:szCs w:val="21"/>
        </w:rPr>
        <w:t> </w:t>
      </w:r>
      <w:r w:rsidRPr="007324A0">
        <w:rPr>
          <w:rFonts w:ascii="Arial" w:hAnsi="Arial" w:cs="Arial"/>
          <w:spacing w:val="10"/>
          <w:sz w:val="21"/>
          <w:szCs w:val="21"/>
        </w:rPr>
        <w:t>v případě námitek proti zadávacím podmínkám je možné ze strany zadavatele zkrátit, a to o 72 hodin – tzn. že námitky bude nutné podat nejpozději 72 hodin před</w:t>
      </w:r>
      <w:r w:rsidR="00BC1DE2">
        <w:rPr>
          <w:rFonts w:ascii="Arial" w:hAnsi="Arial" w:cs="Arial"/>
          <w:spacing w:val="10"/>
          <w:sz w:val="21"/>
          <w:szCs w:val="21"/>
        </w:rPr>
        <w:t> </w:t>
      </w:r>
      <w:r w:rsidRPr="007324A0">
        <w:rPr>
          <w:rFonts w:ascii="Arial" w:hAnsi="Arial" w:cs="Arial"/>
          <w:spacing w:val="10"/>
          <w:sz w:val="21"/>
          <w:szCs w:val="21"/>
        </w:rPr>
        <w:t xml:space="preserve">skončením příslušné lhůty. Uvedené zkrácení musí být zadavatelem předem vyhrazeno v zadávací dokumentaci. </w:t>
      </w:r>
    </w:p>
    <w:p w14:paraId="60A3C488" w14:textId="77777777" w:rsidR="00941C19" w:rsidRPr="007324A0" w:rsidRDefault="00941C19" w:rsidP="007324A0">
      <w:pPr>
        <w:snapToGrid w:val="0"/>
        <w:spacing w:after="120" w:line="276" w:lineRule="auto"/>
        <w:jc w:val="both"/>
        <w:rPr>
          <w:rFonts w:ascii="Arial" w:hAnsi="Arial" w:cs="Arial"/>
          <w:spacing w:val="10"/>
          <w:sz w:val="21"/>
          <w:szCs w:val="21"/>
        </w:rPr>
      </w:pPr>
    </w:p>
    <w:p w14:paraId="6AD182EF" w14:textId="4D3F1EF9" w:rsidR="00941C19" w:rsidRPr="007324A0" w:rsidRDefault="00941C19" w:rsidP="00C81221">
      <w:pPr>
        <w:snapToGrid w:val="0"/>
        <w:spacing w:after="120" w:line="276" w:lineRule="auto"/>
        <w:ind w:left="360"/>
        <w:jc w:val="both"/>
        <w:rPr>
          <w:rFonts w:ascii="Arial" w:hAnsi="Arial" w:cs="Arial"/>
          <w:b/>
          <w:bCs/>
          <w:spacing w:val="10"/>
          <w:sz w:val="21"/>
          <w:szCs w:val="21"/>
        </w:rPr>
      </w:pPr>
      <w:r w:rsidRPr="007324A0">
        <w:rPr>
          <w:rFonts w:ascii="Arial" w:hAnsi="Arial" w:cs="Arial"/>
          <w:b/>
          <w:bCs/>
          <w:spacing w:val="10"/>
          <w:sz w:val="21"/>
          <w:szCs w:val="21"/>
        </w:rPr>
        <w:t>Lhůta pro rozhodnutí o námitkách</w:t>
      </w:r>
    </w:p>
    <w:p w14:paraId="061FD911" w14:textId="1727CE66" w:rsidR="00941C19" w:rsidRPr="007324A0" w:rsidRDefault="00941C19" w:rsidP="00C8122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O každých podaných námitkách musí být zadavatelem rozhodnuto do 15 kalendářních dnů, přičemž tato lhůta se počítá od doručení námitek.</w:t>
      </w:r>
    </w:p>
    <w:p w14:paraId="2F91CBFC" w14:textId="3A995652" w:rsidR="00941C19" w:rsidRPr="007324A0" w:rsidRDefault="00941C19" w:rsidP="00C8122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Podání námitek spadá do komunikace uskutečňované mezi zadavatelem a</w:t>
      </w:r>
      <w:r w:rsidR="00C81221">
        <w:rPr>
          <w:rFonts w:ascii="Arial" w:hAnsi="Arial" w:cs="Arial"/>
          <w:spacing w:val="10"/>
          <w:sz w:val="21"/>
          <w:szCs w:val="21"/>
        </w:rPr>
        <w:t> </w:t>
      </w:r>
      <w:r w:rsidRPr="007324A0">
        <w:rPr>
          <w:rFonts w:ascii="Arial" w:hAnsi="Arial" w:cs="Arial"/>
          <w:spacing w:val="10"/>
          <w:sz w:val="21"/>
          <w:szCs w:val="21"/>
        </w:rPr>
        <w:t>dodavatelem v průběhu zadávacího řízení, proto se za okamžik doručení bude považovat okamžik, kdy námitky byly adresátovi (tj. zadavateli) dodány do datové schránky nebo do elektronického nástroje – tzn. že okamžik otevření zprávy zadavatelem tu není podstatný.</w:t>
      </w:r>
    </w:p>
    <w:p w14:paraId="5EA301BB" w14:textId="5AD6AA55" w:rsidR="00941C19" w:rsidRPr="007324A0" w:rsidRDefault="00941C19" w:rsidP="00C8122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Lhůtu pro rozhodnutí o námitkách není možné ze strany zadavatele prodlužovat.</w:t>
      </w:r>
    </w:p>
    <w:p w14:paraId="71C6FFD7" w14:textId="77777777" w:rsidR="00941C19" w:rsidRPr="007324A0" w:rsidRDefault="00941C19" w:rsidP="007324A0">
      <w:pPr>
        <w:pStyle w:val="Odstavecseseznamem"/>
        <w:snapToGrid w:val="0"/>
        <w:spacing w:after="120" w:line="276" w:lineRule="auto"/>
        <w:ind w:left="1440"/>
        <w:contextualSpacing w:val="0"/>
        <w:jc w:val="both"/>
        <w:rPr>
          <w:rFonts w:ascii="Arial" w:hAnsi="Arial" w:cs="Arial"/>
          <w:spacing w:val="10"/>
          <w:sz w:val="21"/>
          <w:szCs w:val="21"/>
        </w:rPr>
      </w:pPr>
    </w:p>
    <w:p w14:paraId="4055CBC4" w14:textId="0B481EAA" w:rsidR="003A24BA" w:rsidRPr="007324A0" w:rsidRDefault="00BE3B40" w:rsidP="00C81221">
      <w:pPr>
        <w:pStyle w:val="Odstavecseseznamem"/>
        <w:numPr>
          <w:ilvl w:val="0"/>
          <w:numId w:val="2"/>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Termíny v zadávacím řízení</w:t>
      </w:r>
    </w:p>
    <w:p w14:paraId="43CA502A" w14:textId="19DAE3F5" w:rsidR="003F2EB4" w:rsidRPr="00C81221" w:rsidRDefault="003F2EB4" w:rsidP="00C81221">
      <w:pPr>
        <w:snapToGrid w:val="0"/>
        <w:spacing w:after="120" w:line="276" w:lineRule="auto"/>
        <w:ind w:left="360"/>
        <w:jc w:val="both"/>
        <w:rPr>
          <w:rFonts w:ascii="Arial" w:eastAsia="Times New Roman" w:hAnsi="Arial" w:cs="Arial"/>
          <w:b/>
          <w:bCs/>
          <w:spacing w:val="10"/>
          <w:sz w:val="21"/>
          <w:szCs w:val="21"/>
        </w:rPr>
      </w:pPr>
      <w:r w:rsidRPr="00C81221">
        <w:rPr>
          <w:rFonts w:ascii="Arial" w:eastAsia="Times New Roman" w:hAnsi="Arial" w:cs="Arial"/>
          <w:b/>
          <w:bCs/>
          <w:spacing w:val="10"/>
          <w:sz w:val="21"/>
          <w:szCs w:val="21"/>
        </w:rPr>
        <w:t>Termín prohlídky místa plnění</w:t>
      </w:r>
    </w:p>
    <w:p w14:paraId="78B07D2E" w14:textId="228E4105" w:rsidR="008D1B1E" w:rsidRPr="007324A0" w:rsidRDefault="008D1B1E" w:rsidP="00C81221">
      <w:pPr>
        <w:snapToGrid w:val="0"/>
        <w:spacing w:after="120" w:line="276" w:lineRule="auto"/>
        <w:ind w:left="360"/>
        <w:jc w:val="both"/>
        <w:rPr>
          <w:rFonts w:ascii="Arial" w:eastAsia="Times New Roman" w:hAnsi="Arial" w:cs="Arial"/>
          <w:spacing w:val="10"/>
          <w:sz w:val="21"/>
          <w:szCs w:val="21"/>
        </w:rPr>
      </w:pPr>
      <w:r w:rsidRPr="00C81221">
        <w:rPr>
          <w:rFonts w:ascii="Arial" w:hAnsi="Arial" w:cs="Arial"/>
          <w:spacing w:val="10"/>
          <w:sz w:val="21"/>
          <w:szCs w:val="21"/>
        </w:rPr>
        <w:t>Nejčastějším</w:t>
      </w:r>
      <w:r w:rsidRPr="007324A0">
        <w:rPr>
          <w:rFonts w:ascii="Arial" w:eastAsia="Times New Roman" w:hAnsi="Arial" w:cs="Arial"/>
          <w:spacing w:val="10"/>
          <w:sz w:val="21"/>
          <w:szCs w:val="21"/>
        </w:rPr>
        <w:t xml:space="preserve"> termínem v zadávacím řízení je termín prohlídky místa plnění. Tento termín zadavatel uvádí, společně s dalšími informacemi o prohlídce místa plnění, v zadávací dokumentaci, přičemž je povinen uvést datum a čas konání prohlídky místa plnění.</w:t>
      </w:r>
    </w:p>
    <w:p w14:paraId="15C07327" w14:textId="6E46C6B5" w:rsidR="008D1B1E" w:rsidRPr="001B5A1C" w:rsidRDefault="008D1B1E" w:rsidP="00C81221">
      <w:pPr>
        <w:snapToGrid w:val="0"/>
        <w:spacing w:after="120" w:line="276" w:lineRule="auto"/>
        <w:ind w:left="360"/>
        <w:jc w:val="both"/>
        <w:rPr>
          <w:rFonts w:ascii="Arial" w:eastAsia="Times New Roman" w:hAnsi="Arial" w:cs="Arial"/>
          <w:spacing w:val="10"/>
          <w:sz w:val="21"/>
          <w:szCs w:val="21"/>
        </w:rPr>
      </w:pPr>
      <w:r w:rsidRPr="00C81221">
        <w:rPr>
          <w:rFonts w:ascii="Arial" w:hAnsi="Arial" w:cs="Arial"/>
          <w:spacing w:val="10"/>
          <w:sz w:val="21"/>
          <w:szCs w:val="21"/>
        </w:rPr>
        <w:t>Termín</w:t>
      </w:r>
      <w:r w:rsidRPr="007324A0">
        <w:rPr>
          <w:rFonts w:ascii="Arial" w:eastAsia="Times New Roman" w:hAnsi="Arial" w:cs="Arial"/>
          <w:spacing w:val="10"/>
          <w:sz w:val="21"/>
          <w:szCs w:val="21"/>
        </w:rPr>
        <w:t xml:space="preserve"> prohlídky místa plnění není možné ze strany zadavatele stanovit bez dalšího – prohlídka místa plnění se musí uskutečnit tak, aby byly respektovány zákonné limity</w:t>
      </w:r>
      <w:r w:rsidR="001B5A1C">
        <w:rPr>
          <w:rFonts w:ascii="Arial" w:eastAsia="Times New Roman" w:hAnsi="Arial" w:cs="Arial"/>
          <w:spacing w:val="10"/>
          <w:sz w:val="21"/>
          <w:szCs w:val="21"/>
        </w:rPr>
        <w:t xml:space="preserve"> (tj. konkrétně nejzazší termín konaní </w:t>
      </w:r>
      <w:r w:rsidR="001B5A1C" w:rsidRPr="001B5A1C">
        <w:rPr>
          <w:rFonts w:ascii="Arial" w:eastAsia="Times New Roman" w:hAnsi="Arial" w:cs="Arial"/>
          <w:spacing w:val="10"/>
          <w:sz w:val="21"/>
          <w:szCs w:val="21"/>
        </w:rPr>
        <w:t>prohlídky místa plnění)</w:t>
      </w:r>
      <w:r w:rsidRPr="001B5A1C">
        <w:rPr>
          <w:rFonts w:ascii="Arial" w:eastAsia="Times New Roman" w:hAnsi="Arial" w:cs="Arial"/>
          <w:spacing w:val="10"/>
          <w:sz w:val="21"/>
          <w:szCs w:val="21"/>
        </w:rPr>
        <w:t>.</w:t>
      </w:r>
    </w:p>
    <w:p w14:paraId="5EDD13FD" w14:textId="7CBC8625" w:rsidR="005A3B66" w:rsidRPr="001B5A1C" w:rsidRDefault="005A3B66" w:rsidP="00C81221">
      <w:pPr>
        <w:snapToGrid w:val="0"/>
        <w:spacing w:after="120" w:line="276" w:lineRule="auto"/>
        <w:ind w:left="360"/>
        <w:jc w:val="both"/>
        <w:rPr>
          <w:rFonts w:ascii="Arial" w:eastAsia="Times New Roman" w:hAnsi="Arial" w:cs="Arial"/>
          <w:spacing w:val="10"/>
          <w:sz w:val="21"/>
          <w:szCs w:val="21"/>
        </w:rPr>
      </w:pPr>
      <w:r w:rsidRPr="001B5A1C">
        <w:rPr>
          <w:rFonts w:ascii="Arial" w:eastAsia="Times New Roman" w:hAnsi="Arial" w:cs="Arial"/>
          <w:spacing w:val="10"/>
          <w:sz w:val="21"/>
          <w:szCs w:val="21"/>
        </w:rPr>
        <w:t>Z hlediska nejzazšího konání prohlídky místa plnění lze rozpoznat odlišnost u</w:t>
      </w:r>
      <w:r w:rsidR="001B5A1C" w:rsidRPr="001B5A1C">
        <w:rPr>
          <w:rFonts w:ascii="Arial" w:eastAsia="Times New Roman" w:hAnsi="Arial" w:cs="Arial"/>
          <w:spacing w:val="10"/>
          <w:sz w:val="21"/>
          <w:szCs w:val="21"/>
        </w:rPr>
        <w:t> </w:t>
      </w:r>
      <w:r w:rsidRPr="001B5A1C">
        <w:rPr>
          <w:rFonts w:ascii="Arial" w:hAnsi="Arial" w:cs="Arial"/>
          <w:spacing w:val="10"/>
          <w:sz w:val="21"/>
          <w:szCs w:val="21"/>
        </w:rPr>
        <w:t>podlimitního</w:t>
      </w:r>
      <w:r w:rsidRPr="001B5A1C">
        <w:rPr>
          <w:rFonts w:ascii="Arial" w:eastAsia="Times New Roman" w:hAnsi="Arial" w:cs="Arial"/>
          <w:spacing w:val="10"/>
          <w:sz w:val="21"/>
          <w:szCs w:val="21"/>
        </w:rPr>
        <w:t xml:space="preserve"> a nadlimitního režimu. U veřejných zakázek zadávaných v podlimitním režimu může zadavatel umožnit prohlídku místa plnění nejpozději 5 pracovních dní před skončením lhůty pro podání nabídek. Naproti tomu u nadlimitního režimu je </w:t>
      </w:r>
      <w:r w:rsidR="008D1B1E" w:rsidRPr="001B5A1C">
        <w:rPr>
          <w:rFonts w:ascii="Arial" w:eastAsia="Times New Roman" w:hAnsi="Arial" w:cs="Arial"/>
          <w:spacing w:val="10"/>
          <w:sz w:val="21"/>
          <w:szCs w:val="21"/>
        </w:rPr>
        <w:t>pravidlo</w:t>
      </w:r>
      <w:r w:rsidRPr="001B5A1C">
        <w:rPr>
          <w:rFonts w:ascii="Arial" w:eastAsia="Times New Roman" w:hAnsi="Arial" w:cs="Arial"/>
          <w:spacing w:val="10"/>
          <w:sz w:val="21"/>
          <w:szCs w:val="21"/>
        </w:rPr>
        <w:t xml:space="preserve"> logicky přísnější a prohlídku místa plnění může zadavatel realizovat nejpozději 10 pracovních dní před skončením lhůty pro podání nabídek.</w:t>
      </w:r>
    </w:p>
    <w:p w14:paraId="672CC224" w14:textId="3E9F352F" w:rsidR="005A3B66" w:rsidRPr="007324A0" w:rsidRDefault="008D1B1E" w:rsidP="00C81221">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Pravidlo dle předchozího odstavce</w:t>
      </w:r>
      <w:r w:rsidR="005A3B66" w:rsidRPr="007324A0">
        <w:rPr>
          <w:rFonts w:ascii="Arial" w:eastAsia="Times New Roman" w:hAnsi="Arial" w:cs="Arial"/>
          <w:spacing w:val="10"/>
          <w:sz w:val="21"/>
          <w:szCs w:val="21"/>
        </w:rPr>
        <w:t xml:space="preserve"> </w:t>
      </w:r>
      <w:r w:rsidRPr="007324A0">
        <w:rPr>
          <w:rFonts w:ascii="Arial" w:eastAsia="Times New Roman" w:hAnsi="Arial" w:cs="Arial"/>
          <w:spacing w:val="10"/>
          <w:sz w:val="21"/>
          <w:szCs w:val="21"/>
        </w:rPr>
        <w:t xml:space="preserve">je nezbytné splnit </w:t>
      </w:r>
      <w:r w:rsidR="005A3B66" w:rsidRPr="007324A0">
        <w:rPr>
          <w:rFonts w:ascii="Arial" w:eastAsia="Times New Roman" w:hAnsi="Arial" w:cs="Arial"/>
          <w:spacing w:val="10"/>
          <w:sz w:val="21"/>
          <w:szCs w:val="21"/>
        </w:rPr>
        <w:t xml:space="preserve">rovněž v případě, kdy </w:t>
      </w:r>
      <w:r w:rsidR="005A3B66" w:rsidRPr="00C81221">
        <w:rPr>
          <w:rFonts w:ascii="Arial" w:hAnsi="Arial" w:cs="Arial"/>
          <w:spacing w:val="10"/>
          <w:sz w:val="21"/>
          <w:szCs w:val="21"/>
        </w:rPr>
        <w:t>zadavatel</w:t>
      </w:r>
      <w:r w:rsidR="005A3B66" w:rsidRPr="007324A0">
        <w:rPr>
          <w:rFonts w:ascii="Arial" w:eastAsia="Times New Roman" w:hAnsi="Arial" w:cs="Arial"/>
          <w:spacing w:val="10"/>
          <w:sz w:val="21"/>
          <w:szCs w:val="21"/>
        </w:rPr>
        <w:t xml:space="preserve"> umožní prohlídku místa plnění ve více</w:t>
      </w:r>
      <w:r w:rsidR="001B5A1C">
        <w:rPr>
          <w:rFonts w:ascii="Arial" w:eastAsia="Times New Roman" w:hAnsi="Arial" w:cs="Arial"/>
          <w:spacing w:val="10"/>
          <w:sz w:val="21"/>
          <w:szCs w:val="21"/>
        </w:rPr>
        <w:t>ro</w:t>
      </w:r>
      <w:r w:rsidR="005A3B66" w:rsidRPr="007324A0">
        <w:rPr>
          <w:rFonts w:ascii="Arial" w:eastAsia="Times New Roman" w:hAnsi="Arial" w:cs="Arial"/>
          <w:spacing w:val="10"/>
          <w:sz w:val="21"/>
          <w:szCs w:val="21"/>
        </w:rPr>
        <w:t xml:space="preserve"> dnech – v této situaci je lhůtu 10 pracovních dnů či 5 pracovních dnů potřebné vztáhnout k poslednímu dni, ke kterému zadavatel prohlídku místa plnění umožnil.</w:t>
      </w:r>
    </w:p>
    <w:p w14:paraId="7522F5D8" w14:textId="22C591D1" w:rsidR="005A3B66" w:rsidRPr="007324A0" w:rsidRDefault="005A3B66" w:rsidP="00C81221">
      <w:pPr>
        <w:snapToGrid w:val="0"/>
        <w:spacing w:after="120" w:line="276" w:lineRule="auto"/>
        <w:ind w:left="360"/>
        <w:jc w:val="both"/>
        <w:rPr>
          <w:rFonts w:ascii="Arial" w:eastAsia="Times New Roman" w:hAnsi="Arial" w:cs="Arial"/>
          <w:spacing w:val="10"/>
          <w:sz w:val="21"/>
          <w:szCs w:val="21"/>
        </w:rPr>
      </w:pPr>
      <w:r w:rsidRPr="00C81221">
        <w:rPr>
          <w:rFonts w:ascii="Arial" w:hAnsi="Arial" w:cs="Arial"/>
          <w:spacing w:val="10"/>
          <w:sz w:val="21"/>
          <w:szCs w:val="21"/>
        </w:rPr>
        <w:t>Současně</w:t>
      </w:r>
      <w:r w:rsidRPr="007324A0">
        <w:rPr>
          <w:rFonts w:ascii="Arial" w:eastAsia="Times New Roman" w:hAnsi="Arial" w:cs="Arial"/>
          <w:spacing w:val="10"/>
          <w:sz w:val="21"/>
          <w:szCs w:val="21"/>
        </w:rPr>
        <w:t xml:space="preserve"> je potřebné upozornit na to, že pokud zadavatel v zadávací dokumentaci stanoví, že námitky proti zadávacím podmínkám lze podat nejpozději 72 hodin před skončením lhůty pro podání žádosti o účast nebo lhůty pro podání nabídek, je nutné tuto skutečnost zohlednit i při určení termínu prohlídky místa plnění. Jestliže zadavatel zkrátí lhůtu pro podání námitek a současně umožní prohlídku místa plnění, musí určit dobu prohlídk</w:t>
      </w:r>
      <w:r w:rsidR="001B5A1C">
        <w:rPr>
          <w:rFonts w:ascii="Arial" w:eastAsia="Times New Roman" w:hAnsi="Arial" w:cs="Arial"/>
          <w:spacing w:val="10"/>
          <w:sz w:val="21"/>
          <w:szCs w:val="21"/>
        </w:rPr>
        <w:t>y</w:t>
      </w:r>
      <w:r w:rsidRPr="007324A0">
        <w:rPr>
          <w:rFonts w:ascii="Arial" w:eastAsia="Times New Roman" w:hAnsi="Arial" w:cs="Arial"/>
          <w:spacing w:val="10"/>
          <w:sz w:val="21"/>
          <w:szCs w:val="21"/>
        </w:rPr>
        <w:t xml:space="preserve"> místa plnění tak, aby ji bylo možno uskutečnit nejpozději 10 pracovních </w:t>
      </w:r>
      <w:r w:rsidRPr="007324A0">
        <w:rPr>
          <w:rFonts w:ascii="Arial" w:eastAsia="Times New Roman" w:hAnsi="Arial" w:cs="Arial"/>
          <w:spacing w:val="10"/>
          <w:sz w:val="21"/>
          <w:szCs w:val="21"/>
        </w:rPr>
        <w:lastRenderedPageBreak/>
        <w:t>dnů před koncem lhůty pro podání námitek, příp. 5 pracovních dnů před koncem lhůty pro podání námitek.</w:t>
      </w:r>
    </w:p>
    <w:p w14:paraId="2BC451A4" w14:textId="40305F6D" w:rsidR="001B5A1C" w:rsidRDefault="005A3B66" w:rsidP="00C81221">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 xml:space="preserve">Při </w:t>
      </w:r>
      <w:r w:rsidRPr="00C81221">
        <w:rPr>
          <w:rFonts w:ascii="Arial" w:hAnsi="Arial" w:cs="Arial"/>
          <w:spacing w:val="10"/>
          <w:sz w:val="21"/>
          <w:szCs w:val="21"/>
        </w:rPr>
        <w:t>stanovení</w:t>
      </w:r>
      <w:r w:rsidRPr="007324A0">
        <w:rPr>
          <w:rFonts w:ascii="Arial" w:eastAsia="Times New Roman" w:hAnsi="Arial" w:cs="Arial"/>
          <w:spacing w:val="10"/>
          <w:sz w:val="21"/>
          <w:szCs w:val="21"/>
        </w:rPr>
        <w:t xml:space="preserve"> doby prohlídky místa plnění by měl zadavatel zohlednit čas, který</w:t>
      </w:r>
      <w:r w:rsidR="001B5A1C">
        <w:rPr>
          <w:rFonts w:ascii="Arial" w:eastAsia="Times New Roman" w:hAnsi="Arial" w:cs="Arial"/>
          <w:spacing w:val="10"/>
          <w:sz w:val="21"/>
          <w:szCs w:val="21"/>
        </w:rPr>
        <w:t> </w:t>
      </w:r>
      <w:r w:rsidRPr="007324A0">
        <w:rPr>
          <w:rFonts w:ascii="Arial" w:eastAsia="Times New Roman" w:hAnsi="Arial" w:cs="Arial"/>
          <w:spacing w:val="10"/>
          <w:sz w:val="21"/>
          <w:szCs w:val="21"/>
        </w:rPr>
        <w:t>dodavatelé potřebují pro zapracování informací získaných při prohlídce místa plnění do své nabídky. V některých případech tak nebude vhodné stanovit prohlídku místa plnění až v nejzazším možném termínu, tj. 10, resp. 5 pracovních dnů před</w:t>
      </w:r>
      <w:r w:rsidR="001B5A1C">
        <w:rPr>
          <w:rFonts w:ascii="Arial" w:eastAsia="Times New Roman" w:hAnsi="Arial" w:cs="Arial"/>
          <w:spacing w:val="10"/>
          <w:sz w:val="21"/>
          <w:szCs w:val="21"/>
        </w:rPr>
        <w:t> </w:t>
      </w:r>
      <w:r w:rsidRPr="007324A0">
        <w:rPr>
          <w:rFonts w:ascii="Arial" w:eastAsia="Times New Roman" w:hAnsi="Arial" w:cs="Arial"/>
          <w:spacing w:val="10"/>
          <w:sz w:val="21"/>
          <w:szCs w:val="21"/>
        </w:rPr>
        <w:t xml:space="preserve">koncem lhůty pro podání nabídek. </w:t>
      </w:r>
    </w:p>
    <w:p w14:paraId="498A13FD" w14:textId="0F1ECDA8" w:rsidR="005A3B66" w:rsidRPr="007324A0" w:rsidRDefault="005A3B66" w:rsidP="00C81221">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Vhodným stanovením doby prohlídky místa plnění zadavatel může předejít žádostem dodavatelů o prodloužení lhůty pro podání nabídek za účelem získání potřebného času na zpracování nabídek, příp. situaci, kdy s ohledem na nedostatečný časový prostor mezi prohlídkou místa plnění a koncem lhůty pro podání nabídek někteří z dodavatelů nabídku nepodají.</w:t>
      </w:r>
    </w:p>
    <w:p w14:paraId="38030C18" w14:textId="77777777" w:rsidR="00541DBB" w:rsidRPr="007324A0" w:rsidRDefault="00541DBB" w:rsidP="007324A0">
      <w:pPr>
        <w:snapToGrid w:val="0"/>
        <w:spacing w:after="120" w:line="276" w:lineRule="auto"/>
        <w:jc w:val="both"/>
        <w:textAlignment w:val="baseline"/>
        <w:rPr>
          <w:rFonts w:ascii="Arial" w:eastAsia="Times New Roman" w:hAnsi="Arial" w:cs="Arial"/>
          <w:spacing w:val="10"/>
          <w:sz w:val="21"/>
          <w:szCs w:val="21"/>
        </w:rPr>
      </w:pPr>
    </w:p>
    <w:p w14:paraId="20F1593E" w14:textId="518077F9" w:rsidR="00BE3B40" w:rsidRPr="001B5A1C" w:rsidRDefault="003F2EB4" w:rsidP="001B5A1C">
      <w:pPr>
        <w:snapToGrid w:val="0"/>
        <w:spacing w:after="120" w:line="276" w:lineRule="auto"/>
        <w:ind w:left="360"/>
        <w:jc w:val="both"/>
        <w:rPr>
          <w:rFonts w:ascii="Arial" w:hAnsi="Arial" w:cs="Arial"/>
          <w:b/>
          <w:bCs/>
          <w:spacing w:val="10"/>
          <w:sz w:val="21"/>
          <w:szCs w:val="21"/>
        </w:rPr>
      </w:pPr>
      <w:r w:rsidRPr="001B5A1C">
        <w:rPr>
          <w:rFonts w:ascii="Arial" w:hAnsi="Arial" w:cs="Arial"/>
          <w:b/>
          <w:bCs/>
          <w:spacing w:val="10"/>
          <w:sz w:val="21"/>
          <w:szCs w:val="21"/>
        </w:rPr>
        <w:t>Termín pro otevírání podaných nabídek</w:t>
      </w:r>
    </w:p>
    <w:p w14:paraId="1754612D" w14:textId="20D1B585" w:rsidR="00541DBB" w:rsidRPr="007324A0" w:rsidRDefault="00541DBB" w:rsidP="001B5A1C">
      <w:pPr>
        <w:snapToGrid w:val="0"/>
        <w:spacing w:after="120" w:line="276" w:lineRule="auto"/>
        <w:ind w:left="360"/>
        <w:jc w:val="both"/>
        <w:rPr>
          <w:rFonts w:ascii="Arial" w:hAnsi="Arial" w:cs="Arial"/>
          <w:spacing w:val="10"/>
          <w:sz w:val="21"/>
          <w:szCs w:val="21"/>
        </w:rPr>
      </w:pPr>
      <w:r w:rsidRPr="001B5A1C">
        <w:rPr>
          <w:rFonts w:ascii="Arial" w:eastAsia="Times New Roman" w:hAnsi="Arial" w:cs="Arial"/>
          <w:spacing w:val="10"/>
          <w:sz w:val="21"/>
          <w:szCs w:val="21"/>
        </w:rPr>
        <w:t>Zadavatel</w:t>
      </w:r>
      <w:r w:rsidRPr="007324A0">
        <w:rPr>
          <w:rFonts w:ascii="Arial" w:hAnsi="Arial" w:cs="Arial"/>
          <w:spacing w:val="10"/>
          <w:sz w:val="21"/>
          <w:szCs w:val="21"/>
        </w:rPr>
        <w:t xml:space="preserve"> je povinen v zadávacím řízení dále stanovit termín pro otevírání nabídek, přičemž tento je určen dle délky lhůty pro podání nabídek.</w:t>
      </w:r>
    </w:p>
    <w:p w14:paraId="712DEC2A" w14:textId="0C77BC1C" w:rsidR="00541DBB" w:rsidRPr="007324A0" w:rsidRDefault="00541DBB" w:rsidP="001B5A1C">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Termín pro otevírání nabídek je potřebné uvést v zadávací dokumentaci. V tomto případě lze doporučit, aby zadavatel v zadávací dokumentaci pouze odkázal na</w:t>
      </w:r>
      <w:r w:rsidR="001B5A1C">
        <w:rPr>
          <w:rFonts w:ascii="Arial" w:hAnsi="Arial" w:cs="Arial"/>
          <w:spacing w:val="10"/>
          <w:sz w:val="21"/>
          <w:szCs w:val="21"/>
        </w:rPr>
        <w:t> </w:t>
      </w:r>
      <w:r w:rsidRPr="007324A0">
        <w:rPr>
          <w:rFonts w:ascii="Arial" w:hAnsi="Arial" w:cs="Arial"/>
          <w:spacing w:val="10"/>
          <w:sz w:val="21"/>
          <w:szCs w:val="21"/>
        </w:rPr>
        <w:t>informaci uvedenou na profilu zadavatele či ve Věstníku veřejných zakázek, příp.</w:t>
      </w:r>
      <w:r w:rsidR="001B5A1C">
        <w:rPr>
          <w:rFonts w:ascii="Arial" w:hAnsi="Arial" w:cs="Arial"/>
          <w:spacing w:val="10"/>
          <w:sz w:val="21"/>
          <w:szCs w:val="21"/>
        </w:rPr>
        <w:t> </w:t>
      </w:r>
      <w:r w:rsidRPr="007324A0">
        <w:rPr>
          <w:rFonts w:ascii="Arial" w:hAnsi="Arial" w:cs="Arial"/>
          <w:spacing w:val="10"/>
          <w:sz w:val="21"/>
          <w:szCs w:val="21"/>
        </w:rPr>
        <w:t>v</w:t>
      </w:r>
      <w:r w:rsidR="001B5A1C">
        <w:rPr>
          <w:rFonts w:ascii="Arial" w:hAnsi="Arial" w:cs="Arial"/>
          <w:spacing w:val="10"/>
          <w:sz w:val="21"/>
          <w:szCs w:val="21"/>
        </w:rPr>
        <w:t> </w:t>
      </w:r>
      <w:r w:rsidRPr="007324A0">
        <w:rPr>
          <w:rFonts w:ascii="Arial" w:hAnsi="Arial" w:cs="Arial"/>
          <w:spacing w:val="10"/>
          <w:sz w:val="21"/>
          <w:szCs w:val="21"/>
        </w:rPr>
        <w:t>Úředním věstníku Evropské unie, a samotné datum do textu zadávací dokumentace (či výzva k podání nabídek) neuváděl – tento postup zadavateli zajistí v případě, kdy bude přistoupeno k prodloužení lhůty pro podání nabídek či žádostí o</w:t>
      </w:r>
      <w:r w:rsidR="001B5A1C">
        <w:rPr>
          <w:rFonts w:ascii="Arial" w:hAnsi="Arial" w:cs="Arial"/>
          <w:spacing w:val="10"/>
          <w:sz w:val="21"/>
          <w:szCs w:val="21"/>
        </w:rPr>
        <w:t> </w:t>
      </w:r>
      <w:r w:rsidRPr="007324A0">
        <w:rPr>
          <w:rFonts w:ascii="Arial" w:hAnsi="Arial" w:cs="Arial"/>
          <w:spacing w:val="10"/>
          <w:sz w:val="21"/>
          <w:szCs w:val="21"/>
        </w:rPr>
        <w:t>účast, že nebude nutné upravovat zadávací dokumentaci a tuto opětovně uveřejňovat na profilu zadavatele.</w:t>
      </w:r>
    </w:p>
    <w:p w14:paraId="66CE48D3" w14:textId="68FDFD7B" w:rsidR="00541DBB" w:rsidRPr="007324A0" w:rsidRDefault="00541DBB" w:rsidP="001B5A1C">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Termín pro otevírání nabídek je dále nutné uvést ve Věstníku veřejných zakázek a</w:t>
      </w:r>
      <w:r w:rsidR="001B5A1C">
        <w:rPr>
          <w:rFonts w:ascii="Arial" w:hAnsi="Arial" w:cs="Arial"/>
          <w:spacing w:val="10"/>
          <w:sz w:val="21"/>
          <w:szCs w:val="21"/>
        </w:rPr>
        <w:t> </w:t>
      </w:r>
      <w:r w:rsidRPr="007324A0">
        <w:rPr>
          <w:rFonts w:ascii="Arial" w:hAnsi="Arial" w:cs="Arial"/>
          <w:spacing w:val="10"/>
          <w:sz w:val="21"/>
          <w:szCs w:val="21"/>
        </w:rPr>
        <w:t xml:space="preserve">příp. </w:t>
      </w:r>
      <w:r w:rsidRPr="001B5A1C">
        <w:rPr>
          <w:rFonts w:ascii="Arial" w:eastAsia="Times New Roman" w:hAnsi="Arial" w:cs="Arial"/>
          <w:spacing w:val="10"/>
          <w:sz w:val="21"/>
          <w:szCs w:val="21"/>
        </w:rPr>
        <w:t>též</w:t>
      </w:r>
      <w:r w:rsidRPr="007324A0">
        <w:rPr>
          <w:rFonts w:ascii="Arial" w:hAnsi="Arial" w:cs="Arial"/>
          <w:spacing w:val="10"/>
          <w:sz w:val="21"/>
          <w:szCs w:val="21"/>
        </w:rPr>
        <w:t xml:space="preserve"> i v Úředním věstníku Evropské unie. Pokud dojde k prodloužení lhůty, je nezbytné odeslat k uveřejnění opravný formulář s novou lhůtou.</w:t>
      </w:r>
    </w:p>
    <w:p w14:paraId="3D3E23AE" w14:textId="5157085C" w:rsidR="00541DBB" w:rsidRPr="007324A0" w:rsidRDefault="00541DBB" w:rsidP="001B5A1C">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Dále je nutné ze strany zadavatele uvést termín otevírání nabídek na profilu </w:t>
      </w:r>
      <w:r w:rsidRPr="001B5A1C">
        <w:rPr>
          <w:rFonts w:ascii="Arial" w:eastAsia="Times New Roman" w:hAnsi="Arial" w:cs="Arial"/>
          <w:spacing w:val="10"/>
          <w:sz w:val="21"/>
          <w:szCs w:val="21"/>
        </w:rPr>
        <w:t>zadavatele</w:t>
      </w:r>
      <w:r w:rsidRPr="007324A0">
        <w:rPr>
          <w:rFonts w:ascii="Arial" w:hAnsi="Arial" w:cs="Arial"/>
          <w:spacing w:val="10"/>
          <w:sz w:val="21"/>
          <w:szCs w:val="21"/>
        </w:rPr>
        <w:t>. Pokud dojde k prodloužení lhůty, je potřebné myslet na úpravu termínu i</w:t>
      </w:r>
      <w:r w:rsidR="001B5A1C">
        <w:rPr>
          <w:rFonts w:ascii="Arial" w:hAnsi="Arial" w:cs="Arial"/>
          <w:spacing w:val="10"/>
          <w:sz w:val="21"/>
          <w:szCs w:val="21"/>
        </w:rPr>
        <w:t> </w:t>
      </w:r>
      <w:r w:rsidRPr="007324A0">
        <w:rPr>
          <w:rFonts w:ascii="Arial" w:hAnsi="Arial" w:cs="Arial"/>
          <w:spacing w:val="10"/>
          <w:sz w:val="21"/>
          <w:szCs w:val="21"/>
        </w:rPr>
        <w:t>na profilu zadavatele.</w:t>
      </w:r>
    </w:p>
    <w:p w14:paraId="62349117" w14:textId="07C0F52F" w:rsidR="000001E8" w:rsidRPr="007324A0" w:rsidRDefault="00827457" w:rsidP="001B5A1C">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K samotnému otevření elektronicky podaných nabídek by mělo dojít po uplynutí lhůty pro podání nabídek, tzn. že termín otevírání nabídek by měl následovat co nejdříve po uplynutí lhůty pro podání nabídek (např. pokud lhůta pro podání nabídek bude končit 17. 4. 2024 v 10:00 hod, termín pro otevření nabídek by </w:t>
      </w:r>
      <w:r w:rsidR="001B5A1C">
        <w:rPr>
          <w:rFonts w:ascii="Arial" w:hAnsi="Arial" w:cs="Arial"/>
          <w:spacing w:val="10"/>
          <w:sz w:val="21"/>
          <w:szCs w:val="21"/>
        </w:rPr>
        <w:t xml:space="preserve">měl </w:t>
      </w:r>
      <w:r w:rsidRPr="007324A0">
        <w:rPr>
          <w:rFonts w:ascii="Arial" w:hAnsi="Arial" w:cs="Arial"/>
          <w:spacing w:val="10"/>
          <w:sz w:val="21"/>
          <w:szCs w:val="21"/>
        </w:rPr>
        <w:t xml:space="preserve">být stanoven tentýž den, tj. 17. 4. 2024 v 10:15 hod). </w:t>
      </w:r>
      <w:r w:rsidR="005C2463">
        <w:rPr>
          <w:rFonts w:ascii="Arial" w:hAnsi="Arial" w:cs="Arial"/>
          <w:spacing w:val="10"/>
          <w:sz w:val="21"/>
          <w:szCs w:val="21"/>
        </w:rPr>
        <w:t>Není vhodné</w:t>
      </w:r>
      <w:r w:rsidRPr="007324A0">
        <w:rPr>
          <w:rFonts w:ascii="Arial" w:hAnsi="Arial" w:cs="Arial"/>
          <w:spacing w:val="10"/>
          <w:sz w:val="21"/>
          <w:szCs w:val="21"/>
        </w:rPr>
        <w:t>, aby termín pro otevírání nabídek byl zadavatelem stanoven až následující den</w:t>
      </w:r>
      <w:r w:rsidR="005C2463">
        <w:rPr>
          <w:rFonts w:ascii="Arial" w:hAnsi="Arial" w:cs="Arial"/>
          <w:spacing w:val="10"/>
          <w:sz w:val="21"/>
          <w:szCs w:val="21"/>
        </w:rPr>
        <w:t xml:space="preserve"> po skončení lhůty pro podání nabídek</w:t>
      </w:r>
      <w:r w:rsidRPr="007324A0">
        <w:rPr>
          <w:rFonts w:ascii="Arial" w:hAnsi="Arial" w:cs="Arial"/>
          <w:spacing w:val="10"/>
          <w:sz w:val="21"/>
          <w:szCs w:val="21"/>
        </w:rPr>
        <w:t>.</w:t>
      </w:r>
    </w:p>
    <w:p w14:paraId="222E4AFD" w14:textId="77777777" w:rsidR="00CA46A9" w:rsidRPr="007324A0" w:rsidRDefault="00CA46A9" w:rsidP="007324A0">
      <w:pPr>
        <w:snapToGrid w:val="0"/>
        <w:spacing w:after="120" w:line="276" w:lineRule="auto"/>
        <w:jc w:val="both"/>
        <w:textAlignment w:val="baseline"/>
        <w:rPr>
          <w:rFonts w:ascii="Arial" w:hAnsi="Arial" w:cs="Arial"/>
          <w:spacing w:val="10"/>
          <w:sz w:val="21"/>
          <w:szCs w:val="21"/>
        </w:rPr>
      </w:pPr>
    </w:p>
    <w:p w14:paraId="2144B7B6" w14:textId="0876CF73" w:rsidR="00942AD3" w:rsidRPr="007324A0" w:rsidRDefault="00F03909" w:rsidP="00B95813">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7324A0">
        <w:rPr>
          <w:rFonts w:ascii="Arial" w:hAnsi="Arial" w:cs="Arial"/>
          <w:b/>
          <w:bCs/>
          <w:spacing w:val="10"/>
          <w:sz w:val="21"/>
          <w:szCs w:val="21"/>
        </w:rPr>
        <w:t>Podávání dotazů v průběhu zadávacího řízení</w:t>
      </w:r>
    </w:p>
    <w:p w14:paraId="51F418E1" w14:textId="7BA939B5" w:rsidR="006F063C" w:rsidRPr="007324A0" w:rsidRDefault="006F063C" w:rsidP="00B95813">
      <w:pPr>
        <w:pStyle w:val="Odstavecseseznamem"/>
        <w:numPr>
          <w:ilvl w:val="0"/>
          <w:numId w:val="35"/>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Kdy je možné dotazy (resp. žádosti o vysvětlení zadávací dokumentace) podávat</w:t>
      </w:r>
    </w:p>
    <w:p w14:paraId="02516E51" w14:textId="0B43466F" w:rsidR="00F03909" w:rsidRPr="007324A0" w:rsidRDefault="00A3413C" w:rsidP="00B95813">
      <w:pPr>
        <w:pStyle w:val="Odstavecseseznamem"/>
        <w:snapToGrid w:val="0"/>
        <w:spacing w:after="120" w:line="276" w:lineRule="auto"/>
        <w:ind w:left="360"/>
        <w:contextualSpacing w:val="0"/>
        <w:jc w:val="both"/>
        <w:rPr>
          <w:rFonts w:ascii="Arial" w:hAnsi="Arial" w:cs="Arial"/>
          <w:spacing w:val="10"/>
          <w:sz w:val="21"/>
          <w:szCs w:val="21"/>
        </w:rPr>
      </w:pPr>
      <w:r w:rsidRPr="007324A0">
        <w:rPr>
          <w:rFonts w:ascii="Arial" w:hAnsi="Arial" w:cs="Arial"/>
          <w:spacing w:val="10"/>
          <w:sz w:val="21"/>
          <w:szCs w:val="21"/>
        </w:rPr>
        <w:t xml:space="preserve">Dotazy </w:t>
      </w:r>
      <w:r w:rsidR="006F063C" w:rsidRPr="007324A0">
        <w:rPr>
          <w:rFonts w:ascii="Arial" w:hAnsi="Arial" w:cs="Arial"/>
          <w:spacing w:val="10"/>
          <w:sz w:val="21"/>
          <w:szCs w:val="21"/>
        </w:rPr>
        <w:t xml:space="preserve">týkající se </w:t>
      </w:r>
      <w:r w:rsidRPr="007324A0">
        <w:rPr>
          <w:rFonts w:ascii="Arial" w:hAnsi="Arial" w:cs="Arial"/>
          <w:spacing w:val="10"/>
          <w:sz w:val="21"/>
          <w:szCs w:val="21"/>
        </w:rPr>
        <w:t>vysvětlení zadávací dokumentace (příp. výzv</w:t>
      </w:r>
      <w:r w:rsidR="006F063C" w:rsidRPr="007324A0">
        <w:rPr>
          <w:rFonts w:ascii="Arial" w:hAnsi="Arial" w:cs="Arial"/>
          <w:spacing w:val="10"/>
          <w:sz w:val="21"/>
          <w:szCs w:val="21"/>
        </w:rPr>
        <w:t>y</w:t>
      </w:r>
      <w:r w:rsidRPr="007324A0">
        <w:rPr>
          <w:rFonts w:ascii="Arial" w:hAnsi="Arial" w:cs="Arial"/>
          <w:spacing w:val="10"/>
          <w:sz w:val="21"/>
          <w:szCs w:val="21"/>
        </w:rPr>
        <w:t xml:space="preserve"> k podání nabídek) je možné podávat </w:t>
      </w:r>
      <w:r w:rsidR="006F063C" w:rsidRPr="007324A0">
        <w:rPr>
          <w:rFonts w:ascii="Arial" w:hAnsi="Arial" w:cs="Arial"/>
          <w:spacing w:val="10"/>
          <w:sz w:val="21"/>
          <w:szCs w:val="21"/>
        </w:rPr>
        <w:t xml:space="preserve">ze strany dodavatelů </w:t>
      </w:r>
      <w:r w:rsidRPr="007324A0">
        <w:rPr>
          <w:rFonts w:ascii="Arial" w:hAnsi="Arial" w:cs="Arial"/>
          <w:spacing w:val="10"/>
          <w:sz w:val="21"/>
          <w:szCs w:val="21"/>
        </w:rPr>
        <w:t>kdykoliv během lhůty pro podání nabídek / žádostí o účast / předběžných nabídek.</w:t>
      </w:r>
      <w:r w:rsidR="006F063C" w:rsidRPr="007324A0">
        <w:rPr>
          <w:rFonts w:ascii="Arial" w:hAnsi="Arial" w:cs="Arial"/>
          <w:spacing w:val="10"/>
          <w:sz w:val="21"/>
          <w:szCs w:val="21"/>
        </w:rPr>
        <w:t xml:space="preserve"> Po uplynutí uvedených lhůt již není možné žádosti o vysvětlení zadávací dokumentace podávat.</w:t>
      </w:r>
    </w:p>
    <w:p w14:paraId="76102712" w14:textId="3C9A59CF" w:rsidR="006F063C" w:rsidRPr="007324A0" w:rsidRDefault="006F063C" w:rsidP="00B95813">
      <w:pPr>
        <w:pStyle w:val="Odstavecseseznamem"/>
        <w:numPr>
          <w:ilvl w:val="0"/>
          <w:numId w:val="35"/>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lastRenderedPageBreak/>
        <w:t xml:space="preserve">Lhůty, v nichž je možné dotazy (resp. žádosti o vysvětlení zadávací dokumentace) </w:t>
      </w:r>
      <w:r w:rsidR="00B95813">
        <w:rPr>
          <w:rFonts w:ascii="Arial" w:hAnsi="Arial" w:cs="Arial"/>
          <w:spacing w:val="10"/>
          <w:sz w:val="21"/>
          <w:szCs w:val="21"/>
          <w:u w:val="single"/>
        </w:rPr>
        <w:t xml:space="preserve">ze strany dodavatelů </w:t>
      </w:r>
      <w:r w:rsidRPr="007324A0">
        <w:rPr>
          <w:rFonts w:ascii="Arial" w:hAnsi="Arial" w:cs="Arial"/>
          <w:spacing w:val="10"/>
          <w:sz w:val="21"/>
          <w:szCs w:val="21"/>
          <w:u w:val="single"/>
        </w:rPr>
        <w:t>podávat</w:t>
      </w:r>
    </w:p>
    <w:p w14:paraId="7748684C" w14:textId="77777777" w:rsidR="00817F7B" w:rsidRPr="007324A0" w:rsidRDefault="00817F7B"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Dodavatel je povinen žádost o vysvětlení zadávací dokumentace odeslat zadavateli:</w:t>
      </w:r>
    </w:p>
    <w:p w14:paraId="03BB3263" w14:textId="6ACCAE85" w:rsidR="000E5376" w:rsidRPr="007324A0" w:rsidRDefault="00817F7B" w:rsidP="00B95813">
      <w:pPr>
        <w:pStyle w:val="Odstavecseseznamem"/>
        <w:numPr>
          <w:ilvl w:val="0"/>
          <w:numId w:val="17"/>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8 pracovních dnů před koncem lhůty pro podání žádostí o účast, nabídek či</w:t>
      </w:r>
      <w:r w:rsidR="00B95813">
        <w:rPr>
          <w:rFonts w:ascii="Arial" w:hAnsi="Arial" w:cs="Arial"/>
          <w:spacing w:val="10"/>
          <w:sz w:val="21"/>
          <w:szCs w:val="21"/>
        </w:rPr>
        <w:t> </w:t>
      </w:r>
      <w:r w:rsidRPr="007324A0">
        <w:rPr>
          <w:rFonts w:ascii="Arial" w:hAnsi="Arial" w:cs="Arial"/>
          <w:spacing w:val="10"/>
          <w:sz w:val="21"/>
          <w:szCs w:val="21"/>
        </w:rPr>
        <w:t>předběžných nabídek;</w:t>
      </w:r>
    </w:p>
    <w:p w14:paraId="45B3C719" w14:textId="2236F842" w:rsidR="00817F7B" w:rsidRDefault="00817F7B" w:rsidP="007324A0">
      <w:pPr>
        <w:pStyle w:val="Odstavecseseznamem"/>
        <w:numPr>
          <w:ilvl w:val="0"/>
          <w:numId w:val="11"/>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7 pracovních dnů před koncem lhůty pro podání žádostí o účast, nabídek či</w:t>
      </w:r>
      <w:r w:rsidR="00B95813">
        <w:rPr>
          <w:rFonts w:ascii="Arial" w:hAnsi="Arial" w:cs="Arial"/>
          <w:spacing w:val="10"/>
          <w:sz w:val="21"/>
          <w:szCs w:val="21"/>
        </w:rPr>
        <w:t> </w:t>
      </w:r>
      <w:r w:rsidRPr="007324A0">
        <w:rPr>
          <w:rFonts w:ascii="Arial" w:hAnsi="Arial" w:cs="Arial"/>
          <w:spacing w:val="10"/>
          <w:sz w:val="21"/>
          <w:szCs w:val="21"/>
        </w:rPr>
        <w:t>předběžných nabídek – uvedená lhůta se uplatní v případě zjednodušeného podlimitního řízení nebo v případech, kdy je lhůta pro podání nabídek zkrácena [viz § 57 odst. 2 písm. b) nebo § 59 odst. 5 ZZVZ].</w:t>
      </w:r>
    </w:p>
    <w:p w14:paraId="284EABA8" w14:textId="6C0D4B8F" w:rsidR="00B95813" w:rsidRDefault="00B95813" w:rsidP="00B95813">
      <w:pPr>
        <w:pStyle w:val="Odstavecseseznamem"/>
        <w:snapToGrid w:val="0"/>
        <w:spacing w:after="120" w:line="276" w:lineRule="auto"/>
        <w:ind w:left="360"/>
        <w:contextualSpacing w:val="0"/>
        <w:jc w:val="both"/>
        <w:rPr>
          <w:rFonts w:ascii="Arial" w:hAnsi="Arial" w:cs="Arial"/>
          <w:spacing w:val="10"/>
          <w:sz w:val="21"/>
          <w:szCs w:val="21"/>
        </w:rPr>
      </w:pPr>
      <w:r w:rsidRPr="00434ACA">
        <w:rPr>
          <w:rFonts w:ascii="Arial" w:hAnsi="Arial" w:cs="Arial"/>
          <w:spacing w:val="10"/>
          <w:sz w:val="21"/>
          <w:szCs w:val="21"/>
        </w:rPr>
        <w:t>Při počítání nejzazšího dne pro podání žádosti o vysvětlení zadávací dokumentace bude rozhodným okamžikem (resp. rozhodnou skutečností) konec lhůty pro podání žádostí o účast, předběžných nabídek či nabídek, přičemž tento den se do zpětně počítané lhůty nebude započítávat. Pokud tedy lhůta pro podání nabídek ve</w:t>
      </w:r>
      <w:r>
        <w:rPr>
          <w:rFonts w:ascii="Arial" w:hAnsi="Arial" w:cs="Arial"/>
          <w:spacing w:val="10"/>
          <w:sz w:val="21"/>
          <w:szCs w:val="21"/>
        </w:rPr>
        <w:t> </w:t>
      </w:r>
      <w:r w:rsidRPr="00434ACA">
        <w:rPr>
          <w:rFonts w:ascii="Arial" w:hAnsi="Arial" w:cs="Arial"/>
          <w:spacing w:val="10"/>
          <w:sz w:val="21"/>
          <w:szCs w:val="21"/>
        </w:rPr>
        <w:t>zjednodušeném podlimitním řízení byla stanovena na 14. 1. 2020, poslední den (tj.</w:t>
      </w:r>
      <w:r>
        <w:rPr>
          <w:rFonts w:ascii="Arial" w:hAnsi="Arial" w:cs="Arial"/>
          <w:spacing w:val="10"/>
          <w:sz w:val="21"/>
          <w:szCs w:val="21"/>
        </w:rPr>
        <w:t> </w:t>
      </w:r>
      <w:r w:rsidRPr="00434ACA">
        <w:rPr>
          <w:rFonts w:ascii="Arial" w:hAnsi="Arial" w:cs="Arial"/>
          <w:spacing w:val="10"/>
          <w:sz w:val="21"/>
          <w:szCs w:val="21"/>
        </w:rPr>
        <w:t>7. pracovní den), kdy bylo možné ze strany dodavatele ještě podat žádost o vysvětlení zadávací dokumentace, připadl na 3. 1. 2020.</w:t>
      </w:r>
    </w:p>
    <w:p w14:paraId="6D1C0B45" w14:textId="2A7BD399" w:rsidR="00B95813" w:rsidRDefault="00B95813" w:rsidP="00B95813">
      <w:pPr>
        <w:pStyle w:val="Odstavecseseznamem"/>
        <w:snapToGrid w:val="0"/>
        <w:spacing w:after="120" w:line="276" w:lineRule="auto"/>
        <w:ind w:left="360"/>
        <w:contextualSpacing w:val="0"/>
        <w:jc w:val="both"/>
        <w:rPr>
          <w:rFonts w:ascii="Arial" w:hAnsi="Arial" w:cs="Arial"/>
          <w:spacing w:val="10"/>
          <w:sz w:val="21"/>
          <w:szCs w:val="21"/>
        </w:rPr>
      </w:pPr>
      <w:r w:rsidRPr="00434ACA">
        <w:rPr>
          <w:rFonts w:ascii="Arial" w:hAnsi="Arial" w:cs="Arial"/>
          <w:spacing w:val="10"/>
          <w:sz w:val="21"/>
          <w:szCs w:val="21"/>
        </w:rPr>
        <w:t>V této souvislosti je potřebné upozornit na přístup Úřad pro ochranu hospodářské soutěže, který je prezentován v jeho stanovisku, které se vyjadřuje k aplikaci § 242 odst. 5 zákona č. 134/2016 Sb., o zadávání veřejných zakázek. Tento přístup Úřadu pro ochranu hospodářské soutěže by při výpočtu nejzazšího termínu pro podání žádosti o vysvětlení zadávací dokumentace znamenal následující: lhůta pro podání nabídek ve zjednodušeném podlimitním řízení byla stanovena na 14. 1. 2020, poslední den, kdy bylo možné podat žádost o vysvětlení zadávací dokumentace, připadl na den 2. 1. 2020, tzn. že zpětně by bylo odpočítáno celých 7 pracovních dnů, přičemž</w:t>
      </w:r>
      <w:r>
        <w:rPr>
          <w:rFonts w:ascii="Arial" w:hAnsi="Arial" w:cs="Arial"/>
          <w:spacing w:val="10"/>
          <w:sz w:val="21"/>
          <w:szCs w:val="21"/>
        </w:rPr>
        <w:t> </w:t>
      </w:r>
      <w:r w:rsidRPr="00434ACA">
        <w:rPr>
          <w:rFonts w:ascii="Arial" w:hAnsi="Arial" w:cs="Arial"/>
          <w:spacing w:val="10"/>
          <w:sz w:val="21"/>
          <w:szCs w:val="21"/>
        </w:rPr>
        <w:t>poslední den pro podání žádosti o vysvětlení zadávací dokumentace by připadl de facto na 8. pracovní den před uplynutím lhůty pro podání nabídek. Tímto přístupem se v praxi řídí nejčastěji dodavatelé, neboť tento je pro ně bezpečnější.</w:t>
      </w:r>
    </w:p>
    <w:p w14:paraId="79A014DA" w14:textId="77777777" w:rsidR="00B95813" w:rsidRPr="00B95813" w:rsidRDefault="00B95813" w:rsidP="00B95813">
      <w:pPr>
        <w:snapToGrid w:val="0"/>
        <w:spacing w:after="120" w:line="276" w:lineRule="auto"/>
        <w:ind w:left="360"/>
        <w:jc w:val="both"/>
        <w:rPr>
          <w:rFonts w:ascii="Arial" w:hAnsi="Arial" w:cs="Arial"/>
          <w:spacing w:val="10"/>
          <w:sz w:val="21"/>
          <w:szCs w:val="21"/>
        </w:rPr>
      </w:pPr>
      <w:r w:rsidRPr="00B95813">
        <w:rPr>
          <w:rFonts w:ascii="Arial" w:hAnsi="Arial" w:cs="Arial"/>
          <w:spacing w:val="10"/>
          <w:sz w:val="21"/>
          <w:szCs w:val="21"/>
        </w:rPr>
        <w:t>Pokud zadavatel v zadávací dokumentaci uvedl informaci o zkrácení lhůty pro podání námitek o 72 hodin, tato skutečnost bude mít dopad i na lhůtu, v níž mohou být ze strany dodavatelů podávány žádosti o vysvětlení zadávací dokumentace – žádost o vysvětlení zadávací dokumentace bude nutné v této situaci podat do 8, resp. 7, pracovních dnů před lhůtou pro podán námitek.</w:t>
      </w:r>
    </w:p>
    <w:p w14:paraId="2AAD3FE3" w14:textId="1C3F7ED1" w:rsidR="00817F7B" w:rsidRPr="007324A0" w:rsidRDefault="00817F7B" w:rsidP="00B95813">
      <w:pPr>
        <w:pStyle w:val="Odstavecseseznamem"/>
        <w:numPr>
          <w:ilvl w:val="0"/>
          <w:numId w:val="35"/>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Opožděně podaná žádost o vysvětlení zadávací dokumentace</w:t>
      </w:r>
    </w:p>
    <w:p w14:paraId="1721AD44" w14:textId="1611883D" w:rsidR="00817F7B" w:rsidRPr="007324A0" w:rsidRDefault="00817F7B"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Pokud dodavatel neodešle žádost o vysvětlení zadávací dokumentace ve lhůtě vyplývající z části b) výše, zadavatel není povinen na takovou žádost o vysvětlení zadávací dokumentace reagovat.</w:t>
      </w:r>
    </w:p>
    <w:p w14:paraId="48A23D74" w14:textId="15314F1D" w:rsidR="00817F7B" w:rsidRPr="007324A0" w:rsidRDefault="00817F7B"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Při rozhodování by měl zadavatel přihlédnout k charakteru dotazu – pokud půjde o</w:t>
      </w:r>
      <w:r w:rsidR="00B95813">
        <w:rPr>
          <w:rFonts w:ascii="Arial" w:hAnsi="Arial" w:cs="Arial"/>
          <w:spacing w:val="10"/>
          <w:sz w:val="21"/>
          <w:szCs w:val="21"/>
        </w:rPr>
        <w:t> </w:t>
      </w:r>
      <w:r w:rsidRPr="007324A0">
        <w:rPr>
          <w:rFonts w:ascii="Arial" w:hAnsi="Arial" w:cs="Arial"/>
          <w:spacing w:val="10"/>
          <w:sz w:val="21"/>
          <w:szCs w:val="21"/>
        </w:rPr>
        <w:t>dotaz upozorňující na zásadní nedostatek zadávacích podmínek, je vhodné na</w:t>
      </w:r>
      <w:r w:rsidR="00B95813">
        <w:rPr>
          <w:rFonts w:ascii="Arial" w:hAnsi="Arial" w:cs="Arial"/>
          <w:spacing w:val="10"/>
          <w:sz w:val="21"/>
          <w:szCs w:val="21"/>
        </w:rPr>
        <w:t> </w:t>
      </w:r>
      <w:r w:rsidRPr="007324A0">
        <w:rPr>
          <w:rFonts w:ascii="Arial" w:hAnsi="Arial" w:cs="Arial"/>
          <w:spacing w:val="10"/>
          <w:sz w:val="21"/>
          <w:szCs w:val="21"/>
        </w:rPr>
        <w:t>opožděně podaný dotaz reagovat.</w:t>
      </w:r>
    </w:p>
    <w:p w14:paraId="6DCDFA83" w14:textId="7008A184" w:rsidR="00817F7B" w:rsidRDefault="00817F7B"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Pokud se zadavatel rozhodne na opožděně podanou žádost o vysvětlení zadávací dokumentace nereagovat, lze doporučit, aby o tomto dodavatele, který dotaz podal, informoval.</w:t>
      </w:r>
    </w:p>
    <w:p w14:paraId="03E1F384" w14:textId="06A95EFA" w:rsidR="006F063C" w:rsidRPr="007324A0" w:rsidRDefault="006F063C" w:rsidP="00B95813">
      <w:pPr>
        <w:pStyle w:val="Odstavecseseznamem"/>
        <w:numPr>
          <w:ilvl w:val="0"/>
          <w:numId w:val="35"/>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Forma, v níž je možné dotazy (resp. žádosti o vysvětlení zadávací dokumentace) podávat</w:t>
      </w:r>
    </w:p>
    <w:p w14:paraId="282B8E32" w14:textId="77777777" w:rsidR="006F063C" w:rsidRPr="007324A0" w:rsidRDefault="00A3413C" w:rsidP="007324A0">
      <w:pPr>
        <w:pStyle w:val="Odstavecseseznamem"/>
        <w:snapToGrid w:val="0"/>
        <w:spacing w:after="120" w:line="276" w:lineRule="auto"/>
        <w:ind w:left="360"/>
        <w:contextualSpacing w:val="0"/>
        <w:jc w:val="both"/>
        <w:rPr>
          <w:rFonts w:ascii="Arial" w:hAnsi="Arial" w:cs="Arial"/>
          <w:spacing w:val="10"/>
          <w:sz w:val="21"/>
          <w:szCs w:val="21"/>
        </w:rPr>
      </w:pPr>
      <w:r w:rsidRPr="007324A0">
        <w:rPr>
          <w:rFonts w:ascii="Arial" w:hAnsi="Arial" w:cs="Arial"/>
          <w:spacing w:val="10"/>
          <w:sz w:val="21"/>
          <w:szCs w:val="21"/>
        </w:rPr>
        <w:lastRenderedPageBreak/>
        <w:t>Dotazy je nutné zaslat zadavateli písemně – primárně prostřednictvím</w:t>
      </w:r>
      <w:r w:rsidR="00F20C07" w:rsidRPr="007324A0">
        <w:rPr>
          <w:rFonts w:ascii="Arial" w:hAnsi="Arial" w:cs="Arial"/>
          <w:spacing w:val="10"/>
          <w:sz w:val="21"/>
          <w:szCs w:val="21"/>
        </w:rPr>
        <w:t xml:space="preserve"> elektronického nástroje. </w:t>
      </w:r>
    </w:p>
    <w:p w14:paraId="22D64772" w14:textId="0F8CD09B" w:rsidR="00A3413C" w:rsidRDefault="00F20C07" w:rsidP="007324A0">
      <w:pPr>
        <w:pStyle w:val="Odstavecseseznamem"/>
        <w:snapToGrid w:val="0"/>
        <w:spacing w:after="120" w:line="276" w:lineRule="auto"/>
        <w:ind w:left="360"/>
        <w:contextualSpacing w:val="0"/>
        <w:jc w:val="both"/>
        <w:rPr>
          <w:rFonts w:ascii="Arial" w:hAnsi="Arial" w:cs="Arial"/>
          <w:spacing w:val="10"/>
          <w:sz w:val="21"/>
          <w:szCs w:val="21"/>
        </w:rPr>
      </w:pPr>
      <w:r w:rsidRPr="007324A0">
        <w:rPr>
          <w:rFonts w:ascii="Arial" w:hAnsi="Arial" w:cs="Arial"/>
          <w:spacing w:val="10"/>
          <w:sz w:val="21"/>
          <w:szCs w:val="21"/>
        </w:rPr>
        <w:t>Způsob podávání žádostí o vysvětlení zadávací dokumentace je často uveden v zadávací dokumentaci či ve výzvě k podání nabídky – pokud za této situace zadavatel obdrží žádost o vysvětlení zadávací dokumentace jiným než uvedeným způsobem, lze doporučit, aby na takový dotaz bylo ze strany zadavatele taktéž reagováno.</w:t>
      </w:r>
    </w:p>
    <w:p w14:paraId="154B7AB2" w14:textId="6576A196" w:rsidR="006F501D" w:rsidRPr="007324A0" w:rsidRDefault="00B95813" w:rsidP="00B95813">
      <w:pPr>
        <w:pStyle w:val="Odstavecseseznamem"/>
        <w:numPr>
          <w:ilvl w:val="0"/>
          <w:numId w:val="35"/>
        </w:numPr>
        <w:snapToGrid w:val="0"/>
        <w:spacing w:after="120" w:line="276" w:lineRule="auto"/>
        <w:contextualSpacing w:val="0"/>
        <w:jc w:val="both"/>
        <w:rPr>
          <w:rFonts w:ascii="Arial" w:hAnsi="Arial" w:cs="Arial"/>
          <w:spacing w:val="10"/>
          <w:sz w:val="21"/>
          <w:szCs w:val="21"/>
          <w:u w:val="single"/>
        </w:rPr>
      </w:pPr>
      <w:r>
        <w:rPr>
          <w:rFonts w:ascii="Arial" w:hAnsi="Arial" w:cs="Arial"/>
          <w:spacing w:val="10"/>
          <w:sz w:val="21"/>
          <w:szCs w:val="21"/>
          <w:u w:val="single"/>
        </w:rPr>
        <w:t>Žádost o vysvětlení zadávací dokumentace</w:t>
      </w:r>
      <w:r w:rsidR="006F501D" w:rsidRPr="007324A0">
        <w:rPr>
          <w:rFonts w:ascii="Arial" w:hAnsi="Arial" w:cs="Arial"/>
          <w:spacing w:val="10"/>
          <w:sz w:val="21"/>
          <w:szCs w:val="21"/>
          <w:u w:val="single"/>
        </w:rPr>
        <w:t xml:space="preserve"> týkající se nezveřejněné části zadávací dokumentace</w:t>
      </w:r>
    </w:p>
    <w:p w14:paraId="16267FAA" w14:textId="77777777" w:rsidR="000C136B" w:rsidRPr="007324A0" w:rsidRDefault="006F501D"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Pokud se dodavatelem položený dotaz týká nezveřejněné části zadávací dokumentace, zadavatel nesmí odpověď na dotaz uveřejnit na profilu zadavatele. </w:t>
      </w:r>
    </w:p>
    <w:p w14:paraId="798D32DC" w14:textId="0769C490" w:rsidR="006F501D" w:rsidRPr="007324A0" w:rsidRDefault="006F501D" w:rsidP="00B95813">
      <w:pPr>
        <w:pStyle w:val="Odstavecseseznamem"/>
        <w:snapToGrid w:val="0"/>
        <w:spacing w:after="120" w:line="276" w:lineRule="auto"/>
        <w:ind w:left="360"/>
        <w:contextualSpacing w:val="0"/>
        <w:jc w:val="both"/>
        <w:rPr>
          <w:rFonts w:ascii="Arial" w:hAnsi="Arial" w:cs="Arial"/>
          <w:spacing w:val="10"/>
          <w:sz w:val="21"/>
          <w:szCs w:val="21"/>
        </w:rPr>
      </w:pPr>
      <w:r w:rsidRPr="007324A0">
        <w:rPr>
          <w:rFonts w:ascii="Arial" w:hAnsi="Arial" w:cs="Arial"/>
          <w:spacing w:val="10"/>
          <w:sz w:val="21"/>
          <w:szCs w:val="21"/>
        </w:rPr>
        <w:t xml:space="preserve">Vysvětlení zadávací dokumentace je zadavatel povinen odeslat </w:t>
      </w:r>
      <w:r w:rsidR="000C136B" w:rsidRPr="007324A0">
        <w:rPr>
          <w:rFonts w:ascii="Arial" w:hAnsi="Arial" w:cs="Arial"/>
          <w:spacing w:val="10"/>
          <w:sz w:val="21"/>
          <w:szCs w:val="21"/>
        </w:rPr>
        <w:t>(</w:t>
      </w:r>
      <w:r w:rsidRPr="007324A0">
        <w:rPr>
          <w:rFonts w:ascii="Arial" w:hAnsi="Arial" w:cs="Arial"/>
          <w:spacing w:val="10"/>
          <w:sz w:val="21"/>
          <w:szCs w:val="21"/>
        </w:rPr>
        <w:t xml:space="preserve">předat) </w:t>
      </w:r>
      <w:r w:rsidR="000C136B" w:rsidRPr="007324A0">
        <w:rPr>
          <w:rFonts w:ascii="Arial" w:hAnsi="Arial" w:cs="Arial"/>
          <w:spacing w:val="10"/>
          <w:sz w:val="21"/>
          <w:szCs w:val="21"/>
        </w:rPr>
        <w:t xml:space="preserve">pouze </w:t>
      </w:r>
      <w:r w:rsidRPr="007324A0">
        <w:rPr>
          <w:rFonts w:ascii="Arial" w:hAnsi="Arial" w:cs="Arial"/>
          <w:spacing w:val="10"/>
          <w:sz w:val="21"/>
          <w:szCs w:val="21"/>
        </w:rPr>
        <w:t>dodavatelům, kteří jej požádali</w:t>
      </w:r>
      <w:r w:rsidR="000C136B" w:rsidRPr="007324A0">
        <w:rPr>
          <w:rFonts w:ascii="Arial" w:hAnsi="Arial" w:cs="Arial"/>
          <w:spacing w:val="10"/>
          <w:sz w:val="21"/>
          <w:szCs w:val="21"/>
        </w:rPr>
        <w:t xml:space="preserve"> o poskytnutí příslušné části zadávací dokumentace (tzn. </w:t>
      </w:r>
      <w:r w:rsidR="000C136B" w:rsidRPr="00B95813">
        <w:rPr>
          <w:rFonts w:ascii="Arial" w:hAnsi="Arial" w:cs="Arial"/>
          <w:spacing w:val="10"/>
          <w:sz w:val="21"/>
          <w:szCs w:val="21"/>
        </w:rPr>
        <w:t>nezveřejněné části</w:t>
      </w:r>
      <w:r w:rsidR="000C136B" w:rsidRPr="007324A0">
        <w:rPr>
          <w:rFonts w:ascii="Arial" w:hAnsi="Arial" w:cs="Arial"/>
          <w:spacing w:val="10"/>
          <w:sz w:val="21"/>
          <w:szCs w:val="21"/>
        </w:rPr>
        <w:t xml:space="preserve"> zadávací dokumentace).</w:t>
      </w:r>
    </w:p>
    <w:p w14:paraId="180B4AC0" w14:textId="1C08B66F" w:rsidR="006F063C" w:rsidRPr="007324A0" w:rsidRDefault="006F063C" w:rsidP="00B95813">
      <w:pPr>
        <w:pStyle w:val="Odstavecseseznamem"/>
        <w:numPr>
          <w:ilvl w:val="0"/>
          <w:numId w:val="35"/>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Lhůta, v níž je povinen zadavatel na položený dotaz reagovat</w:t>
      </w:r>
    </w:p>
    <w:p w14:paraId="3BC9867D" w14:textId="3D88807D" w:rsidR="006F063C" w:rsidRPr="007324A0" w:rsidRDefault="00F20C07" w:rsidP="007324A0">
      <w:pPr>
        <w:pStyle w:val="Odstavecseseznamem"/>
        <w:snapToGrid w:val="0"/>
        <w:spacing w:after="120" w:line="276" w:lineRule="auto"/>
        <w:ind w:left="360"/>
        <w:contextualSpacing w:val="0"/>
        <w:jc w:val="both"/>
        <w:rPr>
          <w:rFonts w:ascii="Arial" w:hAnsi="Arial" w:cs="Arial"/>
          <w:spacing w:val="10"/>
          <w:sz w:val="21"/>
          <w:szCs w:val="21"/>
        </w:rPr>
      </w:pPr>
      <w:r w:rsidRPr="007324A0">
        <w:rPr>
          <w:rFonts w:ascii="Arial" w:hAnsi="Arial" w:cs="Arial"/>
          <w:spacing w:val="10"/>
          <w:sz w:val="21"/>
          <w:szCs w:val="21"/>
        </w:rPr>
        <w:t>Zadavatel je povinen položený dotaz zodpovědět a uveřejnit na profilu zadavatele ve</w:t>
      </w:r>
      <w:r w:rsidR="00B95813">
        <w:rPr>
          <w:rFonts w:ascii="Arial" w:hAnsi="Arial" w:cs="Arial"/>
          <w:spacing w:val="10"/>
          <w:sz w:val="21"/>
          <w:szCs w:val="21"/>
        </w:rPr>
        <w:t> </w:t>
      </w:r>
      <w:r w:rsidRPr="007324A0">
        <w:rPr>
          <w:rFonts w:ascii="Arial" w:hAnsi="Arial" w:cs="Arial"/>
          <w:spacing w:val="10"/>
          <w:sz w:val="21"/>
          <w:szCs w:val="21"/>
        </w:rPr>
        <w:t>lhůtě 3 pracovních dnů od podání dotazu.</w:t>
      </w:r>
      <w:r w:rsidR="007468D6" w:rsidRPr="007324A0">
        <w:rPr>
          <w:rFonts w:ascii="Arial" w:hAnsi="Arial" w:cs="Arial"/>
          <w:spacing w:val="10"/>
          <w:sz w:val="21"/>
          <w:szCs w:val="21"/>
        </w:rPr>
        <w:t xml:space="preserve"> </w:t>
      </w:r>
    </w:p>
    <w:p w14:paraId="611F6693" w14:textId="438B70B9" w:rsidR="00F20C07" w:rsidRPr="007324A0" w:rsidRDefault="007468D6" w:rsidP="007324A0">
      <w:pPr>
        <w:pStyle w:val="Odstavecseseznamem"/>
        <w:snapToGrid w:val="0"/>
        <w:spacing w:after="120" w:line="276" w:lineRule="auto"/>
        <w:ind w:left="360"/>
        <w:contextualSpacing w:val="0"/>
        <w:jc w:val="both"/>
        <w:rPr>
          <w:rFonts w:ascii="Arial" w:hAnsi="Arial" w:cs="Arial"/>
          <w:spacing w:val="10"/>
          <w:sz w:val="21"/>
          <w:szCs w:val="21"/>
        </w:rPr>
      </w:pPr>
      <w:r w:rsidRPr="007324A0">
        <w:rPr>
          <w:rFonts w:ascii="Arial" w:hAnsi="Arial" w:cs="Arial"/>
          <w:spacing w:val="10"/>
          <w:sz w:val="21"/>
          <w:szCs w:val="21"/>
        </w:rPr>
        <w:t xml:space="preserve">Na profilu zadavatele je potřebné uveřejnit </w:t>
      </w:r>
      <w:r w:rsidR="006F063C" w:rsidRPr="007324A0">
        <w:rPr>
          <w:rFonts w:ascii="Arial" w:hAnsi="Arial" w:cs="Arial"/>
          <w:spacing w:val="10"/>
          <w:sz w:val="21"/>
          <w:szCs w:val="21"/>
        </w:rPr>
        <w:t>vysvětlení zadávací dokumentace</w:t>
      </w:r>
      <w:r w:rsidRPr="007324A0">
        <w:rPr>
          <w:rFonts w:ascii="Arial" w:hAnsi="Arial" w:cs="Arial"/>
          <w:spacing w:val="10"/>
          <w:sz w:val="21"/>
          <w:szCs w:val="21"/>
        </w:rPr>
        <w:t xml:space="preserve"> včetně přesného znění dotaz, a to bez identifikace dotazujícího.</w:t>
      </w:r>
    </w:p>
    <w:p w14:paraId="240BE8EE" w14:textId="38B61AF2" w:rsidR="007468D6" w:rsidRDefault="007468D6" w:rsidP="00434ACA">
      <w:pPr>
        <w:pStyle w:val="Odstavecseseznamem"/>
        <w:snapToGrid w:val="0"/>
        <w:spacing w:after="120" w:line="276" w:lineRule="auto"/>
        <w:ind w:left="360"/>
        <w:contextualSpacing w:val="0"/>
        <w:jc w:val="both"/>
        <w:rPr>
          <w:rFonts w:ascii="Arial" w:hAnsi="Arial" w:cs="Arial"/>
          <w:spacing w:val="10"/>
          <w:sz w:val="21"/>
          <w:szCs w:val="21"/>
        </w:rPr>
      </w:pPr>
      <w:r w:rsidRPr="007324A0">
        <w:rPr>
          <w:rFonts w:ascii="Arial" w:hAnsi="Arial" w:cs="Arial"/>
          <w:spacing w:val="10"/>
          <w:sz w:val="21"/>
          <w:szCs w:val="21"/>
        </w:rPr>
        <w:t>Pokud zadavatel neuveřejní odpověď na položený dotaz včas, je povinen prodloužit lhůtu pro podání nabídek, předběžných nabídek nebo žádostí o účast</w:t>
      </w:r>
      <w:r w:rsidR="006F063C" w:rsidRPr="007324A0">
        <w:rPr>
          <w:rFonts w:ascii="Arial" w:hAnsi="Arial" w:cs="Arial"/>
          <w:spacing w:val="10"/>
          <w:sz w:val="21"/>
          <w:szCs w:val="21"/>
        </w:rPr>
        <w:t xml:space="preserve">, a to </w:t>
      </w:r>
      <w:r w:rsidRPr="007324A0">
        <w:rPr>
          <w:rFonts w:ascii="Arial" w:hAnsi="Arial" w:cs="Arial"/>
          <w:spacing w:val="10"/>
          <w:sz w:val="21"/>
          <w:szCs w:val="21"/>
        </w:rPr>
        <w:t xml:space="preserve">o tolik dnů, o kolik byla překročena lhůta 3 pracovních dnů. Toto prodloužení </w:t>
      </w:r>
      <w:r w:rsidR="006F063C" w:rsidRPr="007324A0">
        <w:rPr>
          <w:rFonts w:ascii="Arial" w:hAnsi="Arial" w:cs="Arial"/>
          <w:spacing w:val="10"/>
          <w:sz w:val="21"/>
          <w:szCs w:val="21"/>
        </w:rPr>
        <w:t xml:space="preserve">lhůty </w:t>
      </w:r>
      <w:r w:rsidRPr="007324A0">
        <w:rPr>
          <w:rFonts w:ascii="Arial" w:hAnsi="Arial" w:cs="Arial"/>
          <w:spacing w:val="10"/>
          <w:sz w:val="21"/>
          <w:szCs w:val="21"/>
        </w:rPr>
        <w:t xml:space="preserve">přitom musí být </w:t>
      </w:r>
      <w:r w:rsidR="006F063C" w:rsidRPr="007324A0">
        <w:rPr>
          <w:rFonts w:ascii="Arial" w:hAnsi="Arial" w:cs="Arial"/>
          <w:spacing w:val="10"/>
          <w:sz w:val="21"/>
          <w:szCs w:val="21"/>
        </w:rPr>
        <w:t xml:space="preserve">zadavatelem </w:t>
      </w:r>
      <w:r w:rsidRPr="007324A0">
        <w:rPr>
          <w:rFonts w:ascii="Arial" w:hAnsi="Arial" w:cs="Arial"/>
          <w:spacing w:val="10"/>
          <w:sz w:val="21"/>
          <w:szCs w:val="21"/>
        </w:rPr>
        <w:t>uveřejněno ve Věstníku veřejných zakázek a příp. též ve Věstníku Evropské unie, a současně promítnuto na profilu zadavatele</w:t>
      </w:r>
      <w:r w:rsidR="002C12D4" w:rsidRPr="007324A0">
        <w:rPr>
          <w:rFonts w:ascii="Arial" w:hAnsi="Arial" w:cs="Arial"/>
          <w:spacing w:val="10"/>
          <w:sz w:val="21"/>
          <w:szCs w:val="21"/>
        </w:rPr>
        <w:t xml:space="preserve"> (pozn. na profilu zadavatele je totiž u konkrétní veřejné zakázky uvedena lhůta pro podání nabídek)</w:t>
      </w:r>
      <w:r w:rsidRPr="007324A0">
        <w:rPr>
          <w:rFonts w:ascii="Arial" w:hAnsi="Arial" w:cs="Arial"/>
          <w:spacing w:val="10"/>
          <w:sz w:val="21"/>
          <w:szCs w:val="21"/>
        </w:rPr>
        <w:t>.</w:t>
      </w:r>
    </w:p>
    <w:p w14:paraId="53D5A2F7" w14:textId="77777777" w:rsidR="00F20C07" w:rsidRPr="00434ACA" w:rsidRDefault="00F20C07" w:rsidP="00434ACA">
      <w:pPr>
        <w:snapToGrid w:val="0"/>
        <w:spacing w:after="120" w:line="276" w:lineRule="auto"/>
        <w:jc w:val="both"/>
        <w:rPr>
          <w:rFonts w:ascii="Arial" w:hAnsi="Arial" w:cs="Arial"/>
          <w:spacing w:val="10"/>
          <w:sz w:val="21"/>
          <w:szCs w:val="21"/>
        </w:rPr>
      </w:pPr>
    </w:p>
    <w:p w14:paraId="53ADB4AB" w14:textId="4152DD6C" w:rsidR="00E64026" w:rsidRPr="007324A0" w:rsidRDefault="00F03909" w:rsidP="007324A0">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7324A0">
        <w:rPr>
          <w:rFonts w:ascii="Arial" w:hAnsi="Arial" w:cs="Arial"/>
          <w:b/>
          <w:bCs/>
          <w:spacing w:val="10"/>
          <w:sz w:val="21"/>
          <w:szCs w:val="21"/>
        </w:rPr>
        <w:t>Podávání námitek v průběhu zadávacího řízení a po jeho ukončení</w:t>
      </w:r>
    </w:p>
    <w:p w14:paraId="725FE639" w14:textId="3F4A7748" w:rsidR="00E64026" w:rsidRPr="007324A0" w:rsidRDefault="00E64026" w:rsidP="00550334">
      <w:pPr>
        <w:pStyle w:val="Odstavecseseznamem"/>
        <w:numPr>
          <w:ilvl w:val="0"/>
          <w:numId w:val="36"/>
        </w:numPr>
        <w:snapToGrid w:val="0"/>
        <w:spacing w:after="120" w:line="276" w:lineRule="auto"/>
        <w:contextualSpacing w:val="0"/>
        <w:jc w:val="both"/>
        <w:rPr>
          <w:rFonts w:ascii="Arial" w:eastAsia="Times New Roman" w:hAnsi="Arial" w:cs="Arial"/>
          <w:spacing w:val="10"/>
          <w:sz w:val="21"/>
          <w:szCs w:val="21"/>
          <w:u w:val="single"/>
        </w:rPr>
      </w:pPr>
      <w:r w:rsidRPr="007324A0">
        <w:rPr>
          <w:rFonts w:ascii="Arial" w:eastAsia="Times New Roman" w:hAnsi="Arial" w:cs="Arial"/>
          <w:spacing w:val="10"/>
          <w:sz w:val="21"/>
          <w:szCs w:val="21"/>
          <w:u w:val="single"/>
        </w:rPr>
        <w:t xml:space="preserve">Jaké </w:t>
      </w:r>
      <w:r w:rsidRPr="00550334">
        <w:rPr>
          <w:rFonts w:ascii="Arial" w:hAnsi="Arial" w:cs="Arial"/>
          <w:spacing w:val="10"/>
          <w:sz w:val="21"/>
          <w:szCs w:val="21"/>
          <w:u w:val="single"/>
        </w:rPr>
        <w:t>námitky</w:t>
      </w:r>
      <w:r w:rsidRPr="007324A0">
        <w:rPr>
          <w:rFonts w:ascii="Arial" w:eastAsia="Times New Roman" w:hAnsi="Arial" w:cs="Arial"/>
          <w:spacing w:val="10"/>
          <w:sz w:val="21"/>
          <w:szCs w:val="21"/>
          <w:u w:val="single"/>
        </w:rPr>
        <w:t xml:space="preserve"> lze podat a v jakých lhůtách</w:t>
      </w:r>
    </w:p>
    <w:p w14:paraId="1D8B4978" w14:textId="1F4A19C2" w:rsidR="00E64026" w:rsidRPr="007324A0" w:rsidRDefault="00E64026" w:rsidP="00550334">
      <w:pPr>
        <w:pStyle w:val="Odstavecseseznamem"/>
        <w:numPr>
          <w:ilvl w:val="0"/>
          <w:numId w:val="17"/>
        </w:numPr>
        <w:snapToGrid w:val="0"/>
        <w:spacing w:after="120" w:line="276" w:lineRule="auto"/>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Námitky proti úkonům oznamovaným v dokumentech (tj. námitky proti</w:t>
      </w:r>
      <w:r w:rsidR="00550334">
        <w:rPr>
          <w:rFonts w:ascii="Arial" w:eastAsia="Times New Roman" w:hAnsi="Arial" w:cs="Arial"/>
          <w:spacing w:val="10"/>
          <w:sz w:val="21"/>
          <w:szCs w:val="21"/>
        </w:rPr>
        <w:t> </w:t>
      </w:r>
      <w:r w:rsidRPr="007324A0">
        <w:rPr>
          <w:rFonts w:ascii="Arial" w:eastAsia="Times New Roman" w:hAnsi="Arial" w:cs="Arial"/>
          <w:spacing w:val="10"/>
          <w:sz w:val="21"/>
          <w:szCs w:val="21"/>
        </w:rPr>
        <w:t>oznámení o výběru dodavatele či námitky proti vyloučení dodavatele ze</w:t>
      </w:r>
      <w:r w:rsidR="00550334">
        <w:rPr>
          <w:rFonts w:ascii="Arial" w:eastAsia="Times New Roman" w:hAnsi="Arial" w:cs="Arial"/>
          <w:spacing w:val="10"/>
          <w:sz w:val="21"/>
          <w:szCs w:val="21"/>
        </w:rPr>
        <w:t> </w:t>
      </w:r>
      <w:r w:rsidRPr="007324A0">
        <w:rPr>
          <w:rFonts w:ascii="Arial" w:eastAsia="Times New Roman" w:hAnsi="Arial" w:cs="Arial"/>
          <w:spacing w:val="10"/>
          <w:sz w:val="21"/>
          <w:szCs w:val="21"/>
        </w:rPr>
        <w:t>zadávacího řízení) – nutné podat do 15 kalendářních dnů ode dne:</w:t>
      </w:r>
    </w:p>
    <w:p w14:paraId="7D9FA12E" w14:textId="77777777" w:rsidR="00E64026" w:rsidRPr="007324A0" w:rsidRDefault="00E64026" w:rsidP="007324A0">
      <w:pPr>
        <w:pStyle w:val="Odstavecseseznamem"/>
        <w:numPr>
          <w:ilvl w:val="1"/>
          <w:numId w:val="13"/>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 xml:space="preserve"> uveřejnění dokumentu, který obsahuje daný úkon zadavatele, nebo</w:t>
      </w:r>
    </w:p>
    <w:p w14:paraId="06AA497B" w14:textId="1CD756C2" w:rsidR="00E64026" w:rsidRPr="007324A0" w:rsidRDefault="00E64026" w:rsidP="007324A0">
      <w:pPr>
        <w:pStyle w:val="Odstavecseseznamem"/>
        <w:numPr>
          <w:ilvl w:val="1"/>
          <w:numId w:val="13"/>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doručení dokumentu, který obsahuje úkon zadavatele, stěžovateli.</w:t>
      </w:r>
    </w:p>
    <w:p w14:paraId="7609FADD" w14:textId="55055AAF" w:rsidR="00E64026" w:rsidRPr="007324A0" w:rsidRDefault="005C7AD1" w:rsidP="00550334">
      <w:pPr>
        <w:pStyle w:val="Odstavecseseznamem"/>
        <w:numPr>
          <w:ilvl w:val="0"/>
          <w:numId w:val="17"/>
        </w:numPr>
        <w:snapToGrid w:val="0"/>
        <w:spacing w:after="120" w:line="276" w:lineRule="auto"/>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Námitky proti podmínkám vztahujícím se ke kvalifikaci v případě stanovení lhůty pro podání žádosti o účast (uplatní se v případě vícestupňových zadávacích řízení) – nutné podat do konce lhůty pro podání žádostí o účast.</w:t>
      </w:r>
    </w:p>
    <w:p w14:paraId="2224C9E5" w14:textId="1E6E9891" w:rsidR="005C7AD1" w:rsidRPr="007324A0" w:rsidRDefault="005C7AD1" w:rsidP="00550334">
      <w:pPr>
        <w:pStyle w:val="Odstavecseseznamem"/>
        <w:numPr>
          <w:ilvl w:val="0"/>
          <w:numId w:val="17"/>
        </w:numPr>
        <w:snapToGrid w:val="0"/>
        <w:spacing w:after="120" w:line="276" w:lineRule="auto"/>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Námitky proti zadávacím podmínkám, pokud je stanovena lhůty pro podání nabídek (např. v případě otevřeného řízení) – nutné podat do konce lhůty pro</w:t>
      </w:r>
      <w:r w:rsidR="00550334">
        <w:rPr>
          <w:rFonts w:ascii="Arial" w:eastAsia="Times New Roman" w:hAnsi="Arial" w:cs="Arial"/>
          <w:spacing w:val="10"/>
          <w:sz w:val="21"/>
          <w:szCs w:val="21"/>
        </w:rPr>
        <w:t> </w:t>
      </w:r>
      <w:r w:rsidRPr="007324A0">
        <w:rPr>
          <w:rFonts w:ascii="Arial" w:eastAsia="Times New Roman" w:hAnsi="Arial" w:cs="Arial"/>
          <w:spacing w:val="10"/>
          <w:sz w:val="21"/>
          <w:szCs w:val="21"/>
        </w:rPr>
        <w:t>podání nabídek.</w:t>
      </w:r>
    </w:p>
    <w:p w14:paraId="2855D2A7" w14:textId="3E9B307B" w:rsidR="00504D23" w:rsidRPr="007324A0" w:rsidRDefault="00504D23" w:rsidP="00550334">
      <w:pPr>
        <w:pStyle w:val="Odstavecseseznamem"/>
        <w:numPr>
          <w:ilvl w:val="0"/>
          <w:numId w:val="17"/>
        </w:numPr>
        <w:snapToGrid w:val="0"/>
        <w:spacing w:after="120" w:line="276" w:lineRule="auto"/>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Námitky proti výzvě k podání nabídek v dynamickém nákupním systému – nutné podat do konce lhůty pro podání nabídek.</w:t>
      </w:r>
    </w:p>
    <w:p w14:paraId="721F02F8" w14:textId="0806E00C" w:rsidR="00504D23" w:rsidRPr="007324A0" w:rsidRDefault="00504D23" w:rsidP="00550334">
      <w:pPr>
        <w:pStyle w:val="Odstavecseseznamem"/>
        <w:numPr>
          <w:ilvl w:val="0"/>
          <w:numId w:val="17"/>
        </w:numPr>
        <w:snapToGrid w:val="0"/>
        <w:spacing w:after="120" w:line="276" w:lineRule="auto"/>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lastRenderedPageBreak/>
        <w:t>Námitky proti výzvě k podání nabídek při zadávání veřejných zakázek na</w:t>
      </w:r>
      <w:r w:rsidR="00550334">
        <w:rPr>
          <w:rFonts w:ascii="Arial" w:eastAsia="Times New Roman" w:hAnsi="Arial" w:cs="Arial"/>
          <w:spacing w:val="10"/>
          <w:sz w:val="21"/>
          <w:szCs w:val="21"/>
        </w:rPr>
        <w:t> </w:t>
      </w:r>
      <w:r w:rsidRPr="007324A0">
        <w:rPr>
          <w:rFonts w:ascii="Arial" w:eastAsia="Times New Roman" w:hAnsi="Arial" w:cs="Arial"/>
          <w:spacing w:val="10"/>
          <w:sz w:val="21"/>
          <w:szCs w:val="21"/>
        </w:rPr>
        <w:t>základě rámcové dohody – nutné podat do konce lhůty pro podání nabídek.</w:t>
      </w:r>
    </w:p>
    <w:p w14:paraId="0EF8F632" w14:textId="000F07F0" w:rsidR="005C7AD1" w:rsidRPr="007324A0" w:rsidRDefault="005C7AD1" w:rsidP="00550334">
      <w:pPr>
        <w:pStyle w:val="Odstavecseseznamem"/>
        <w:numPr>
          <w:ilvl w:val="0"/>
          <w:numId w:val="17"/>
        </w:numPr>
        <w:snapToGrid w:val="0"/>
        <w:spacing w:after="120" w:line="276" w:lineRule="auto"/>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Námitky proti dobrovolnému oznámení o záměru uzavřít smlouvu – nutné podat do 30 kalendářních dnů ode dne uveřejnění takového oznámení.</w:t>
      </w:r>
    </w:p>
    <w:p w14:paraId="4E35EC11" w14:textId="28147081" w:rsidR="00006AFA" w:rsidRPr="007324A0" w:rsidRDefault="00006AFA" w:rsidP="00550334">
      <w:pPr>
        <w:pStyle w:val="Odstavecseseznamem"/>
        <w:numPr>
          <w:ilvl w:val="0"/>
          <w:numId w:val="36"/>
        </w:numPr>
        <w:snapToGrid w:val="0"/>
        <w:spacing w:after="120" w:line="276" w:lineRule="auto"/>
        <w:contextualSpacing w:val="0"/>
        <w:jc w:val="both"/>
        <w:rPr>
          <w:rFonts w:ascii="Arial" w:eastAsia="Times New Roman" w:hAnsi="Arial" w:cs="Arial"/>
          <w:spacing w:val="10"/>
          <w:sz w:val="21"/>
          <w:szCs w:val="21"/>
          <w:u w:val="single"/>
        </w:rPr>
      </w:pPr>
      <w:r w:rsidRPr="007324A0">
        <w:rPr>
          <w:rFonts w:ascii="Arial" w:eastAsia="Times New Roman" w:hAnsi="Arial" w:cs="Arial"/>
          <w:spacing w:val="10"/>
          <w:sz w:val="21"/>
          <w:szCs w:val="21"/>
          <w:u w:val="single"/>
        </w:rPr>
        <w:t>Zkrácení lhůty pro podání námitek</w:t>
      </w:r>
    </w:p>
    <w:p w14:paraId="2E4F9DD8" w14:textId="048C0D38" w:rsidR="00006AFA" w:rsidRPr="007324A0" w:rsidRDefault="00006AFA" w:rsidP="007324A0">
      <w:pPr>
        <w:pStyle w:val="Odstavecseseznamem"/>
        <w:snapToGrid w:val="0"/>
        <w:spacing w:after="120" w:line="276" w:lineRule="auto"/>
        <w:ind w:left="360"/>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V </w:t>
      </w:r>
      <w:r w:rsidRPr="007324A0">
        <w:rPr>
          <w:rFonts w:ascii="Arial" w:hAnsi="Arial" w:cs="Arial"/>
          <w:spacing w:val="10"/>
          <w:sz w:val="21"/>
          <w:szCs w:val="21"/>
        </w:rPr>
        <w:t>případě</w:t>
      </w:r>
      <w:r w:rsidRPr="007324A0">
        <w:rPr>
          <w:rFonts w:ascii="Arial" w:eastAsia="Times New Roman" w:hAnsi="Arial" w:cs="Arial"/>
          <w:spacing w:val="10"/>
          <w:sz w:val="21"/>
          <w:szCs w:val="21"/>
        </w:rPr>
        <w:t xml:space="preserve"> námitek proti podmínkám vztahujícím se ke kvalifikaci v případě stanovení lhůty pro podání žádosti o účast a v případě námitek proti zadávacím podmínkám je možné ze strany zadavatele zkrátit lhůtu pro podání námitek, a to o 72 hodin – tzn. že námitky bude nutné podat nejpozději 72 hodin před skončením příslušné lhůty. </w:t>
      </w:r>
    </w:p>
    <w:p w14:paraId="3FAAC530" w14:textId="7CDFBC81" w:rsidR="00006AFA" w:rsidRPr="007324A0" w:rsidRDefault="00006AFA" w:rsidP="007324A0">
      <w:pPr>
        <w:pStyle w:val="Odstavecseseznamem"/>
        <w:snapToGrid w:val="0"/>
        <w:spacing w:after="120" w:line="276" w:lineRule="auto"/>
        <w:ind w:left="360"/>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 xml:space="preserve">Uvedené zkrácení musí být zadavatelem předem vyhrazeno v zadávací dokumentaci. </w:t>
      </w:r>
    </w:p>
    <w:p w14:paraId="3E72B297" w14:textId="394ACE54" w:rsidR="00006AFA" w:rsidRPr="007324A0" w:rsidRDefault="00006AFA" w:rsidP="007324A0">
      <w:pPr>
        <w:pStyle w:val="Odstavecseseznamem"/>
        <w:snapToGrid w:val="0"/>
        <w:spacing w:after="120" w:line="276" w:lineRule="auto"/>
        <w:ind w:left="360"/>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Uvedené zkrácení bude mít dopad i na lhůtu pro podání žádosti o vysvětlení zadávací dokumentace – tuto bude nutné počítat zpětně od okamžiku, do něhož je možné podat námitky.</w:t>
      </w:r>
    </w:p>
    <w:p w14:paraId="242878B0" w14:textId="6D556286" w:rsidR="00006AFA" w:rsidRPr="007324A0" w:rsidRDefault="00006AFA" w:rsidP="00550334">
      <w:pPr>
        <w:pStyle w:val="Odstavecseseznamem"/>
        <w:numPr>
          <w:ilvl w:val="0"/>
          <w:numId w:val="36"/>
        </w:numPr>
        <w:snapToGrid w:val="0"/>
        <w:spacing w:after="120" w:line="276" w:lineRule="auto"/>
        <w:contextualSpacing w:val="0"/>
        <w:jc w:val="both"/>
        <w:rPr>
          <w:rFonts w:ascii="Arial" w:eastAsia="Times New Roman" w:hAnsi="Arial" w:cs="Arial"/>
          <w:spacing w:val="10"/>
          <w:sz w:val="21"/>
          <w:szCs w:val="21"/>
          <w:u w:val="single"/>
        </w:rPr>
      </w:pPr>
      <w:r w:rsidRPr="007324A0">
        <w:rPr>
          <w:rFonts w:ascii="Arial" w:eastAsia="Times New Roman" w:hAnsi="Arial" w:cs="Arial"/>
          <w:spacing w:val="10"/>
          <w:sz w:val="21"/>
          <w:szCs w:val="21"/>
          <w:u w:val="single"/>
        </w:rPr>
        <w:t>Kontrola zadavatele po obdržení námitek</w:t>
      </w:r>
    </w:p>
    <w:p w14:paraId="1F2242A9" w14:textId="0FDC373D" w:rsidR="002D1C31" w:rsidRPr="007324A0" w:rsidRDefault="00006AFA" w:rsidP="007324A0">
      <w:pPr>
        <w:pStyle w:val="Odstavecseseznamem"/>
        <w:snapToGrid w:val="0"/>
        <w:spacing w:after="120" w:line="276" w:lineRule="auto"/>
        <w:ind w:left="360"/>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V</w:t>
      </w:r>
      <w:r w:rsidR="002D1C31" w:rsidRPr="007324A0">
        <w:rPr>
          <w:rFonts w:ascii="Arial" w:eastAsia="Times New Roman" w:hAnsi="Arial" w:cs="Arial"/>
          <w:spacing w:val="10"/>
          <w:sz w:val="21"/>
          <w:szCs w:val="21"/>
        </w:rPr>
        <w:t> případě, že zadavatel obdrží námitky, je vhodné, aby byly před jejich vypořádáním učiněny určité kroky – zadavatel by měl vždy ve vztahu k doručeným námitkách nejprve provést ověření následujících skutečností:</w:t>
      </w:r>
    </w:p>
    <w:p w14:paraId="00642357" w14:textId="77777777" w:rsidR="002D1C31" w:rsidRPr="007324A0" w:rsidRDefault="002D1C31" w:rsidP="007324A0">
      <w:pPr>
        <w:pStyle w:val="Odstavecseseznamem"/>
        <w:numPr>
          <w:ilvl w:val="0"/>
          <w:numId w:val="7"/>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zda byly námitky podány v zákonné lhůtě,</w:t>
      </w:r>
    </w:p>
    <w:p w14:paraId="1CAC8132" w14:textId="77777777" w:rsidR="002D1C31" w:rsidRPr="007324A0" w:rsidRDefault="002D1C31" w:rsidP="007324A0">
      <w:pPr>
        <w:pStyle w:val="Odstavecseseznamem"/>
        <w:numPr>
          <w:ilvl w:val="0"/>
          <w:numId w:val="7"/>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zda námitky obsahují všechny zákonné náležitosti,</w:t>
      </w:r>
    </w:p>
    <w:p w14:paraId="20E524AC" w14:textId="77777777" w:rsidR="002D1C31" w:rsidRPr="007324A0" w:rsidRDefault="002D1C31" w:rsidP="007324A0">
      <w:pPr>
        <w:pStyle w:val="Odstavecseseznamem"/>
        <w:numPr>
          <w:ilvl w:val="0"/>
          <w:numId w:val="7"/>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zda byly námitky podány oprávněnou osobou.</w:t>
      </w:r>
    </w:p>
    <w:p w14:paraId="4F318D36" w14:textId="58165C89" w:rsidR="00F556D2" w:rsidRPr="007324A0" w:rsidRDefault="002D1C31" w:rsidP="007324A0">
      <w:pPr>
        <w:pStyle w:val="Odstavecseseznamem"/>
        <w:snapToGrid w:val="0"/>
        <w:spacing w:after="120" w:line="276" w:lineRule="auto"/>
        <w:ind w:left="360"/>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Pokud bude zadavatelem při kontrole těchto podmínek zjištěno, že některá v uvedených podmínek není naplněna, má možnost přistoupit bez dalšího k odmítnutí námitek – tzn. že zadavatel není povinen se zabývat obsahem námitek a k těmto se</w:t>
      </w:r>
      <w:r w:rsidR="00622817">
        <w:rPr>
          <w:rFonts w:ascii="Arial" w:eastAsia="Times New Roman" w:hAnsi="Arial" w:cs="Arial"/>
          <w:spacing w:val="10"/>
          <w:sz w:val="21"/>
          <w:szCs w:val="21"/>
        </w:rPr>
        <w:t> </w:t>
      </w:r>
      <w:r w:rsidRPr="007324A0">
        <w:rPr>
          <w:rFonts w:ascii="Arial" w:eastAsia="Times New Roman" w:hAnsi="Arial" w:cs="Arial"/>
          <w:spacing w:val="10"/>
          <w:sz w:val="21"/>
          <w:szCs w:val="21"/>
        </w:rPr>
        <w:t>v rámci rozhodnutí o námitkách vyjadřovat.</w:t>
      </w:r>
    </w:p>
    <w:p w14:paraId="6219FA5A" w14:textId="5FEC76E8" w:rsidR="00F556D2" w:rsidRPr="007324A0" w:rsidRDefault="00F556D2" w:rsidP="007324A0">
      <w:pPr>
        <w:pStyle w:val="Odstavecseseznamem"/>
        <w:snapToGrid w:val="0"/>
        <w:spacing w:after="120" w:line="276" w:lineRule="auto"/>
        <w:ind w:left="360"/>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Pro úplnost je nutné dodat, že zadavatel není oprávněn vyzývat stěžovatele k doplnění či úpravě nebo dodatečnému upřesnění již podaných námitek. Stěžovatel má však možnost podané námitky doplnit ze své iniciativy, přičemž toto doplnění musí být učiněno ještě ve lhůtě, v níž je možné dotčené námitky podat.</w:t>
      </w:r>
    </w:p>
    <w:p w14:paraId="19A62876" w14:textId="1F5C3776" w:rsidR="00F556D2" w:rsidRPr="007324A0" w:rsidRDefault="00797568" w:rsidP="00550334">
      <w:pPr>
        <w:pStyle w:val="Odstavecseseznamem"/>
        <w:numPr>
          <w:ilvl w:val="0"/>
          <w:numId w:val="36"/>
        </w:numPr>
        <w:snapToGrid w:val="0"/>
        <w:spacing w:after="120" w:line="276" w:lineRule="auto"/>
        <w:contextualSpacing w:val="0"/>
        <w:jc w:val="both"/>
        <w:rPr>
          <w:rFonts w:ascii="Arial" w:eastAsia="Times New Roman" w:hAnsi="Arial" w:cs="Arial"/>
          <w:spacing w:val="10"/>
          <w:sz w:val="21"/>
          <w:szCs w:val="21"/>
          <w:u w:val="single"/>
        </w:rPr>
      </w:pPr>
      <w:r w:rsidRPr="007324A0">
        <w:rPr>
          <w:rFonts w:ascii="Arial" w:eastAsia="Times New Roman" w:hAnsi="Arial" w:cs="Arial"/>
          <w:spacing w:val="10"/>
          <w:sz w:val="21"/>
          <w:szCs w:val="21"/>
          <w:u w:val="single"/>
        </w:rPr>
        <w:t>Příprava rozhodnutí o námitkách</w:t>
      </w:r>
    </w:p>
    <w:p w14:paraId="77CF46BE" w14:textId="77777777" w:rsidR="00797568" w:rsidRPr="007324A0" w:rsidRDefault="00797568" w:rsidP="007324A0">
      <w:pPr>
        <w:pStyle w:val="Odstavecseseznamem"/>
        <w:snapToGrid w:val="0"/>
        <w:spacing w:after="120" w:line="276" w:lineRule="auto"/>
        <w:ind w:left="360"/>
        <w:contextualSpacing w:val="0"/>
        <w:jc w:val="both"/>
        <w:rPr>
          <w:rFonts w:ascii="Arial" w:eastAsia="Times New Roman" w:hAnsi="Arial" w:cs="Arial"/>
          <w:spacing w:val="10"/>
          <w:sz w:val="21"/>
          <w:szCs w:val="21"/>
        </w:rPr>
      </w:pPr>
      <w:r w:rsidRPr="007324A0">
        <w:rPr>
          <w:rFonts w:ascii="Arial" w:eastAsia="Times New Roman" w:hAnsi="Arial" w:cs="Arial"/>
          <w:spacing w:val="10"/>
          <w:sz w:val="21"/>
          <w:szCs w:val="21"/>
        </w:rPr>
        <w:t>Zadavatel, resp. jím pověřená osoba vypracuje rozhodnutí o námitkách o následující struktuře:</w:t>
      </w:r>
    </w:p>
    <w:p w14:paraId="65D9DDC8" w14:textId="77777777" w:rsidR="00797568" w:rsidRPr="007324A0" w:rsidRDefault="00797568" w:rsidP="007324A0">
      <w:pPr>
        <w:pStyle w:val="Odstavecseseznamem"/>
        <w:numPr>
          <w:ilvl w:val="0"/>
          <w:numId w:val="15"/>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Výrok: v něm zadavatel uvede, zda podaným námitkám vyhovuje nebo zda je odmítá (příp. částečně vyhovuje a částečně odmítá),</w:t>
      </w:r>
    </w:p>
    <w:p w14:paraId="0D41AD10" w14:textId="465D9452" w:rsidR="00797568" w:rsidRPr="007324A0" w:rsidRDefault="00797568" w:rsidP="007324A0">
      <w:pPr>
        <w:pStyle w:val="Odstavecseseznamem"/>
        <w:numPr>
          <w:ilvl w:val="0"/>
          <w:numId w:val="15"/>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Odůvodnění výroku: v něm se zadavatel musí podrobně a srozumitelně vyjádřit ke všem skutečnostem uvedeným v námitkách – výjimku představuje odmítnutí námitek z důvodů uvedených v § 245 odst. 3 ZZVZ, kdy je dostačující, pokud se zadavatel vyjádří pouze k důvodům odmítnutí námitek,</w:t>
      </w:r>
    </w:p>
    <w:p w14:paraId="27A4BAC3" w14:textId="77777777" w:rsidR="00797568" w:rsidRPr="007324A0" w:rsidRDefault="00797568" w:rsidP="007324A0">
      <w:pPr>
        <w:pStyle w:val="Odstavecseseznamem"/>
        <w:numPr>
          <w:ilvl w:val="0"/>
          <w:numId w:val="15"/>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 xml:space="preserve">Přijaté opatření k nápravě: které zadavatel v důsledku podaných námitek přijal (pozn. pokud zadavatel podané námitky odmítl, tak v rozhodnutí o námitkách bude tato část absentovat), a </w:t>
      </w:r>
    </w:p>
    <w:p w14:paraId="374B6C5B" w14:textId="3AA325A7" w:rsidR="00797568" w:rsidRPr="007324A0" w:rsidRDefault="00797568" w:rsidP="007324A0">
      <w:pPr>
        <w:pStyle w:val="Odstavecseseznamem"/>
        <w:numPr>
          <w:ilvl w:val="0"/>
          <w:numId w:val="15"/>
        </w:numPr>
        <w:snapToGrid w:val="0"/>
        <w:spacing w:after="120" w:line="276" w:lineRule="auto"/>
        <w:contextualSpacing w:val="0"/>
        <w:jc w:val="both"/>
        <w:textAlignment w:val="baseline"/>
        <w:rPr>
          <w:rFonts w:ascii="Arial" w:eastAsia="Times New Roman" w:hAnsi="Arial" w:cs="Arial"/>
          <w:b/>
          <w:bCs/>
          <w:spacing w:val="10"/>
          <w:sz w:val="21"/>
          <w:szCs w:val="21"/>
        </w:rPr>
      </w:pPr>
      <w:r w:rsidRPr="007324A0">
        <w:rPr>
          <w:rFonts w:ascii="Arial" w:eastAsia="Times New Roman" w:hAnsi="Arial" w:cs="Arial"/>
          <w:spacing w:val="10"/>
          <w:sz w:val="21"/>
          <w:szCs w:val="21"/>
        </w:rPr>
        <w:t>Poučení stěžovatele: o možnosti stěžovatele podat v zákonné lhůtě návrh u</w:t>
      </w:r>
      <w:r w:rsidR="00622817">
        <w:rPr>
          <w:rFonts w:ascii="Arial" w:eastAsia="Times New Roman" w:hAnsi="Arial" w:cs="Arial"/>
          <w:spacing w:val="10"/>
          <w:sz w:val="21"/>
          <w:szCs w:val="21"/>
        </w:rPr>
        <w:t> </w:t>
      </w:r>
      <w:r w:rsidRPr="007324A0">
        <w:rPr>
          <w:rFonts w:ascii="Arial" w:eastAsia="Times New Roman" w:hAnsi="Arial" w:cs="Arial"/>
          <w:spacing w:val="10"/>
          <w:sz w:val="21"/>
          <w:szCs w:val="21"/>
        </w:rPr>
        <w:t xml:space="preserve">Úřadu pro ochranu hospodářské soutěže a o povinnosti doručit stejnopis </w:t>
      </w:r>
      <w:r w:rsidRPr="007324A0">
        <w:rPr>
          <w:rFonts w:ascii="Arial" w:eastAsia="Times New Roman" w:hAnsi="Arial" w:cs="Arial"/>
          <w:spacing w:val="10"/>
          <w:sz w:val="21"/>
          <w:szCs w:val="21"/>
        </w:rPr>
        <w:lastRenderedPageBreak/>
        <w:t>návrhu ve stejné zákonné lhůtě zadavateli – uvedené poučení je relevantní v situaci, kdy jsou podané námitky odmítnuty (příp. jim je pouze částečně vyhověno).</w:t>
      </w:r>
    </w:p>
    <w:p w14:paraId="3835822A" w14:textId="470FED3A" w:rsidR="00797568" w:rsidRPr="00D14B78" w:rsidRDefault="00797568" w:rsidP="00550334">
      <w:pPr>
        <w:pStyle w:val="Odstavecseseznamem"/>
        <w:numPr>
          <w:ilvl w:val="0"/>
          <w:numId w:val="36"/>
        </w:numPr>
        <w:snapToGrid w:val="0"/>
        <w:spacing w:after="120" w:line="276" w:lineRule="auto"/>
        <w:contextualSpacing w:val="0"/>
        <w:jc w:val="both"/>
        <w:rPr>
          <w:rFonts w:ascii="Arial" w:eastAsia="Times New Roman" w:hAnsi="Arial" w:cs="Arial"/>
          <w:spacing w:val="10"/>
          <w:sz w:val="21"/>
          <w:szCs w:val="21"/>
          <w:u w:val="single"/>
        </w:rPr>
      </w:pPr>
      <w:r w:rsidRPr="00D14B78">
        <w:rPr>
          <w:rFonts w:ascii="Arial" w:eastAsia="Times New Roman" w:hAnsi="Arial" w:cs="Arial"/>
          <w:spacing w:val="10"/>
          <w:sz w:val="21"/>
          <w:szCs w:val="21"/>
          <w:u w:val="single"/>
        </w:rPr>
        <w:t>Odeslání rozhodnutí o námitkách</w:t>
      </w:r>
    </w:p>
    <w:p w14:paraId="542CE4E0" w14:textId="300CE892" w:rsidR="00797568" w:rsidRPr="00D14B78" w:rsidRDefault="00797568" w:rsidP="007324A0">
      <w:pPr>
        <w:snapToGrid w:val="0"/>
        <w:spacing w:after="120" w:line="276" w:lineRule="auto"/>
        <w:ind w:left="360"/>
        <w:jc w:val="both"/>
        <w:textAlignment w:val="baseline"/>
        <w:rPr>
          <w:rFonts w:ascii="Arial" w:eastAsia="Times New Roman" w:hAnsi="Arial" w:cs="Arial"/>
          <w:spacing w:val="10"/>
          <w:sz w:val="21"/>
          <w:szCs w:val="21"/>
        </w:rPr>
      </w:pPr>
      <w:r w:rsidRPr="00D14B78">
        <w:rPr>
          <w:rFonts w:ascii="Arial" w:eastAsia="Times New Roman" w:hAnsi="Arial" w:cs="Arial"/>
          <w:spacing w:val="10"/>
          <w:sz w:val="21"/>
          <w:szCs w:val="21"/>
        </w:rPr>
        <w:t>Zadavatel je povinen do 15 dnů od obdržení námitek zaslat stěžovateli rozhodnutí o</w:t>
      </w:r>
      <w:r w:rsidR="00622817" w:rsidRPr="00D14B78">
        <w:rPr>
          <w:rFonts w:ascii="Arial" w:eastAsia="Times New Roman" w:hAnsi="Arial" w:cs="Arial"/>
          <w:spacing w:val="10"/>
          <w:sz w:val="21"/>
          <w:szCs w:val="21"/>
        </w:rPr>
        <w:t> </w:t>
      </w:r>
      <w:r w:rsidRPr="00D14B78">
        <w:rPr>
          <w:rFonts w:ascii="Arial" w:eastAsia="Times New Roman" w:hAnsi="Arial" w:cs="Arial"/>
          <w:spacing w:val="10"/>
          <w:sz w:val="21"/>
          <w:szCs w:val="21"/>
        </w:rPr>
        <w:t>námitkách.</w:t>
      </w:r>
    </w:p>
    <w:p w14:paraId="06AAEF9E" w14:textId="77777777" w:rsidR="00797568" w:rsidRPr="00D14B78" w:rsidRDefault="00797568" w:rsidP="007324A0">
      <w:pPr>
        <w:snapToGrid w:val="0"/>
        <w:spacing w:after="120" w:line="276" w:lineRule="auto"/>
        <w:ind w:left="360"/>
        <w:jc w:val="both"/>
        <w:textAlignment w:val="baseline"/>
        <w:rPr>
          <w:rFonts w:ascii="Arial" w:eastAsia="Times New Roman" w:hAnsi="Arial" w:cs="Arial"/>
          <w:spacing w:val="10"/>
          <w:sz w:val="21"/>
          <w:szCs w:val="21"/>
        </w:rPr>
      </w:pPr>
      <w:r w:rsidRPr="00D14B78">
        <w:rPr>
          <w:rFonts w:ascii="Arial" w:eastAsia="Times New Roman" w:hAnsi="Arial" w:cs="Arial"/>
          <w:spacing w:val="10"/>
          <w:sz w:val="21"/>
          <w:szCs w:val="21"/>
        </w:rPr>
        <w:t xml:space="preserve">Rozhodnutí o námitkách by mělo být odesláno elektronicky, přičemž v praxi se lze nejčastěji setkat s tím, že rozhodnutí o námitkách je odesíláno přes elektronický nástroj či přes datovou schránku. </w:t>
      </w:r>
    </w:p>
    <w:p w14:paraId="2EDBD10C" w14:textId="512DE7E5" w:rsidR="00F03909" w:rsidRPr="00D14B78" w:rsidRDefault="00797568" w:rsidP="007324A0">
      <w:pPr>
        <w:snapToGrid w:val="0"/>
        <w:spacing w:after="120" w:line="276" w:lineRule="auto"/>
        <w:ind w:left="360"/>
        <w:jc w:val="both"/>
        <w:textAlignment w:val="baseline"/>
        <w:rPr>
          <w:rFonts w:ascii="Arial" w:eastAsia="Times New Roman" w:hAnsi="Arial" w:cs="Arial"/>
          <w:spacing w:val="10"/>
          <w:sz w:val="21"/>
          <w:szCs w:val="21"/>
        </w:rPr>
      </w:pPr>
      <w:r w:rsidRPr="00D14B78">
        <w:rPr>
          <w:rFonts w:ascii="Arial" w:eastAsia="Times New Roman" w:hAnsi="Arial" w:cs="Arial"/>
          <w:spacing w:val="10"/>
          <w:sz w:val="21"/>
          <w:szCs w:val="21"/>
        </w:rPr>
        <w:t>Rozhodnutí o námitkách nemusí být zadavatelem, resp. osobou oprávněnou jednat za</w:t>
      </w:r>
      <w:r w:rsidR="00622817" w:rsidRPr="00D14B78">
        <w:rPr>
          <w:rFonts w:ascii="Arial" w:eastAsia="Times New Roman" w:hAnsi="Arial" w:cs="Arial"/>
          <w:spacing w:val="10"/>
          <w:sz w:val="21"/>
          <w:szCs w:val="21"/>
        </w:rPr>
        <w:t> </w:t>
      </w:r>
      <w:r w:rsidRPr="00D14B78">
        <w:rPr>
          <w:rFonts w:ascii="Arial" w:eastAsia="Times New Roman" w:hAnsi="Arial" w:cs="Arial"/>
          <w:spacing w:val="10"/>
          <w:sz w:val="21"/>
          <w:szCs w:val="21"/>
        </w:rPr>
        <w:t>zadavatele, podepsáno, neboť v souladu s § 211 odst. 7 ZZVZ, není nutné podepisovat dokumenty, které jsou učiněny prostřednictvím elektronického nástroje či</w:t>
      </w:r>
      <w:r w:rsidR="00622817" w:rsidRPr="00D14B78">
        <w:rPr>
          <w:rFonts w:ascii="Arial" w:eastAsia="Times New Roman" w:hAnsi="Arial" w:cs="Arial"/>
          <w:spacing w:val="10"/>
          <w:sz w:val="21"/>
          <w:szCs w:val="21"/>
        </w:rPr>
        <w:t> </w:t>
      </w:r>
      <w:r w:rsidRPr="00D14B78">
        <w:rPr>
          <w:rFonts w:ascii="Arial" w:eastAsia="Times New Roman" w:hAnsi="Arial" w:cs="Arial"/>
          <w:spacing w:val="10"/>
          <w:sz w:val="21"/>
          <w:szCs w:val="21"/>
        </w:rPr>
        <w:t>datové schránky.</w:t>
      </w:r>
    </w:p>
    <w:p w14:paraId="4C883EFC" w14:textId="77777777" w:rsidR="00797568" w:rsidRPr="00D14B78" w:rsidRDefault="00797568" w:rsidP="007324A0">
      <w:pPr>
        <w:snapToGrid w:val="0"/>
        <w:spacing w:after="120" w:line="276" w:lineRule="auto"/>
        <w:ind w:left="360"/>
        <w:jc w:val="both"/>
        <w:textAlignment w:val="baseline"/>
        <w:rPr>
          <w:rFonts w:ascii="Arial" w:eastAsia="Times New Roman" w:hAnsi="Arial" w:cs="Arial"/>
          <w:spacing w:val="10"/>
          <w:sz w:val="21"/>
          <w:szCs w:val="21"/>
        </w:rPr>
      </w:pPr>
    </w:p>
    <w:p w14:paraId="54FAA6BF" w14:textId="308B2D35" w:rsidR="00F03909" w:rsidRPr="00D14B78" w:rsidRDefault="00F03909" w:rsidP="007324A0">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D14B78">
        <w:rPr>
          <w:rFonts w:ascii="Arial" w:hAnsi="Arial" w:cs="Arial"/>
          <w:b/>
          <w:bCs/>
          <w:spacing w:val="10"/>
          <w:sz w:val="21"/>
          <w:szCs w:val="21"/>
        </w:rPr>
        <w:t>Komunikace mezi zadavatelem a dodavateli</w:t>
      </w:r>
      <w:r w:rsidR="00195649" w:rsidRPr="00D14B78">
        <w:rPr>
          <w:rFonts w:ascii="Arial" w:hAnsi="Arial" w:cs="Arial"/>
          <w:b/>
          <w:bCs/>
          <w:spacing w:val="10"/>
          <w:sz w:val="21"/>
          <w:szCs w:val="21"/>
        </w:rPr>
        <w:t xml:space="preserve">, resp. </w:t>
      </w:r>
      <w:r w:rsidRPr="00D14B78">
        <w:rPr>
          <w:rFonts w:ascii="Arial" w:hAnsi="Arial" w:cs="Arial"/>
          <w:b/>
          <w:bCs/>
          <w:spacing w:val="10"/>
          <w:sz w:val="21"/>
          <w:szCs w:val="21"/>
        </w:rPr>
        <w:t>účastníky zadávacího řízení</w:t>
      </w:r>
    </w:p>
    <w:p w14:paraId="20644B1F" w14:textId="2CCB8B0D" w:rsidR="00195649" w:rsidRPr="00D14B78" w:rsidRDefault="00195649" w:rsidP="00622817">
      <w:pPr>
        <w:pStyle w:val="Odstavecseseznamem"/>
        <w:numPr>
          <w:ilvl w:val="0"/>
          <w:numId w:val="37"/>
        </w:numPr>
        <w:snapToGrid w:val="0"/>
        <w:spacing w:after="120" w:line="276" w:lineRule="auto"/>
        <w:contextualSpacing w:val="0"/>
        <w:jc w:val="both"/>
        <w:rPr>
          <w:rFonts w:ascii="Arial" w:hAnsi="Arial" w:cs="Arial"/>
          <w:spacing w:val="10"/>
          <w:sz w:val="21"/>
          <w:szCs w:val="21"/>
          <w:u w:val="single"/>
        </w:rPr>
      </w:pPr>
      <w:r w:rsidRPr="00D14B78">
        <w:rPr>
          <w:rFonts w:ascii="Arial" w:eastAsia="Times New Roman" w:hAnsi="Arial" w:cs="Arial"/>
          <w:spacing w:val="10"/>
          <w:sz w:val="21"/>
          <w:szCs w:val="21"/>
          <w:u w:val="single"/>
        </w:rPr>
        <w:t>Komunikace</w:t>
      </w:r>
      <w:r w:rsidRPr="00D14B78">
        <w:rPr>
          <w:rFonts w:ascii="Arial" w:hAnsi="Arial" w:cs="Arial"/>
          <w:spacing w:val="10"/>
          <w:sz w:val="21"/>
          <w:szCs w:val="21"/>
          <w:u w:val="single"/>
        </w:rPr>
        <w:t xml:space="preserve"> během lhůty pro podání nabídek / žádostí o účast</w:t>
      </w:r>
    </w:p>
    <w:p w14:paraId="7390D451" w14:textId="2DFE3FC5" w:rsidR="00195649" w:rsidRPr="007324A0" w:rsidRDefault="00195649" w:rsidP="00622817">
      <w:pPr>
        <w:snapToGrid w:val="0"/>
        <w:spacing w:after="120" w:line="276" w:lineRule="auto"/>
        <w:ind w:left="360"/>
        <w:jc w:val="both"/>
        <w:textAlignment w:val="baseline"/>
        <w:rPr>
          <w:rFonts w:ascii="Arial" w:hAnsi="Arial" w:cs="Arial"/>
          <w:spacing w:val="10"/>
          <w:sz w:val="21"/>
          <w:szCs w:val="21"/>
        </w:rPr>
      </w:pPr>
      <w:r w:rsidRPr="00D14B78">
        <w:rPr>
          <w:rFonts w:ascii="Arial" w:hAnsi="Arial" w:cs="Arial"/>
          <w:spacing w:val="10"/>
          <w:sz w:val="21"/>
          <w:szCs w:val="21"/>
        </w:rPr>
        <w:t>Během lhůty pro podání nabídek</w:t>
      </w:r>
      <w:r w:rsidR="007B2608" w:rsidRPr="00D14B78">
        <w:rPr>
          <w:rFonts w:ascii="Arial" w:hAnsi="Arial" w:cs="Arial"/>
          <w:spacing w:val="10"/>
          <w:sz w:val="21"/>
          <w:szCs w:val="21"/>
        </w:rPr>
        <w:t xml:space="preserve"> / </w:t>
      </w:r>
      <w:r w:rsidR="008200BD" w:rsidRPr="00D14B78">
        <w:rPr>
          <w:rFonts w:ascii="Arial" w:hAnsi="Arial" w:cs="Arial"/>
          <w:spacing w:val="10"/>
          <w:sz w:val="21"/>
          <w:szCs w:val="21"/>
        </w:rPr>
        <w:t>žádostí o účast</w:t>
      </w:r>
      <w:r w:rsidRPr="00D14B78">
        <w:rPr>
          <w:rFonts w:ascii="Arial" w:hAnsi="Arial" w:cs="Arial"/>
          <w:spacing w:val="10"/>
          <w:sz w:val="21"/>
          <w:szCs w:val="21"/>
        </w:rPr>
        <w:t xml:space="preserve"> zadavatel komunikuje s dodavateli, kteří uvažují o účasti v zadávacím řízení. Tato komunikace by měla probíhat vždy písemně</w:t>
      </w:r>
      <w:r w:rsidR="00C2242D" w:rsidRPr="00D14B78">
        <w:rPr>
          <w:rFonts w:ascii="Arial" w:hAnsi="Arial" w:cs="Arial"/>
          <w:spacing w:val="10"/>
          <w:sz w:val="21"/>
          <w:szCs w:val="21"/>
        </w:rPr>
        <w:t xml:space="preserve"> – </w:t>
      </w:r>
      <w:r w:rsidR="00C2242D" w:rsidRPr="00D14B78">
        <w:rPr>
          <w:rFonts w:ascii="Arial" w:eastAsia="Times New Roman" w:hAnsi="Arial" w:cs="Arial"/>
          <w:spacing w:val="10"/>
          <w:sz w:val="21"/>
          <w:szCs w:val="21"/>
        </w:rPr>
        <w:t>nejčastěji</w:t>
      </w:r>
      <w:r w:rsidR="00C2242D" w:rsidRPr="00D14B78">
        <w:rPr>
          <w:rFonts w:ascii="Arial" w:hAnsi="Arial" w:cs="Arial"/>
          <w:spacing w:val="10"/>
          <w:sz w:val="21"/>
          <w:szCs w:val="21"/>
        </w:rPr>
        <w:t xml:space="preserve"> prostřednictvím elektronického nástroje, e-mailu, příp. datové schránky</w:t>
      </w:r>
      <w:r w:rsidRPr="00D14B78">
        <w:rPr>
          <w:rFonts w:ascii="Arial" w:hAnsi="Arial" w:cs="Arial"/>
          <w:spacing w:val="10"/>
          <w:sz w:val="21"/>
          <w:szCs w:val="21"/>
        </w:rPr>
        <w:t>; ústní komunikace přichází v úvahu</w:t>
      </w:r>
      <w:r w:rsidRPr="007324A0">
        <w:rPr>
          <w:rFonts w:ascii="Arial" w:hAnsi="Arial" w:cs="Arial"/>
          <w:spacing w:val="10"/>
          <w:sz w:val="21"/>
          <w:szCs w:val="21"/>
        </w:rPr>
        <w:t xml:space="preserve"> např. </w:t>
      </w:r>
      <w:r w:rsidR="00950695" w:rsidRPr="007324A0">
        <w:rPr>
          <w:rFonts w:ascii="Arial" w:hAnsi="Arial" w:cs="Arial"/>
          <w:spacing w:val="10"/>
          <w:sz w:val="21"/>
          <w:szCs w:val="21"/>
        </w:rPr>
        <w:t xml:space="preserve">jen </w:t>
      </w:r>
      <w:r w:rsidRPr="007324A0">
        <w:rPr>
          <w:rFonts w:ascii="Arial" w:hAnsi="Arial" w:cs="Arial"/>
          <w:spacing w:val="10"/>
          <w:sz w:val="21"/>
          <w:szCs w:val="21"/>
        </w:rPr>
        <w:t>při prohlídce místa plnění.</w:t>
      </w:r>
    </w:p>
    <w:p w14:paraId="081246EB" w14:textId="0FDBFEA4" w:rsidR="00195649" w:rsidRPr="007324A0" w:rsidRDefault="00195649"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Pokud dodavatel považuje za potřebné se dotázat zadavatele na zadávací podmínku a její výklad, resp. její vysvětlení, je </w:t>
      </w:r>
      <w:r w:rsidR="00655481" w:rsidRPr="007324A0">
        <w:rPr>
          <w:rFonts w:ascii="Arial" w:hAnsi="Arial" w:cs="Arial"/>
          <w:spacing w:val="10"/>
          <w:sz w:val="21"/>
          <w:szCs w:val="21"/>
        </w:rPr>
        <w:t>nutné</w:t>
      </w:r>
      <w:r w:rsidRPr="007324A0">
        <w:rPr>
          <w:rFonts w:ascii="Arial" w:hAnsi="Arial" w:cs="Arial"/>
          <w:spacing w:val="10"/>
          <w:sz w:val="21"/>
          <w:szCs w:val="21"/>
        </w:rPr>
        <w:t xml:space="preserve"> takový dotaz vznést v rámci žádosti o</w:t>
      </w:r>
      <w:r w:rsidR="007B2608">
        <w:rPr>
          <w:rFonts w:ascii="Arial" w:hAnsi="Arial" w:cs="Arial"/>
          <w:spacing w:val="10"/>
          <w:sz w:val="21"/>
          <w:szCs w:val="21"/>
        </w:rPr>
        <w:t> </w:t>
      </w:r>
      <w:r w:rsidRPr="007324A0">
        <w:rPr>
          <w:rFonts w:ascii="Arial" w:hAnsi="Arial" w:cs="Arial"/>
          <w:spacing w:val="10"/>
          <w:sz w:val="21"/>
          <w:szCs w:val="21"/>
        </w:rPr>
        <w:t>vysvětlení zadávací dokumentace</w:t>
      </w:r>
      <w:r w:rsidR="00655481" w:rsidRPr="007324A0">
        <w:rPr>
          <w:rFonts w:ascii="Arial" w:hAnsi="Arial" w:cs="Arial"/>
          <w:spacing w:val="10"/>
          <w:sz w:val="21"/>
          <w:szCs w:val="21"/>
        </w:rPr>
        <w:t>, kter</w:t>
      </w:r>
      <w:r w:rsidR="007B2608">
        <w:rPr>
          <w:rFonts w:ascii="Arial" w:hAnsi="Arial" w:cs="Arial"/>
          <w:spacing w:val="10"/>
          <w:sz w:val="21"/>
          <w:szCs w:val="21"/>
        </w:rPr>
        <w:t>á</w:t>
      </w:r>
      <w:r w:rsidR="00655481" w:rsidRPr="007324A0">
        <w:rPr>
          <w:rFonts w:ascii="Arial" w:hAnsi="Arial" w:cs="Arial"/>
          <w:spacing w:val="10"/>
          <w:sz w:val="21"/>
          <w:szCs w:val="21"/>
        </w:rPr>
        <w:t xml:space="preserve"> je učiněna vůči zadavateli písemně</w:t>
      </w:r>
      <w:r w:rsidRPr="007324A0">
        <w:rPr>
          <w:rFonts w:ascii="Arial" w:hAnsi="Arial" w:cs="Arial"/>
          <w:spacing w:val="10"/>
          <w:sz w:val="21"/>
          <w:szCs w:val="21"/>
        </w:rPr>
        <w:t xml:space="preserve">. Na tuto žádost je zadavatel povinen reagovat v zákonné lhůtě, a to tak, že odpověď uveřejní na profilu zadavatele – tímto postupem </w:t>
      </w:r>
      <w:r w:rsidR="00C2242D" w:rsidRPr="007324A0">
        <w:rPr>
          <w:rFonts w:ascii="Arial" w:hAnsi="Arial" w:cs="Arial"/>
          <w:spacing w:val="10"/>
          <w:sz w:val="21"/>
          <w:szCs w:val="21"/>
        </w:rPr>
        <w:t xml:space="preserve">bude zajištěno, že k odpovědi budou </w:t>
      </w:r>
      <w:r w:rsidRPr="007324A0">
        <w:rPr>
          <w:rFonts w:ascii="Arial" w:hAnsi="Arial" w:cs="Arial"/>
          <w:spacing w:val="10"/>
          <w:sz w:val="21"/>
          <w:szCs w:val="21"/>
        </w:rPr>
        <w:t xml:space="preserve">mít přístup i ostatní dodavatelé uvažující o účasti v dotčeném zadávacím řízení. </w:t>
      </w:r>
      <w:r w:rsidR="00C2242D" w:rsidRPr="007324A0">
        <w:rPr>
          <w:rFonts w:ascii="Arial" w:hAnsi="Arial" w:cs="Arial"/>
          <w:spacing w:val="10"/>
          <w:sz w:val="21"/>
          <w:szCs w:val="21"/>
        </w:rPr>
        <w:t xml:space="preserve">Tento postup </w:t>
      </w:r>
      <w:r w:rsidR="00655481" w:rsidRPr="007324A0">
        <w:rPr>
          <w:rFonts w:ascii="Arial" w:hAnsi="Arial" w:cs="Arial"/>
          <w:spacing w:val="10"/>
          <w:sz w:val="21"/>
          <w:szCs w:val="21"/>
        </w:rPr>
        <w:t xml:space="preserve">současně </w:t>
      </w:r>
      <w:r w:rsidR="00C2242D" w:rsidRPr="007324A0">
        <w:rPr>
          <w:rFonts w:ascii="Arial" w:hAnsi="Arial" w:cs="Arial"/>
          <w:spacing w:val="10"/>
          <w:sz w:val="21"/>
          <w:szCs w:val="21"/>
        </w:rPr>
        <w:t>zajistí, že všichni dodavatelé uvažující o účasti v zadávacím řízení budou mít totožné informace a žádný z nich nebude informačně zvýhodněn.</w:t>
      </w:r>
    </w:p>
    <w:p w14:paraId="6635520B" w14:textId="677DD66D" w:rsidR="004005CB" w:rsidRPr="007324A0" w:rsidRDefault="00C2242D"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Pokud by se dodavatel dotazoval zadavatele (konkrétního zaměstnance zadavatele) na zadávací podmínku a </w:t>
      </w:r>
      <w:r w:rsidR="007B2608">
        <w:rPr>
          <w:rFonts w:ascii="Arial" w:hAnsi="Arial" w:cs="Arial"/>
          <w:spacing w:val="10"/>
          <w:sz w:val="21"/>
          <w:szCs w:val="21"/>
        </w:rPr>
        <w:t xml:space="preserve">na </w:t>
      </w:r>
      <w:r w:rsidRPr="007324A0">
        <w:rPr>
          <w:rFonts w:ascii="Arial" w:hAnsi="Arial" w:cs="Arial"/>
          <w:spacing w:val="10"/>
          <w:sz w:val="21"/>
          <w:szCs w:val="21"/>
        </w:rPr>
        <w:t xml:space="preserve">její vysvětlení formou telefonátu, zadavatel nesmí dodavateli poskytnout tímto způsobem žádnou odpověď. </w:t>
      </w:r>
      <w:r w:rsidR="007B2608">
        <w:rPr>
          <w:rFonts w:ascii="Arial" w:hAnsi="Arial" w:cs="Arial"/>
          <w:spacing w:val="10"/>
          <w:sz w:val="21"/>
          <w:szCs w:val="21"/>
        </w:rPr>
        <w:t xml:space="preserve">Poskytnutím informace tímto způsobem </w:t>
      </w:r>
      <w:r w:rsidRPr="007324A0">
        <w:rPr>
          <w:rFonts w:ascii="Arial" w:hAnsi="Arial" w:cs="Arial"/>
          <w:spacing w:val="10"/>
          <w:sz w:val="21"/>
          <w:szCs w:val="21"/>
        </w:rPr>
        <w:t xml:space="preserve">by </w:t>
      </w:r>
      <w:r w:rsidR="007B2608">
        <w:rPr>
          <w:rFonts w:ascii="Arial" w:hAnsi="Arial" w:cs="Arial"/>
          <w:spacing w:val="10"/>
          <w:sz w:val="21"/>
          <w:szCs w:val="21"/>
        </w:rPr>
        <w:t>zadavatel d</w:t>
      </w:r>
      <w:r w:rsidRPr="007324A0">
        <w:rPr>
          <w:rFonts w:ascii="Arial" w:hAnsi="Arial" w:cs="Arial"/>
          <w:spacing w:val="10"/>
          <w:sz w:val="21"/>
          <w:szCs w:val="21"/>
        </w:rPr>
        <w:t xml:space="preserve">aného dodavatele informačně zvýhodnil oproti ostatním dodavatelům, což je nepřípustné. Zadavatel, resp. jeho konkrétní zaměstnanec, by měl </w:t>
      </w:r>
      <w:r w:rsidR="004005CB" w:rsidRPr="007324A0">
        <w:rPr>
          <w:rFonts w:ascii="Arial" w:hAnsi="Arial" w:cs="Arial"/>
          <w:spacing w:val="10"/>
          <w:sz w:val="21"/>
          <w:szCs w:val="21"/>
        </w:rPr>
        <w:t xml:space="preserve">v </w:t>
      </w:r>
      <w:r w:rsidRPr="007324A0">
        <w:rPr>
          <w:rFonts w:ascii="Arial" w:hAnsi="Arial" w:cs="Arial"/>
          <w:spacing w:val="10"/>
          <w:sz w:val="21"/>
          <w:szCs w:val="21"/>
        </w:rPr>
        <w:t xml:space="preserve">takové situaci dodavateli sdělit, že pokud požaduje vysvětlit zadávací podmínku, musí to učinit formalizovaným postupem a </w:t>
      </w:r>
      <w:r w:rsidR="004005CB" w:rsidRPr="007324A0">
        <w:rPr>
          <w:rFonts w:ascii="Arial" w:hAnsi="Arial" w:cs="Arial"/>
          <w:spacing w:val="10"/>
          <w:sz w:val="21"/>
          <w:szCs w:val="21"/>
        </w:rPr>
        <w:t>poslat zadavateli</w:t>
      </w:r>
      <w:r w:rsidRPr="007324A0">
        <w:rPr>
          <w:rFonts w:ascii="Arial" w:hAnsi="Arial" w:cs="Arial"/>
          <w:spacing w:val="10"/>
          <w:sz w:val="21"/>
          <w:szCs w:val="21"/>
        </w:rPr>
        <w:t xml:space="preserve"> písemnou žádost o</w:t>
      </w:r>
      <w:r w:rsidR="007B2608">
        <w:rPr>
          <w:rFonts w:ascii="Arial" w:hAnsi="Arial" w:cs="Arial"/>
          <w:spacing w:val="10"/>
          <w:sz w:val="21"/>
          <w:szCs w:val="21"/>
        </w:rPr>
        <w:t> </w:t>
      </w:r>
      <w:r w:rsidRPr="007324A0">
        <w:rPr>
          <w:rFonts w:ascii="Arial" w:hAnsi="Arial" w:cs="Arial"/>
          <w:spacing w:val="10"/>
          <w:sz w:val="21"/>
          <w:szCs w:val="21"/>
        </w:rPr>
        <w:t xml:space="preserve">vysvětlení zadávací dokumentace. </w:t>
      </w:r>
    </w:p>
    <w:p w14:paraId="0B23CB2E" w14:textId="483ECE20" w:rsidR="00C2242D" w:rsidRPr="007324A0" w:rsidRDefault="00C2242D"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V rámci telefonátu je možné dodavateli sdělovat pouze informace, které ho nemohou v zadávacím řízení nijak informačně zvýhodnit.</w:t>
      </w:r>
      <w:r w:rsidR="004005CB" w:rsidRPr="007324A0">
        <w:rPr>
          <w:rFonts w:ascii="Arial" w:hAnsi="Arial" w:cs="Arial"/>
          <w:spacing w:val="10"/>
          <w:sz w:val="21"/>
          <w:szCs w:val="21"/>
        </w:rPr>
        <w:t xml:space="preserve"> Pokud si zaměstnanec zadavatele není jist, je vhodné dodavatele odkázat na formalizovaný postup, tj. na písemné podání žádosti o vysvětlení zadávací dokumentace.</w:t>
      </w:r>
    </w:p>
    <w:p w14:paraId="215F1B1B" w14:textId="06436DF5" w:rsidR="007B2608" w:rsidRPr="007B2608" w:rsidRDefault="007B2608" w:rsidP="007324A0">
      <w:pPr>
        <w:snapToGrid w:val="0"/>
        <w:spacing w:after="120" w:line="276" w:lineRule="auto"/>
        <w:ind w:left="360"/>
        <w:jc w:val="both"/>
        <w:rPr>
          <w:rFonts w:ascii="Arial" w:hAnsi="Arial" w:cs="Arial"/>
          <w:spacing w:val="10"/>
          <w:sz w:val="21"/>
          <w:szCs w:val="21"/>
          <w:u w:val="single"/>
        </w:rPr>
      </w:pPr>
      <w:r w:rsidRPr="005D59F5">
        <w:rPr>
          <w:rFonts w:ascii="Arial" w:hAnsi="Arial" w:cs="Arial"/>
          <w:spacing w:val="10"/>
          <w:sz w:val="21"/>
          <w:szCs w:val="21"/>
          <w:u w:val="single"/>
        </w:rPr>
        <w:t>Komunikace při prohlídce místa plnění</w:t>
      </w:r>
    </w:p>
    <w:p w14:paraId="01010ECA" w14:textId="61980E07" w:rsidR="008451C5" w:rsidRPr="007324A0" w:rsidRDefault="008451C5" w:rsidP="007324A0">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Pokud jde o komunikaci v průběhu prohlídky místa plnění, tak </w:t>
      </w:r>
      <w:r w:rsidRPr="007324A0">
        <w:rPr>
          <w:rFonts w:ascii="Arial" w:eastAsia="Times New Roman" w:hAnsi="Arial" w:cs="Arial"/>
          <w:spacing w:val="10"/>
          <w:sz w:val="21"/>
          <w:szCs w:val="21"/>
        </w:rPr>
        <w:t>zadavatel (resp. jeho zaměstnanec) není oprávněn:</w:t>
      </w:r>
    </w:p>
    <w:p w14:paraId="20A10844" w14:textId="77777777" w:rsidR="008451C5" w:rsidRPr="007324A0" w:rsidRDefault="008451C5" w:rsidP="007324A0">
      <w:pPr>
        <w:pStyle w:val="Odstavecseseznamem"/>
        <w:numPr>
          <w:ilvl w:val="0"/>
          <w:numId w:val="6"/>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sdělovat účastníkům prohlídky místa plnění zcela nové informace,</w:t>
      </w:r>
    </w:p>
    <w:p w14:paraId="5CC6EAF9" w14:textId="77777777" w:rsidR="008451C5" w:rsidRPr="007324A0" w:rsidRDefault="008451C5" w:rsidP="007324A0">
      <w:pPr>
        <w:pStyle w:val="Odstavecseseznamem"/>
        <w:numPr>
          <w:ilvl w:val="0"/>
          <w:numId w:val="6"/>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lastRenderedPageBreak/>
        <w:t>upřesňovat informace vyplývající ze zadávacích podmínek veřejné zakázky,</w:t>
      </w:r>
    </w:p>
    <w:p w14:paraId="563148BB" w14:textId="77777777" w:rsidR="008451C5" w:rsidRPr="007324A0" w:rsidRDefault="008451C5" w:rsidP="007324A0">
      <w:pPr>
        <w:pStyle w:val="Odstavecseseznamem"/>
        <w:numPr>
          <w:ilvl w:val="0"/>
          <w:numId w:val="6"/>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 xml:space="preserve">sdělovat pochybnosti ohledně zadávacích podmínek a uvádět je na pravou míru. </w:t>
      </w:r>
    </w:p>
    <w:p w14:paraId="523BD9FD" w14:textId="59FE5769" w:rsidR="008451C5" w:rsidRPr="007324A0" w:rsidRDefault="008451C5" w:rsidP="007B2608">
      <w:pPr>
        <w:snapToGrid w:val="0"/>
        <w:spacing w:after="120" w:line="276" w:lineRule="auto"/>
        <w:ind w:left="360"/>
        <w:jc w:val="both"/>
        <w:rPr>
          <w:rFonts w:ascii="Arial" w:eastAsia="Times New Roman" w:hAnsi="Arial" w:cs="Arial"/>
          <w:spacing w:val="10"/>
          <w:sz w:val="21"/>
          <w:szCs w:val="21"/>
        </w:rPr>
      </w:pPr>
      <w:r w:rsidRPr="007B2608">
        <w:rPr>
          <w:rFonts w:ascii="Arial" w:hAnsi="Arial" w:cs="Arial"/>
          <w:spacing w:val="10"/>
          <w:sz w:val="21"/>
          <w:szCs w:val="21"/>
        </w:rPr>
        <w:t>Pokud</w:t>
      </w:r>
      <w:r w:rsidRPr="007324A0">
        <w:rPr>
          <w:rFonts w:ascii="Arial" w:eastAsia="Times New Roman" w:hAnsi="Arial" w:cs="Arial"/>
          <w:spacing w:val="10"/>
          <w:sz w:val="21"/>
          <w:szCs w:val="21"/>
        </w:rPr>
        <w:t xml:space="preserve"> zadavatel považuje za potřebné sdělit dodavatelům nějaké nové informace či již poskytnuté informace upřesnit či uvést na pravou míru, je potřebné toto učinit vůči všem dodavatelům (tedy i těm, kteří se prohlídky místa plnění neúčastní) – jako nejvhodnější se jeví učinit vysvětlení zadávací dokumentace, které bude zpřístupněné všem dodavatelům na profilu zadavatele. Obdobný postup se uplatní i v případě dotazů, které</w:t>
      </w:r>
      <w:r w:rsidR="007B2608">
        <w:rPr>
          <w:rFonts w:ascii="Arial" w:eastAsia="Times New Roman" w:hAnsi="Arial" w:cs="Arial"/>
          <w:spacing w:val="10"/>
          <w:sz w:val="21"/>
          <w:szCs w:val="21"/>
        </w:rPr>
        <w:t> </w:t>
      </w:r>
      <w:r w:rsidRPr="007324A0">
        <w:rPr>
          <w:rFonts w:ascii="Arial" w:eastAsia="Times New Roman" w:hAnsi="Arial" w:cs="Arial"/>
          <w:spacing w:val="10"/>
          <w:sz w:val="21"/>
          <w:szCs w:val="21"/>
        </w:rPr>
        <w:t>budou vznášeny ze strany dodavatelů v průběhu prohlídky místa plnění – pokud bude účastník prohlídky místa plnění požadovat informace, které by jej mohly zvýhodnit (oproti těm, kdo se prohlídky místa plnění neúčastní), je zadavatel povinen na položený dotaz neodpovídat a požádat dodavatele o zaslání dotazu v rámci žádosti o vysvětlení zadávací dokumentace.</w:t>
      </w:r>
    </w:p>
    <w:p w14:paraId="4742701B" w14:textId="6F3AB4FB" w:rsidR="00195649" w:rsidRPr="007324A0" w:rsidRDefault="00195649" w:rsidP="00622817">
      <w:pPr>
        <w:pStyle w:val="Odstavecseseznamem"/>
        <w:numPr>
          <w:ilvl w:val="0"/>
          <w:numId w:val="37"/>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Komunikace po uplynutí lhůty pro podání nabídek / žádostí o účast</w:t>
      </w:r>
    </w:p>
    <w:p w14:paraId="07512694" w14:textId="33D17DC7" w:rsidR="008200BD" w:rsidRPr="007324A0" w:rsidRDefault="008200BD" w:rsidP="007B260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 uplynutí lhůty pro podání nabídek / žádostí o účast zadavatel komunikuje s účastníky zadávacího řízení (tj. s dodavateli, kteří podali do zadávacího řízení nabídku). Tato komunikace by měla probíhat vždy písemně – nejčastěji prostřednictvím elektronického nástroje, e-mailu, příp. datové schránky; ústní komunikace přichází v úvahu např. při jednání s účastníky zadávacího řízení (tj.</w:t>
      </w:r>
      <w:r w:rsidR="007B2608">
        <w:rPr>
          <w:rFonts w:ascii="Arial" w:hAnsi="Arial" w:cs="Arial"/>
          <w:spacing w:val="10"/>
          <w:sz w:val="21"/>
          <w:szCs w:val="21"/>
        </w:rPr>
        <w:t> </w:t>
      </w:r>
      <w:r w:rsidRPr="007324A0">
        <w:rPr>
          <w:rFonts w:ascii="Arial" w:hAnsi="Arial" w:cs="Arial"/>
          <w:spacing w:val="10"/>
          <w:sz w:val="21"/>
          <w:szCs w:val="21"/>
        </w:rPr>
        <w:t>pokud je zvolen druh zadávacího řízení, který počítá s jednací fází), pohovorech s účastníky zadávacího řízení (pokud jsou pohovory vyžadovány např. pro účely hodnocení).</w:t>
      </w:r>
    </w:p>
    <w:p w14:paraId="0C66FF29" w14:textId="2D1B0CBF" w:rsidR="001636FD" w:rsidRPr="007324A0" w:rsidRDefault="001636FD" w:rsidP="007B260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 podání nabídek</w:t>
      </w:r>
      <w:r w:rsidR="007B2608">
        <w:rPr>
          <w:rFonts w:ascii="Arial" w:hAnsi="Arial" w:cs="Arial"/>
          <w:spacing w:val="10"/>
          <w:sz w:val="21"/>
          <w:szCs w:val="21"/>
        </w:rPr>
        <w:t xml:space="preserve"> / žádostí o účast</w:t>
      </w:r>
      <w:r w:rsidRPr="007324A0">
        <w:rPr>
          <w:rFonts w:ascii="Arial" w:hAnsi="Arial" w:cs="Arial"/>
          <w:spacing w:val="10"/>
          <w:sz w:val="21"/>
          <w:szCs w:val="21"/>
        </w:rPr>
        <w:t xml:space="preserve"> se lze setkat s dotazy formou telefonátů, které</w:t>
      </w:r>
      <w:r w:rsidR="007B2608">
        <w:rPr>
          <w:rFonts w:ascii="Arial" w:hAnsi="Arial" w:cs="Arial"/>
          <w:spacing w:val="10"/>
          <w:sz w:val="21"/>
          <w:szCs w:val="21"/>
        </w:rPr>
        <w:t> </w:t>
      </w:r>
      <w:r w:rsidRPr="007324A0">
        <w:rPr>
          <w:rFonts w:ascii="Arial" w:hAnsi="Arial" w:cs="Arial"/>
          <w:spacing w:val="10"/>
          <w:sz w:val="21"/>
          <w:szCs w:val="21"/>
        </w:rPr>
        <w:t>směřují na další průběh zadávacího řízení. V takových případech by neměl zadavatel sdělovat účastníkovi zadávacího řízení detaily, měl by sdělovat pouze obecné informace (např. že stále probíhá hodnocení či posouzení nabídek, informace o vybraném dodavateli bude písemně odeslána všem účastníkům zadávacího řízení v následujících týdnech apod.).</w:t>
      </w:r>
    </w:p>
    <w:p w14:paraId="0489A369" w14:textId="6DC275FF" w:rsidR="00162648" w:rsidRPr="007324A0" w:rsidRDefault="00162648" w:rsidP="007B260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Po podání žádostí o účast </w:t>
      </w:r>
      <w:r w:rsidR="005D17B3" w:rsidRPr="007324A0">
        <w:rPr>
          <w:rFonts w:ascii="Arial" w:hAnsi="Arial" w:cs="Arial"/>
          <w:spacing w:val="10"/>
          <w:sz w:val="21"/>
          <w:szCs w:val="21"/>
        </w:rPr>
        <w:t>je nutné postupovat jako v případě, který je popsán pod</w:t>
      </w:r>
      <w:r w:rsidR="00C47F6C">
        <w:rPr>
          <w:rFonts w:ascii="Arial" w:hAnsi="Arial" w:cs="Arial"/>
          <w:spacing w:val="10"/>
          <w:sz w:val="21"/>
          <w:szCs w:val="21"/>
        </w:rPr>
        <w:t> </w:t>
      </w:r>
      <w:r w:rsidR="005D17B3" w:rsidRPr="007324A0">
        <w:rPr>
          <w:rFonts w:ascii="Arial" w:hAnsi="Arial" w:cs="Arial"/>
          <w:spacing w:val="10"/>
          <w:sz w:val="21"/>
          <w:szCs w:val="21"/>
        </w:rPr>
        <w:t>písm. a) výše. Zadávací řízení totiž ještě není ukončeno a poskytnutí nevhodné informace může negativně ovlivnit další fázi zadávacího řízení (tj. fázi jednací a/nebo fázi podávání předběžných či finálních nabídek</w:t>
      </w:r>
      <w:r w:rsidR="00C47F6C">
        <w:rPr>
          <w:rFonts w:ascii="Arial" w:hAnsi="Arial" w:cs="Arial"/>
          <w:spacing w:val="10"/>
          <w:sz w:val="21"/>
          <w:szCs w:val="21"/>
        </w:rPr>
        <w:t>)</w:t>
      </w:r>
      <w:r w:rsidR="005D17B3" w:rsidRPr="007324A0">
        <w:rPr>
          <w:rFonts w:ascii="Arial" w:hAnsi="Arial" w:cs="Arial"/>
          <w:spacing w:val="10"/>
          <w:sz w:val="21"/>
          <w:szCs w:val="21"/>
        </w:rPr>
        <w:t>.</w:t>
      </w:r>
    </w:p>
    <w:p w14:paraId="74C5A75E" w14:textId="2A6F5BEE" w:rsidR="00195649" w:rsidRPr="007324A0" w:rsidRDefault="00195649" w:rsidP="00622817">
      <w:pPr>
        <w:pStyle w:val="Odstavecseseznamem"/>
        <w:numPr>
          <w:ilvl w:val="0"/>
          <w:numId w:val="37"/>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spacing w:val="10"/>
          <w:sz w:val="21"/>
          <w:szCs w:val="21"/>
          <w:u w:val="single"/>
        </w:rPr>
        <w:t>Komunikace po uzavření smluvního vztahu</w:t>
      </w:r>
    </w:p>
    <w:p w14:paraId="2F0032C5" w14:textId="77777777" w:rsidR="00C47F6C" w:rsidRDefault="005D17B3" w:rsidP="007B260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Uzavřením smluvního vztahu je zadávací řízení ukončeno, přičemž na smluvní vztah a jeho fungování ZZVZ již nedopadá. </w:t>
      </w:r>
    </w:p>
    <w:p w14:paraId="532EBC25" w14:textId="1D5BB014" w:rsidR="00F03909" w:rsidRPr="00D14B78" w:rsidRDefault="005D17B3" w:rsidP="007B260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 uzavření smluvního vztahu může probíhat komunikace mezi zadavatelem a</w:t>
      </w:r>
      <w:r w:rsidR="00C47F6C">
        <w:rPr>
          <w:rFonts w:ascii="Arial" w:hAnsi="Arial" w:cs="Arial"/>
          <w:spacing w:val="10"/>
          <w:sz w:val="21"/>
          <w:szCs w:val="21"/>
        </w:rPr>
        <w:t> </w:t>
      </w:r>
      <w:r w:rsidRPr="00D14B78">
        <w:rPr>
          <w:rFonts w:ascii="Arial" w:hAnsi="Arial" w:cs="Arial"/>
          <w:spacing w:val="10"/>
          <w:sz w:val="21"/>
          <w:szCs w:val="21"/>
        </w:rPr>
        <w:t>vybraným dodavatelem bez omezení – je však potřebné respektovat smlouvu, pokud se tato ke komunikaci vyjadřuje.</w:t>
      </w:r>
    </w:p>
    <w:p w14:paraId="7E817BDE" w14:textId="77777777" w:rsidR="005D17B3" w:rsidRPr="00D14B78" w:rsidRDefault="005D17B3" w:rsidP="007324A0">
      <w:pPr>
        <w:snapToGrid w:val="0"/>
        <w:spacing w:after="120" w:line="276" w:lineRule="auto"/>
        <w:ind w:left="360"/>
        <w:jc w:val="both"/>
        <w:rPr>
          <w:rFonts w:ascii="Arial" w:hAnsi="Arial" w:cs="Arial"/>
          <w:spacing w:val="10"/>
          <w:sz w:val="21"/>
          <w:szCs w:val="21"/>
        </w:rPr>
      </w:pPr>
    </w:p>
    <w:p w14:paraId="52063511" w14:textId="2EE720E9" w:rsidR="00F03909" w:rsidRPr="00D14B78" w:rsidRDefault="00F03909" w:rsidP="007324A0">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D14B78">
        <w:rPr>
          <w:rFonts w:ascii="Arial" w:hAnsi="Arial" w:cs="Arial"/>
          <w:b/>
          <w:bCs/>
          <w:spacing w:val="10"/>
          <w:sz w:val="21"/>
          <w:szCs w:val="21"/>
        </w:rPr>
        <w:t>Rizikové jevy v průběhu zadávacího řízení, které mohou vést k oprávněným námitkám dodavatelů či účastníků zadávacího řízení</w:t>
      </w:r>
    </w:p>
    <w:p w14:paraId="2F5B3B19" w14:textId="77777777" w:rsidR="005B7C37" w:rsidRPr="00D14B78" w:rsidRDefault="005B7C37" w:rsidP="00EE5D91">
      <w:pPr>
        <w:pStyle w:val="Odstavecseseznamem"/>
        <w:numPr>
          <w:ilvl w:val="0"/>
          <w:numId w:val="39"/>
        </w:numPr>
        <w:snapToGrid w:val="0"/>
        <w:spacing w:after="120" w:line="276" w:lineRule="auto"/>
        <w:contextualSpacing w:val="0"/>
        <w:jc w:val="both"/>
        <w:rPr>
          <w:rFonts w:ascii="Arial" w:hAnsi="Arial" w:cs="Arial"/>
          <w:spacing w:val="10"/>
          <w:sz w:val="21"/>
          <w:szCs w:val="21"/>
          <w:u w:val="single"/>
        </w:rPr>
      </w:pPr>
      <w:r w:rsidRPr="00D14B78">
        <w:rPr>
          <w:rFonts w:ascii="Arial" w:eastAsia="Times New Roman" w:hAnsi="Arial" w:cs="Arial"/>
          <w:spacing w:val="10"/>
          <w:sz w:val="21"/>
          <w:szCs w:val="21"/>
          <w:u w:val="single"/>
        </w:rPr>
        <w:t>Diskriminačně</w:t>
      </w:r>
      <w:r w:rsidRPr="00D14B78">
        <w:rPr>
          <w:rFonts w:ascii="Arial" w:hAnsi="Arial" w:cs="Arial"/>
          <w:spacing w:val="10"/>
          <w:sz w:val="21"/>
          <w:szCs w:val="21"/>
          <w:u w:val="single"/>
        </w:rPr>
        <w:t xml:space="preserve"> nastavená t</w:t>
      </w:r>
      <w:r w:rsidR="00B61210" w:rsidRPr="00D14B78">
        <w:rPr>
          <w:rFonts w:ascii="Arial" w:hAnsi="Arial" w:cs="Arial"/>
          <w:spacing w:val="10"/>
          <w:sz w:val="21"/>
          <w:szCs w:val="21"/>
          <w:u w:val="single"/>
        </w:rPr>
        <w:t>ech</w:t>
      </w:r>
      <w:r w:rsidRPr="00D14B78">
        <w:rPr>
          <w:rFonts w:ascii="Arial" w:hAnsi="Arial" w:cs="Arial"/>
          <w:spacing w:val="10"/>
          <w:sz w:val="21"/>
          <w:szCs w:val="21"/>
          <w:u w:val="single"/>
        </w:rPr>
        <w:t>nická kvalifikace</w:t>
      </w:r>
    </w:p>
    <w:p w14:paraId="103C208F" w14:textId="4E47118B" w:rsidR="005B7C37" w:rsidRPr="00D14B78" w:rsidRDefault="005B7C37" w:rsidP="00EE5D91">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Zadavatel je oprávněn v rámci technické kvalifikace požadovat prokázání pouze takových skutečností, které bezprostředně souvisejí s předmětem veřejné zakázky, a</w:t>
      </w:r>
      <w:r w:rsidR="00ED3C68" w:rsidRPr="00D14B78">
        <w:rPr>
          <w:rFonts w:ascii="Arial" w:hAnsi="Arial" w:cs="Arial"/>
          <w:spacing w:val="10"/>
          <w:sz w:val="21"/>
          <w:szCs w:val="21"/>
        </w:rPr>
        <w:t> </w:t>
      </w:r>
      <w:r w:rsidRPr="00D14B78">
        <w:rPr>
          <w:rFonts w:ascii="Arial" w:hAnsi="Arial" w:cs="Arial"/>
          <w:spacing w:val="10"/>
          <w:sz w:val="21"/>
          <w:szCs w:val="21"/>
        </w:rPr>
        <w:t xml:space="preserve">které je schopen doložit (resp. prokázat) větší okruh dodavatelů. Jinými slovy, </w:t>
      </w:r>
      <w:r w:rsidRPr="00D14B78">
        <w:rPr>
          <w:rFonts w:ascii="Arial" w:hAnsi="Arial" w:cs="Arial"/>
          <w:spacing w:val="10"/>
          <w:sz w:val="21"/>
          <w:szCs w:val="21"/>
        </w:rPr>
        <w:lastRenderedPageBreak/>
        <w:t>technická kvalifikace musí být nastavena tak, aby na jejím základě nebyla omezena hospodářská soutěž.</w:t>
      </w:r>
    </w:p>
    <w:p w14:paraId="3A47814B" w14:textId="0F8B26D1" w:rsidR="005B7C37" w:rsidRPr="00D14B78" w:rsidRDefault="005B7C37" w:rsidP="00EE5D91">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Příklad</w:t>
      </w:r>
      <w:r w:rsidR="009872B7" w:rsidRPr="00D14B78">
        <w:rPr>
          <w:rFonts w:ascii="Arial" w:hAnsi="Arial" w:cs="Arial"/>
          <w:spacing w:val="10"/>
          <w:sz w:val="21"/>
          <w:szCs w:val="21"/>
        </w:rPr>
        <w:t xml:space="preserve"> č. 1</w:t>
      </w:r>
      <w:r w:rsidRPr="00D14B78">
        <w:rPr>
          <w:rFonts w:ascii="Arial" w:hAnsi="Arial" w:cs="Arial"/>
          <w:spacing w:val="10"/>
          <w:sz w:val="21"/>
          <w:szCs w:val="21"/>
        </w:rPr>
        <w:t>:</w:t>
      </w:r>
    </w:p>
    <w:p w14:paraId="50CCE7B0" w14:textId="43CACC37" w:rsidR="009872B7" w:rsidRPr="00D14B78" w:rsidRDefault="005B7C37" w:rsidP="009872B7">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Zadavatel v rámci veřejné zakázky, jejímž předmětem byl např. výkon technického dozoru investora, požadoval zkušenosti s realizací veřejných zakázek financovaných z OPŽP. Takový požadavek je nepřiměřený, diskriminační a neodpovídá předmětu veřejné zakázky, když tato zkušenost nemá vliv na kvalitu poskytovaného plnění. Ve</w:t>
      </w:r>
      <w:r w:rsidR="00ED3C68" w:rsidRPr="00D14B78">
        <w:rPr>
          <w:rFonts w:ascii="Arial" w:hAnsi="Arial" w:cs="Arial"/>
          <w:spacing w:val="10"/>
          <w:sz w:val="21"/>
          <w:szCs w:val="21"/>
        </w:rPr>
        <w:t> </w:t>
      </w:r>
      <w:r w:rsidRPr="00D14B78">
        <w:rPr>
          <w:rFonts w:ascii="Arial" w:hAnsi="Arial" w:cs="Arial"/>
          <w:spacing w:val="10"/>
          <w:sz w:val="21"/>
          <w:szCs w:val="21"/>
        </w:rPr>
        <w:t>vztahu k požadovaným službám je irelevantní, jakou povahu mají finanční prostředky, z nichž je stavba realizována.</w:t>
      </w:r>
    </w:p>
    <w:p w14:paraId="02FDDF49" w14:textId="77777777" w:rsidR="009872B7" w:rsidRPr="00D14B78" w:rsidRDefault="009872B7" w:rsidP="009872B7">
      <w:pPr>
        <w:snapToGrid w:val="0"/>
        <w:spacing w:after="120" w:line="276" w:lineRule="auto"/>
        <w:ind w:left="360"/>
        <w:jc w:val="both"/>
        <w:rPr>
          <w:rFonts w:ascii="Arial" w:hAnsi="Arial" w:cs="Arial"/>
          <w:spacing w:val="10"/>
          <w:sz w:val="21"/>
          <w:szCs w:val="21"/>
        </w:rPr>
      </w:pPr>
    </w:p>
    <w:p w14:paraId="3FA4330D" w14:textId="46F8E359" w:rsidR="009872B7" w:rsidRDefault="009872B7" w:rsidP="00EE5D91">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Příklad č. 2:</w:t>
      </w:r>
    </w:p>
    <w:p w14:paraId="5809E6BF" w14:textId="52231380" w:rsidR="00A94192" w:rsidRDefault="00802047" w:rsidP="00802047">
      <w:pPr>
        <w:snapToGrid w:val="0"/>
        <w:spacing w:after="120" w:line="276" w:lineRule="auto"/>
        <w:ind w:left="360"/>
        <w:jc w:val="both"/>
        <w:rPr>
          <w:rFonts w:ascii="Arial" w:hAnsi="Arial" w:cs="Arial"/>
          <w:spacing w:val="10"/>
          <w:sz w:val="21"/>
          <w:szCs w:val="21"/>
        </w:rPr>
      </w:pPr>
      <w:r>
        <w:rPr>
          <w:rFonts w:ascii="Arial" w:hAnsi="Arial" w:cs="Arial"/>
          <w:spacing w:val="10"/>
          <w:sz w:val="21"/>
          <w:szCs w:val="21"/>
        </w:rPr>
        <w:t>Z</w:t>
      </w:r>
      <w:r w:rsidR="00A94192" w:rsidRPr="005C3FF0">
        <w:rPr>
          <w:rFonts w:ascii="Arial" w:hAnsi="Arial" w:cs="Arial"/>
          <w:spacing w:val="10"/>
          <w:sz w:val="21"/>
          <w:szCs w:val="21"/>
        </w:rPr>
        <w:t>adavatel realizující veřejnou zakázku na opravu budovy školy, rekonstrukci učeben či dodávku IT technologií do učeben požad</w:t>
      </w:r>
      <w:r>
        <w:rPr>
          <w:rFonts w:ascii="Arial" w:hAnsi="Arial" w:cs="Arial"/>
          <w:spacing w:val="10"/>
          <w:sz w:val="21"/>
          <w:szCs w:val="21"/>
        </w:rPr>
        <w:t>oval</w:t>
      </w:r>
      <w:r w:rsidR="00A94192" w:rsidRPr="005C3FF0">
        <w:rPr>
          <w:rFonts w:ascii="Arial" w:hAnsi="Arial" w:cs="Arial"/>
          <w:spacing w:val="10"/>
          <w:sz w:val="21"/>
          <w:szCs w:val="21"/>
        </w:rPr>
        <w:t xml:space="preserve"> jako podmínku předkládaných referencí mj. skutečnost, aby reference prokazující technickou kvalifikaci byly realizovány pro školská zařízení.</w:t>
      </w:r>
      <w:r>
        <w:rPr>
          <w:rFonts w:ascii="Arial" w:hAnsi="Arial" w:cs="Arial"/>
          <w:spacing w:val="10"/>
          <w:sz w:val="21"/>
          <w:szCs w:val="21"/>
        </w:rPr>
        <w:t xml:space="preserve"> Tento </w:t>
      </w:r>
      <w:r w:rsidR="00A94192" w:rsidRPr="005C3FF0">
        <w:rPr>
          <w:rFonts w:ascii="Arial" w:hAnsi="Arial" w:cs="Arial"/>
          <w:spacing w:val="10"/>
          <w:sz w:val="21"/>
          <w:szCs w:val="21"/>
        </w:rPr>
        <w:t xml:space="preserve">požadavek </w:t>
      </w:r>
      <w:r w:rsidR="00A477CA">
        <w:rPr>
          <w:rFonts w:ascii="Arial" w:hAnsi="Arial" w:cs="Arial"/>
          <w:spacing w:val="10"/>
          <w:sz w:val="21"/>
          <w:szCs w:val="21"/>
        </w:rPr>
        <w:t xml:space="preserve">však </w:t>
      </w:r>
      <w:r w:rsidR="00A94192" w:rsidRPr="005C3FF0">
        <w:rPr>
          <w:rFonts w:ascii="Arial" w:hAnsi="Arial" w:cs="Arial"/>
          <w:spacing w:val="10"/>
          <w:sz w:val="21"/>
          <w:szCs w:val="21"/>
        </w:rPr>
        <w:t>významně odporuje zásadě přiměřenosti a zákazu diskriminace, neboť ve valné většině případů nebude odůvodněn předmětem veřejné zakázky, a v samotném důsledku tak podstatným způsobem zúží okruh potenciálních dodavatelů, kteří se mohou ucházet o veřejnou zakázku. Ze skupiny dodavatelů, kteří provádějí odpovídající předmět veřejné zakázky pro rozmanitou škálu zadavatelů, zůstanou ve hře pouze ti, kteří v minulosti poskytovali plnění také školským zařízením, byť to v důsledku není pro realizaci vůbec podstatné.</w:t>
      </w:r>
    </w:p>
    <w:p w14:paraId="3F81A974" w14:textId="77777777" w:rsidR="00802047" w:rsidRDefault="00802047" w:rsidP="00802047">
      <w:pPr>
        <w:snapToGrid w:val="0"/>
        <w:spacing w:after="120" w:line="276" w:lineRule="auto"/>
        <w:ind w:left="360"/>
        <w:jc w:val="both"/>
        <w:rPr>
          <w:rFonts w:ascii="Arial" w:hAnsi="Arial" w:cs="Arial"/>
          <w:spacing w:val="10"/>
          <w:sz w:val="21"/>
          <w:szCs w:val="21"/>
        </w:rPr>
      </w:pPr>
    </w:p>
    <w:p w14:paraId="37058298" w14:textId="4B05C772" w:rsidR="009872B7" w:rsidRDefault="009872B7" w:rsidP="00EE5D91">
      <w:pPr>
        <w:snapToGrid w:val="0"/>
        <w:spacing w:after="120" w:line="276" w:lineRule="auto"/>
        <w:ind w:left="360"/>
        <w:jc w:val="both"/>
        <w:rPr>
          <w:rFonts w:ascii="Arial" w:hAnsi="Arial" w:cs="Arial"/>
          <w:spacing w:val="10"/>
          <w:sz w:val="21"/>
          <w:szCs w:val="21"/>
        </w:rPr>
      </w:pPr>
      <w:r>
        <w:rPr>
          <w:rFonts w:ascii="Arial" w:hAnsi="Arial" w:cs="Arial"/>
          <w:spacing w:val="10"/>
          <w:sz w:val="21"/>
          <w:szCs w:val="21"/>
        </w:rPr>
        <w:t>Příklad č. 3:</w:t>
      </w:r>
    </w:p>
    <w:p w14:paraId="058F9846" w14:textId="7D3C8313" w:rsidR="00A477CA" w:rsidRDefault="00802047" w:rsidP="00EE5D91">
      <w:pPr>
        <w:snapToGrid w:val="0"/>
        <w:spacing w:after="120" w:line="276" w:lineRule="auto"/>
        <w:ind w:left="360"/>
        <w:jc w:val="both"/>
        <w:rPr>
          <w:rFonts w:ascii="Arial" w:hAnsi="Arial" w:cs="Arial"/>
          <w:spacing w:val="10"/>
          <w:sz w:val="21"/>
          <w:szCs w:val="21"/>
        </w:rPr>
      </w:pPr>
      <w:r>
        <w:rPr>
          <w:rFonts w:ascii="Arial" w:hAnsi="Arial" w:cs="Arial"/>
          <w:spacing w:val="10"/>
          <w:sz w:val="21"/>
          <w:szCs w:val="21"/>
        </w:rPr>
        <w:t xml:space="preserve">Zadavatel </w:t>
      </w:r>
      <w:r w:rsidR="00A477CA">
        <w:rPr>
          <w:rFonts w:ascii="Arial" w:hAnsi="Arial" w:cs="Arial"/>
          <w:spacing w:val="10"/>
          <w:sz w:val="21"/>
          <w:szCs w:val="21"/>
        </w:rPr>
        <w:t xml:space="preserve">poptával zajištění koučinku, přičemž </w:t>
      </w:r>
      <w:r>
        <w:rPr>
          <w:rFonts w:ascii="Arial" w:hAnsi="Arial" w:cs="Arial"/>
          <w:spacing w:val="10"/>
          <w:sz w:val="21"/>
          <w:szCs w:val="21"/>
        </w:rPr>
        <w:t>u</w:t>
      </w:r>
      <w:r w:rsidR="00A477CA">
        <w:rPr>
          <w:rFonts w:ascii="Arial" w:hAnsi="Arial" w:cs="Arial"/>
          <w:spacing w:val="10"/>
          <w:sz w:val="21"/>
          <w:szCs w:val="21"/>
        </w:rPr>
        <w:t xml:space="preserve"> všech</w:t>
      </w:r>
      <w:r>
        <w:rPr>
          <w:rFonts w:ascii="Arial" w:hAnsi="Arial" w:cs="Arial"/>
          <w:spacing w:val="10"/>
          <w:sz w:val="21"/>
          <w:szCs w:val="21"/>
        </w:rPr>
        <w:t xml:space="preserve"> člen</w:t>
      </w:r>
      <w:r w:rsidR="00A477CA">
        <w:rPr>
          <w:rFonts w:ascii="Arial" w:hAnsi="Arial" w:cs="Arial"/>
          <w:spacing w:val="10"/>
          <w:sz w:val="21"/>
          <w:szCs w:val="21"/>
        </w:rPr>
        <w:t>ů</w:t>
      </w:r>
      <w:r>
        <w:rPr>
          <w:rFonts w:ascii="Arial" w:hAnsi="Arial" w:cs="Arial"/>
          <w:spacing w:val="10"/>
          <w:sz w:val="21"/>
          <w:szCs w:val="21"/>
        </w:rPr>
        <w:t xml:space="preserve"> realizačního týmu </w:t>
      </w:r>
      <w:r w:rsidR="00A477CA">
        <w:rPr>
          <w:rFonts w:ascii="Arial" w:hAnsi="Arial" w:cs="Arial"/>
          <w:spacing w:val="10"/>
          <w:sz w:val="21"/>
          <w:szCs w:val="21"/>
        </w:rPr>
        <w:t xml:space="preserve">požadoval praxi v délce nejméně 10 let v oblasti koučinku. Platí, že prokázání délky praxe u členů </w:t>
      </w:r>
      <w:r w:rsidR="002D245D">
        <w:rPr>
          <w:rFonts w:ascii="Arial" w:hAnsi="Arial" w:cs="Arial"/>
          <w:spacing w:val="10"/>
          <w:sz w:val="21"/>
          <w:szCs w:val="21"/>
        </w:rPr>
        <w:t xml:space="preserve">realizačního </w:t>
      </w:r>
      <w:r w:rsidR="00A477CA">
        <w:rPr>
          <w:rFonts w:ascii="Arial" w:hAnsi="Arial" w:cs="Arial"/>
          <w:spacing w:val="10"/>
          <w:sz w:val="21"/>
          <w:szCs w:val="21"/>
        </w:rPr>
        <w:t>týmu lze chápat jako vhodné kritérium technické kvalifikace, avšak samotné stanovení minimální úrovně tohoto požadavku musí být zvoleno přiměřeně s ohledem na předmět a rozsah veřejné zakázky. V</w:t>
      </w:r>
      <w:r w:rsidR="00A477CA" w:rsidRPr="00A477CA">
        <w:rPr>
          <w:rFonts w:ascii="Arial" w:hAnsi="Arial" w:cs="Arial"/>
          <w:spacing w:val="10"/>
          <w:sz w:val="21"/>
          <w:szCs w:val="21"/>
        </w:rPr>
        <w:t>zhledem ke</w:t>
      </w:r>
      <w:r w:rsidR="002D245D">
        <w:rPr>
          <w:rFonts w:ascii="Arial" w:hAnsi="Arial" w:cs="Arial"/>
          <w:spacing w:val="10"/>
          <w:sz w:val="21"/>
          <w:szCs w:val="21"/>
        </w:rPr>
        <w:t> </w:t>
      </w:r>
      <w:r w:rsidR="00A477CA" w:rsidRPr="00A477CA">
        <w:rPr>
          <w:rFonts w:ascii="Arial" w:hAnsi="Arial" w:cs="Arial"/>
          <w:spacing w:val="10"/>
          <w:sz w:val="21"/>
          <w:szCs w:val="21"/>
        </w:rPr>
        <w:t>skutečnosti, že</w:t>
      </w:r>
      <w:r w:rsidR="00A477CA">
        <w:rPr>
          <w:rFonts w:ascii="Arial" w:hAnsi="Arial" w:cs="Arial"/>
          <w:spacing w:val="10"/>
          <w:sz w:val="21"/>
          <w:szCs w:val="21"/>
        </w:rPr>
        <w:t> </w:t>
      </w:r>
      <w:r w:rsidR="00A477CA" w:rsidRPr="00A477CA">
        <w:rPr>
          <w:rFonts w:ascii="Arial" w:hAnsi="Arial" w:cs="Arial"/>
          <w:spacing w:val="10"/>
          <w:sz w:val="21"/>
          <w:szCs w:val="21"/>
        </w:rPr>
        <w:t>zadavatel stanovil tuto minimální úroveň u každého člena školicího týmu na</w:t>
      </w:r>
      <w:r w:rsidR="00A477CA">
        <w:rPr>
          <w:rFonts w:ascii="Arial" w:hAnsi="Arial" w:cs="Arial"/>
          <w:spacing w:val="10"/>
          <w:sz w:val="21"/>
          <w:szCs w:val="21"/>
        </w:rPr>
        <w:t> </w:t>
      </w:r>
      <w:r w:rsidR="00A477CA" w:rsidRPr="00A477CA">
        <w:rPr>
          <w:rFonts w:ascii="Arial" w:hAnsi="Arial" w:cs="Arial"/>
          <w:spacing w:val="10"/>
          <w:sz w:val="21"/>
          <w:szCs w:val="21"/>
        </w:rPr>
        <w:t>hodnotu nejméně 10 let, a rovněž s ohledem na to, že není nutně pravdou, že delší praxe v oboru zaručuje vždy lepší zkušenosti a odbornost osoby v jakémkoli povolání, lze konstatovat, že takto vymezený požadavek na technickou kvalifikaci není stanoven na základě objektivních potřeb zadavatele, pročež je minimální úroveň v tomto případě nastavena velmi přísně, a její neadekvátní nastavení může mít pouze diskriminační dopad na okruh dodavatelů.</w:t>
      </w:r>
    </w:p>
    <w:p w14:paraId="055A9AD4" w14:textId="77777777" w:rsidR="009872B7" w:rsidRPr="007324A0" w:rsidRDefault="009872B7" w:rsidP="00A477CA">
      <w:pPr>
        <w:snapToGrid w:val="0"/>
        <w:spacing w:after="120" w:line="276" w:lineRule="auto"/>
        <w:jc w:val="both"/>
        <w:rPr>
          <w:rFonts w:ascii="Arial" w:hAnsi="Arial" w:cs="Arial"/>
          <w:spacing w:val="10"/>
          <w:sz w:val="21"/>
          <w:szCs w:val="21"/>
        </w:rPr>
      </w:pPr>
    </w:p>
    <w:p w14:paraId="00BB8609" w14:textId="620BCEED" w:rsidR="005B7C37" w:rsidRPr="007324A0" w:rsidRDefault="005B7C37" w:rsidP="00EE5D91">
      <w:pPr>
        <w:pStyle w:val="Odstavecseseznamem"/>
        <w:numPr>
          <w:ilvl w:val="0"/>
          <w:numId w:val="39"/>
        </w:numPr>
        <w:snapToGrid w:val="0"/>
        <w:spacing w:after="120" w:line="276" w:lineRule="auto"/>
        <w:contextualSpacing w:val="0"/>
        <w:jc w:val="both"/>
        <w:rPr>
          <w:rFonts w:ascii="Arial" w:hAnsi="Arial" w:cs="Arial"/>
          <w:spacing w:val="10"/>
          <w:sz w:val="21"/>
          <w:szCs w:val="21"/>
          <w:u w:val="single"/>
        </w:rPr>
      </w:pPr>
      <w:r w:rsidRPr="00EE5D91">
        <w:rPr>
          <w:rFonts w:ascii="Arial" w:eastAsia="Times New Roman" w:hAnsi="Arial" w:cs="Arial"/>
          <w:spacing w:val="10"/>
          <w:sz w:val="21"/>
          <w:szCs w:val="21"/>
          <w:u w:val="single"/>
        </w:rPr>
        <w:t>Nedodržení</w:t>
      </w:r>
      <w:r w:rsidRPr="007324A0">
        <w:rPr>
          <w:rFonts w:ascii="Arial" w:hAnsi="Arial" w:cs="Arial"/>
          <w:spacing w:val="10"/>
          <w:sz w:val="21"/>
          <w:szCs w:val="21"/>
          <w:u w:val="single"/>
        </w:rPr>
        <w:t xml:space="preserve"> zásady rovného zacházení</w:t>
      </w:r>
      <w:r w:rsidR="004D1429" w:rsidRPr="007324A0">
        <w:rPr>
          <w:rFonts w:ascii="Arial" w:hAnsi="Arial" w:cs="Arial"/>
          <w:spacing w:val="10"/>
          <w:sz w:val="21"/>
          <w:szCs w:val="21"/>
          <w:u w:val="single"/>
        </w:rPr>
        <w:t xml:space="preserve"> při objasňování nabídek</w:t>
      </w:r>
    </w:p>
    <w:p w14:paraId="11F9012D" w14:textId="4D92BEE5" w:rsidR="004D1429" w:rsidRPr="007324A0" w:rsidRDefault="004D1429"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Zadavatel je povinen v zadávacím řízení postupovat vůči dodavatelům v souladu se</w:t>
      </w:r>
      <w:r w:rsidR="00ED3C68">
        <w:rPr>
          <w:rFonts w:ascii="Arial" w:hAnsi="Arial" w:cs="Arial"/>
          <w:spacing w:val="10"/>
          <w:sz w:val="21"/>
          <w:szCs w:val="21"/>
        </w:rPr>
        <w:t> </w:t>
      </w:r>
      <w:r w:rsidRPr="007324A0">
        <w:rPr>
          <w:rFonts w:ascii="Arial" w:hAnsi="Arial" w:cs="Arial"/>
          <w:spacing w:val="10"/>
          <w:sz w:val="21"/>
          <w:szCs w:val="21"/>
        </w:rPr>
        <w:t>zásad</w:t>
      </w:r>
      <w:r w:rsidR="00ED3C68">
        <w:rPr>
          <w:rFonts w:ascii="Arial" w:hAnsi="Arial" w:cs="Arial"/>
          <w:spacing w:val="10"/>
          <w:sz w:val="21"/>
          <w:szCs w:val="21"/>
        </w:rPr>
        <w:t>ou</w:t>
      </w:r>
      <w:r w:rsidRPr="007324A0">
        <w:rPr>
          <w:rFonts w:ascii="Arial" w:hAnsi="Arial" w:cs="Arial"/>
          <w:spacing w:val="10"/>
          <w:sz w:val="21"/>
          <w:szCs w:val="21"/>
        </w:rPr>
        <w:t xml:space="preserve"> rovného zacházení a zákazu diskriminace. Základní zásady zadávání veřejných zakázek jsou aplikovatelné v celém rozsahu ZZVZ a vztahují se i na výzvy dle § 46 ZZVZ k doplnění nebo objasnění údajů, dokladů, vzorků či modelů. V případě vyzvání alespoň jednoho </w:t>
      </w:r>
      <w:r w:rsidRPr="00D14B78">
        <w:rPr>
          <w:rFonts w:ascii="Arial" w:hAnsi="Arial" w:cs="Arial"/>
          <w:spacing w:val="10"/>
          <w:sz w:val="21"/>
          <w:szCs w:val="21"/>
        </w:rPr>
        <w:t xml:space="preserve">dodavatele je povinností zadavatele vyzvat i ostatní účastníky řízení v obdobné situaci. Pokud je zadavatelem některému účastníkovi </w:t>
      </w:r>
      <w:r w:rsidRPr="00D14B78">
        <w:rPr>
          <w:rFonts w:ascii="Arial" w:hAnsi="Arial" w:cs="Arial"/>
          <w:spacing w:val="10"/>
          <w:sz w:val="21"/>
          <w:szCs w:val="21"/>
        </w:rPr>
        <w:lastRenderedPageBreak/>
        <w:t xml:space="preserve">zadávacího řízení dána možnost doplnění či vysvětlení své nabídky, musí být taková možnost dána </w:t>
      </w:r>
      <w:r w:rsidR="00ED3C68" w:rsidRPr="00D14B78">
        <w:rPr>
          <w:rFonts w:ascii="Arial" w:hAnsi="Arial" w:cs="Arial"/>
          <w:spacing w:val="10"/>
          <w:sz w:val="21"/>
          <w:szCs w:val="21"/>
        </w:rPr>
        <w:t xml:space="preserve">i ostatním </w:t>
      </w:r>
      <w:r w:rsidRPr="00D14B78">
        <w:rPr>
          <w:rFonts w:ascii="Arial" w:hAnsi="Arial" w:cs="Arial"/>
          <w:spacing w:val="10"/>
          <w:sz w:val="21"/>
          <w:szCs w:val="21"/>
        </w:rPr>
        <w:t>účastníkům</w:t>
      </w:r>
      <w:r w:rsidR="00ED3C68" w:rsidRPr="00D14B78">
        <w:rPr>
          <w:rFonts w:ascii="Arial" w:hAnsi="Arial" w:cs="Arial"/>
          <w:spacing w:val="10"/>
          <w:sz w:val="21"/>
          <w:szCs w:val="21"/>
        </w:rPr>
        <w:t xml:space="preserve"> zadávacího řízení, pokud to je potřebné</w:t>
      </w:r>
      <w:r w:rsidRPr="00D14B78">
        <w:rPr>
          <w:rFonts w:ascii="Arial" w:hAnsi="Arial" w:cs="Arial"/>
          <w:spacing w:val="10"/>
          <w:sz w:val="21"/>
          <w:szCs w:val="21"/>
        </w:rPr>
        <w:t>.</w:t>
      </w:r>
    </w:p>
    <w:p w14:paraId="6D176E46" w14:textId="636D2428" w:rsidR="004D1429" w:rsidRPr="007324A0" w:rsidRDefault="004D1429"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Příklad:</w:t>
      </w:r>
    </w:p>
    <w:p w14:paraId="3D45EA50" w14:textId="4464325C" w:rsidR="004D1429" w:rsidRPr="007324A0" w:rsidRDefault="004D1429"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V rámci zadávacího řízení předložil jeden účastník zadávacího řízení Výpis z rejstříku trestů starší 3 měsíců předem dnem zahájení zadávacího řízení. Druhý účastník zadávacího řízení nepředložil dostatečný počet referenčních zakázek pro účely prokázání technické kvalifikace. Zadavatel vyzval prvního účastníka k doplnění aktuálního Výpisu z rejstříku trestů, druhého účastníka však rovnou ze zadávacího řízení vyloučil. Tím se zadavatel dopustil nerovného zacházení vůči druhému účastníku, a tedy porušení § 6 odst. 2 ZZVZ. Zadavatel svůj postup odůvodnil tím, že</w:t>
      </w:r>
      <w:r w:rsidR="00ED3C68">
        <w:rPr>
          <w:rFonts w:ascii="Arial" w:hAnsi="Arial" w:cs="Arial"/>
          <w:spacing w:val="10"/>
          <w:sz w:val="21"/>
          <w:szCs w:val="21"/>
        </w:rPr>
        <w:t> </w:t>
      </w:r>
      <w:r w:rsidRPr="007324A0">
        <w:rPr>
          <w:rFonts w:ascii="Arial" w:hAnsi="Arial" w:cs="Arial"/>
          <w:spacing w:val="10"/>
          <w:sz w:val="21"/>
          <w:szCs w:val="21"/>
        </w:rPr>
        <w:t>první účastník předložil alespoň starší dokument a je tedy pravděpodobné, že</w:t>
      </w:r>
      <w:r w:rsidR="00ED3C68">
        <w:rPr>
          <w:rFonts w:ascii="Arial" w:hAnsi="Arial" w:cs="Arial"/>
          <w:spacing w:val="10"/>
          <w:sz w:val="21"/>
          <w:szCs w:val="21"/>
        </w:rPr>
        <w:t> </w:t>
      </w:r>
      <w:r w:rsidRPr="007324A0">
        <w:rPr>
          <w:rFonts w:ascii="Arial" w:hAnsi="Arial" w:cs="Arial"/>
          <w:spacing w:val="10"/>
          <w:sz w:val="21"/>
          <w:szCs w:val="21"/>
        </w:rPr>
        <w:t>doloží výpis nový, a navíc se jednalo o jiný typ kvalifikace než v případě druhého účastníka. Takový přístup je však v rozporu se ZZVZ.</w:t>
      </w:r>
    </w:p>
    <w:p w14:paraId="0F0B2857" w14:textId="23E6FE02" w:rsidR="005B7C37" w:rsidRPr="007324A0" w:rsidRDefault="00501FD4" w:rsidP="00EE5D91">
      <w:pPr>
        <w:pStyle w:val="Odstavecseseznamem"/>
        <w:numPr>
          <w:ilvl w:val="0"/>
          <w:numId w:val="39"/>
        </w:numPr>
        <w:snapToGrid w:val="0"/>
        <w:spacing w:after="120" w:line="276" w:lineRule="auto"/>
        <w:contextualSpacing w:val="0"/>
        <w:jc w:val="both"/>
        <w:rPr>
          <w:rFonts w:ascii="Arial" w:hAnsi="Arial" w:cs="Arial"/>
          <w:spacing w:val="10"/>
          <w:sz w:val="21"/>
          <w:szCs w:val="21"/>
          <w:u w:val="single"/>
        </w:rPr>
      </w:pPr>
      <w:r w:rsidRPr="00EE5D91">
        <w:rPr>
          <w:rFonts w:ascii="Arial" w:eastAsia="Times New Roman" w:hAnsi="Arial" w:cs="Arial"/>
          <w:spacing w:val="10"/>
          <w:sz w:val="21"/>
          <w:szCs w:val="21"/>
          <w:u w:val="single"/>
        </w:rPr>
        <w:t>Nedodržení</w:t>
      </w:r>
      <w:r w:rsidRPr="007324A0">
        <w:rPr>
          <w:rFonts w:ascii="Arial" w:hAnsi="Arial" w:cs="Arial"/>
          <w:spacing w:val="10"/>
          <w:sz w:val="21"/>
          <w:szCs w:val="21"/>
          <w:u w:val="single"/>
        </w:rPr>
        <w:t xml:space="preserve"> minimální délky lhůty pro podání nabídek či žádostí o účast</w:t>
      </w:r>
    </w:p>
    <w:p w14:paraId="1B7FB5BC" w14:textId="446B30AB" w:rsidR="00501FD4" w:rsidRPr="007324A0" w:rsidRDefault="00501FD4"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Minimální délky lhůt pro podání nabídek nebo doručení žádostí o účast jsou stanoveny v ZZVZ. Mnohdy však dochází ke zkrácení lhůt v důsledku chybného počítání lhůt zadavateli. Nejčastějším pochybením je zkrácení lhůty pro podání nabídek nebo doručení žádostí o účast pouze v řádu hodin. ZZVZ upravuje počátek běhu lhůt, nikoliv už jejich další počítání. Lhůta pro podání nabídek nebo pro doručení žádostí o účast počíná běžet dnem následujícím po dni zahájení zadávacího řízení. Jelikož se jedná o lhůty počítané ve dnech, je nutné i poslední den lhůty počítat celý, tedy jako 24 hodin.</w:t>
      </w:r>
    </w:p>
    <w:p w14:paraId="58B4944C" w14:textId="36DBE505" w:rsidR="00501FD4" w:rsidRPr="007324A0" w:rsidRDefault="00E814DC" w:rsidP="00ED3C6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Příklad:</w:t>
      </w:r>
    </w:p>
    <w:p w14:paraId="53F52B30" w14:textId="2255F4DC" w:rsidR="00E814DC" w:rsidRPr="007324A0" w:rsidRDefault="00E814DC"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Lhůta pro podání nabídek ve zjednodušeném podlimitním řízení nesmí být kratší než</w:t>
      </w:r>
      <w:r w:rsidR="00ED3C68">
        <w:rPr>
          <w:rFonts w:ascii="Arial" w:hAnsi="Arial" w:cs="Arial"/>
          <w:spacing w:val="10"/>
          <w:sz w:val="21"/>
          <w:szCs w:val="21"/>
        </w:rPr>
        <w:t> </w:t>
      </w:r>
      <w:r w:rsidRPr="007324A0">
        <w:rPr>
          <w:rFonts w:ascii="Arial" w:hAnsi="Arial" w:cs="Arial"/>
          <w:spacing w:val="10"/>
          <w:sz w:val="21"/>
          <w:szCs w:val="21"/>
        </w:rPr>
        <w:t>11 pracovních dnů. Zadavatel zahájí zadávací řízení odesláním výzvy k podání nabídek dne 2. dubna 2024. Lhůta pro podání nabídek začíná běžet dnem následujícím po dni zadávacího řízení, tj. 3. dubna 2024; tento den je prvním dnem lhůty. Lhůta pro podání nabídek tak může uplynout nejdříve dne 17. dubna 2024 ve</w:t>
      </w:r>
      <w:r w:rsidR="00ED3C68">
        <w:rPr>
          <w:rFonts w:ascii="Arial" w:hAnsi="Arial" w:cs="Arial"/>
          <w:spacing w:val="10"/>
          <w:sz w:val="21"/>
          <w:szCs w:val="21"/>
        </w:rPr>
        <w:t> </w:t>
      </w:r>
      <w:r w:rsidRPr="007324A0">
        <w:rPr>
          <w:rFonts w:ascii="Arial" w:hAnsi="Arial" w:cs="Arial"/>
          <w:spacing w:val="10"/>
          <w:sz w:val="21"/>
          <w:szCs w:val="21"/>
        </w:rPr>
        <w:t>24:00 hod. Zadavatel správně stanoví konec lhůty pro podání nabídek až na 18. dubna 2024 kdykoliv po půlnoci (např. 18. dubna 2024 v 10:00 hod.). Chybně by zadavatel stanovil konec lhůty pro podání nabídek již na 17. dubna 2024 nebo kdykoliv dříve.</w:t>
      </w:r>
    </w:p>
    <w:p w14:paraId="7CB8F329" w14:textId="3187C940" w:rsidR="00293743" w:rsidRPr="007324A0" w:rsidRDefault="00293743" w:rsidP="00EE5D91">
      <w:pPr>
        <w:pStyle w:val="Odstavecseseznamem"/>
        <w:numPr>
          <w:ilvl w:val="0"/>
          <w:numId w:val="39"/>
        </w:numPr>
        <w:snapToGrid w:val="0"/>
        <w:spacing w:after="120" w:line="276" w:lineRule="auto"/>
        <w:contextualSpacing w:val="0"/>
        <w:jc w:val="both"/>
        <w:rPr>
          <w:rFonts w:ascii="Arial" w:hAnsi="Arial" w:cs="Arial"/>
          <w:spacing w:val="10"/>
          <w:sz w:val="21"/>
          <w:szCs w:val="21"/>
          <w:u w:val="single"/>
        </w:rPr>
      </w:pPr>
      <w:r w:rsidRPr="00EE5D91">
        <w:rPr>
          <w:rFonts w:ascii="Arial" w:eastAsia="Times New Roman" w:hAnsi="Arial" w:cs="Arial"/>
          <w:spacing w:val="10"/>
          <w:sz w:val="21"/>
          <w:szCs w:val="21"/>
          <w:u w:val="single"/>
        </w:rPr>
        <w:t>Nedostatečné</w:t>
      </w:r>
      <w:r w:rsidRPr="007324A0">
        <w:rPr>
          <w:rFonts w:ascii="Arial" w:hAnsi="Arial" w:cs="Arial"/>
          <w:spacing w:val="10"/>
          <w:sz w:val="21"/>
          <w:szCs w:val="21"/>
          <w:u w:val="single"/>
        </w:rPr>
        <w:t xml:space="preserve"> prodloužení lhůty pro podání nabídek či žádostí o účast</w:t>
      </w:r>
    </w:p>
    <w:p w14:paraId="3DEB91B8" w14:textId="77777777" w:rsidR="00ED3C68" w:rsidRDefault="00293743"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Pokud zadavatel během lhůty pro podání nabídek či žádostí o účast učiní změnu zadávací dokumentace, je povinen přistoupit k prodloužení lhůty pro podání nabídek či žádostí o účast. </w:t>
      </w:r>
    </w:p>
    <w:p w14:paraId="37F80E45" w14:textId="30B4D6AD" w:rsidR="00293743" w:rsidRPr="007324A0" w:rsidRDefault="00293743"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Obecně platí, že při změně, která může rozšířit okruh možných dodavatelů (např.</w:t>
      </w:r>
      <w:r w:rsidR="00ED3C68">
        <w:rPr>
          <w:rFonts w:ascii="Arial" w:hAnsi="Arial" w:cs="Arial"/>
          <w:spacing w:val="10"/>
          <w:sz w:val="21"/>
          <w:szCs w:val="21"/>
        </w:rPr>
        <w:t> </w:t>
      </w:r>
      <w:r w:rsidRPr="007324A0">
        <w:rPr>
          <w:rFonts w:ascii="Arial" w:hAnsi="Arial" w:cs="Arial"/>
          <w:spacing w:val="10"/>
          <w:sz w:val="21"/>
          <w:szCs w:val="21"/>
        </w:rPr>
        <w:t>zjednodušení technické kvalifikace), je zadavatel povinen lhůtu pro podání nabídek či žádostí o účast prodloužit tak, aby od odeslání změny nebo doplnění zadávací dokumentace činila nejméně celou svou původní délku.</w:t>
      </w:r>
    </w:p>
    <w:p w14:paraId="150426BC" w14:textId="6BC32132" w:rsidR="00293743" w:rsidRPr="007324A0" w:rsidRDefault="00293743"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Příklad:</w:t>
      </w:r>
    </w:p>
    <w:p w14:paraId="45B043E2" w14:textId="0D24B6A7" w:rsidR="00293743" w:rsidRPr="007324A0" w:rsidRDefault="00293743"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Zadavatel realizuje otevřené řízení, přičemž během lhůty pro podání nabídek upraví technickou kvalifikaci, a to tak že ji zmírní. Tato změna je způsobilá rozšířit okruh možných dodavatelů. Zadavatel v návaznosti na provedenou změnu přistoupení </w:t>
      </w:r>
      <w:r w:rsidRPr="007324A0">
        <w:rPr>
          <w:rFonts w:ascii="Arial" w:hAnsi="Arial" w:cs="Arial"/>
          <w:spacing w:val="10"/>
          <w:sz w:val="21"/>
          <w:szCs w:val="21"/>
        </w:rPr>
        <w:lastRenderedPageBreak/>
        <w:t>k prodloužení lhůty pro podání nabídek o 10 dnů – takové prodloužení lhůty je však nedostatečné.</w:t>
      </w:r>
    </w:p>
    <w:p w14:paraId="402175F5" w14:textId="3EBD3C23" w:rsidR="005B7C37" w:rsidRPr="007324A0" w:rsidRDefault="005B7C37" w:rsidP="00EE5D91">
      <w:pPr>
        <w:pStyle w:val="Odstavecseseznamem"/>
        <w:numPr>
          <w:ilvl w:val="0"/>
          <w:numId w:val="39"/>
        </w:numPr>
        <w:snapToGrid w:val="0"/>
        <w:spacing w:after="120" w:line="276" w:lineRule="auto"/>
        <w:contextualSpacing w:val="0"/>
        <w:jc w:val="both"/>
        <w:rPr>
          <w:rFonts w:ascii="Arial" w:hAnsi="Arial" w:cs="Arial"/>
          <w:spacing w:val="10"/>
          <w:sz w:val="21"/>
          <w:szCs w:val="21"/>
          <w:u w:val="single"/>
        </w:rPr>
      </w:pPr>
      <w:r w:rsidRPr="00EE5D91">
        <w:rPr>
          <w:rFonts w:ascii="Arial" w:eastAsia="Times New Roman" w:hAnsi="Arial" w:cs="Arial"/>
          <w:spacing w:val="10"/>
          <w:sz w:val="21"/>
          <w:szCs w:val="21"/>
          <w:u w:val="single"/>
        </w:rPr>
        <w:t>N</w:t>
      </w:r>
      <w:r w:rsidR="00B61210" w:rsidRPr="00EE5D91">
        <w:rPr>
          <w:rFonts w:ascii="Arial" w:eastAsia="Times New Roman" w:hAnsi="Arial" w:cs="Arial"/>
          <w:spacing w:val="10"/>
          <w:sz w:val="21"/>
          <w:szCs w:val="21"/>
          <w:u w:val="single"/>
        </w:rPr>
        <w:t>edostatečně</w:t>
      </w:r>
      <w:r w:rsidR="00B61210" w:rsidRPr="007324A0">
        <w:rPr>
          <w:rFonts w:ascii="Arial" w:hAnsi="Arial" w:cs="Arial"/>
          <w:spacing w:val="10"/>
          <w:sz w:val="21"/>
          <w:szCs w:val="21"/>
          <w:u w:val="single"/>
        </w:rPr>
        <w:t xml:space="preserve"> odůvodněné rozhodnutí o vyloučení</w:t>
      </w:r>
    </w:p>
    <w:p w14:paraId="4F6D3043" w14:textId="13AA5F63" w:rsidR="00E814DC" w:rsidRPr="007324A0" w:rsidRDefault="00E814DC"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Pokud zadavatel přistoupí k vyloučení dodavatele ze zadávacího řízení, je povinen rozhodnutí o vyloučení náležitě odůvodnit – z odůvodnění musí být jednoznačně patrné konkrétní důvody vedoucí k vyloučení.</w:t>
      </w:r>
    </w:p>
    <w:p w14:paraId="5586F882" w14:textId="5D16527E" w:rsidR="00E814DC" w:rsidRPr="007324A0" w:rsidRDefault="00E814DC"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Příklad:</w:t>
      </w:r>
    </w:p>
    <w:p w14:paraId="090637DF" w14:textId="4CCC97ED" w:rsidR="000D33C1" w:rsidRPr="00D14B78" w:rsidRDefault="00E814DC" w:rsidP="00EE5D91">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Zadavatel vyhotoví rozhodnutí o vyloučení, v němž uvede pouze to, že vylučuje dodavatele ze zadávacího řízení, neboť z jeho strany nebyl naplněn požadavek uvedený v bodu 5 zadávací dokumentace. Z takto formulovaného vyloučení není zřejmé, na základě</w:t>
      </w:r>
      <w:r w:rsidR="008B1D3D" w:rsidRPr="007324A0">
        <w:rPr>
          <w:rFonts w:ascii="Arial" w:hAnsi="Arial" w:cs="Arial"/>
          <w:spacing w:val="10"/>
          <w:sz w:val="21"/>
          <w:szCs w:val="21"/>
        </w:rPr>
        <w:t xml:space="preserve"> jakých konkrétních skutečností</w:t>
      </w:r>
      <w:r w:rsidRPr="007324A0">
        <w:rPr>
          <w:rFonts w:ascii="Arial" w:hAnsi="Arial" w:cs="Arial"/>
          <w:spacing w:val="10"/>
          <w:sz w:val="21"/>
          <w:szCs w:val="21"/>
        </w:rPr>
        <w:t xml:space="preserve"> zadavatel dovodil nesplnění </w:t>
      </w:r>
      <w:r w:rsidRPr="00D14B78">
        <w:rPr>
          <w:rFonts w:ascii="Arial" w:hAnsi="Arial" w:cs="Arial"/>
          <w:spacing w:val="10"/>
          <w:sz w:val="21"/>
          <w:szCs w:val="21"/>
        </w:rPr>
        <w:t>požadavku uvedeného v bodu 5 zadávací dokumentace.</w:t>
      </w:r>
      <w:r w:rsidR="00ED3C68" w:rsidRPr="00D14B78">
        <w:rPr>
          <w:rFonts w:ascii="Arial" w:hAnsi="Arial" w:cs="Arial"/>
          <w:spacing w:val="10"/>
          <w:sz w:val="21"/>
          <w:szCs w:val="21"/>
        </w:rPr>
        <w:t xml:space="preserve"> Takto formulované rozhodnutí vyloučení není zpětně přezkoumatelné je tudíž v rozporu se ZZVZ.</w:t>
      </w:r>
    </w:p>
    <w:p w14:paraId="21C74980" w14:textId="77777777" w:rsidR="00553B8B" w:rsidRPr="00D14B78" w:rsidRDefault="00553B8B" w:rsidP="007324A0">
      <w:pPr>
        <w:snapToGrid w:val="0"/>
        <w:spacing w:after="120" w:line="276" w:lineRule="auto"/>
        <w:jc w:val="both"/>
        <w:rPr>
          <w:rFonts w:ascii="Arial" w:hAnsi="Arial" w:cs="Arial"/>
          <w:spacing w:val="10"/>
          <w:sz w:val="21"/>
          <w:szCs w:val="21"/>
        </w:rPr>
      </w:pPr>
    </w:p>
    <w:p w14:paraId="6670AB54" w14:textId="741D3CA5" w:rsidR="00F03909" w:rsidRPr="00D14B78" w:rsidRDefault="00F03909" w:rsidP="007324A0">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D14B78">
        <w:rPr>
          <w:rFonts w:ascii="Arial" w:hAnsi="Arial" w:cs="Arial"/>
          <w:b/>
          <w:bCs/>
          <w:spacing w:val="10"/>
          <w:sz w:val="21"/>
          <w:szCs w:val="21"/>
        </w:rPr>
        <w:t>Povinnosti komise jmenované pro hodnocení a posouzení nabídky</w:t>
      </w:r>
    </w:p>
    <w:p w14:paraId="52BF0D6A" w14:textId="56D39A03" w:rsidR="00E60A05" w:rsidRPr="00D14B78" w:rsidRDefault="00E60A05" w:rsidP="00ED3C68">
      <w:pPr>
        <w:snapToGrid w:val="0"/>
        <w:spacing w:after="120" w:line="276" w:lineRule="auto"/>
        <w:ind w:left="360"/>
        <w:jc w:val="both"/>
        <w:rPr>
          <w:rFonts w:ascii="Arial" w:eastAsia="Times New Roman" w:hAnsi="Arial" w:cs="Arial"/>
          <w:spacing w:val="10"/>
          <w:sz w:val="21"/>
          <w:szCs w:val="21"/>
        </w:rPr>
      </w:pPr>
      <w:r w:rsidRPr="00D14B78">
        <w:rPr>
          <w:rFonts w:ascii="Arial" w:hAnsi="Arial" w:cs="Arial"/>
          <w:spacing w:val="10"/>
          <w:sz w:val="21"/>
          <w:szCs w:val="21"/>
        </w:rPr>
        <w:t xml:space="preserve">Pokud má být pro účely zadávacího řízení využita komise, je zadavatel povinen ji nejprve ustanovit. </w:t>
      </w:r>
      <w:r w:rsidRPr="00D14B78">
        <w:rPr>
          <w:rFonts w:ascii="Arial" w:eastAsia="Times New Roman" w:hAnsi="Arial" w:cs="Arial"/>
          <w:spacing w:val="10"/>
          <w:sz w:val="21"/>
          <w:szCs w:val="21"/>
        </w:rPr>
        <w:t>Zadavatel má přitom možnost v průběhu zadávacího řízení ustanovit jednu komisi nebo několik komisí, s tím, že každou komisi pověří provedením jiného úkonu – tzn. že zadavatel může ustanovit komisi pro otevírání nabídek, komisi pro hodnocení apod., přičemž složení každé komise může být různé.</w:t>
      </w:r>
    </w:p>
    <w:p w14:paraId="0E179AB3" w14:textId="2F6A16DA" w:rsidR="00195F05" w:rsidRPr="00D14B78" w:rsidRDefault="00195F05" w:rsidP="00ED3C68">
      <w:pPr>
        <w:snapToGrid w:val="0"/>
        <w:spacing w:after="120" w:line="276" w:lineRule="auto"/>
        <w:ind w:left="360"/>
        <w:jc w:val="both"/>
        <w:rPr>
          <w:rFonts w:ascii="Arial" w:eastAsia="Times New Roman" w:hAnsi="Arial" w:cs="Arial"/>
          <w:spacing w:val="10"/>
          <w:sz w:val="21"/>
          <w:szCs w:val="21"/>
        </w:rPr>
      </w:pPr>
      <w:r w:rsidRPr="00D14B78">
        <w:rPr>
          <w:rFonts w:ascii="Arial" w:eastAsia="Times New Roman" w:hAnsi="Arial" w:cs="Arial"/>
          <w:spacing w:val="10"/>
          <w:sz w:val="21"/>
          <w:szCs w:val="21"/>
        </w:rPr>
        <w:t>V </w:t>
      </w:r>
      <w:r w:rsidRPr="00D14B78">
        <w:rPr>
          <w:rFonts w:ascii="Arial" w:hAnsi="Arial" w:cs="Arial"/>
          <w:spacing w:val="10"/>
          <w:sz w:val="21"/>
          <w:szCs w:val="21"/>
        </w:rPr>
        <w:t>případě</w:t>
      </w:r>
      <w:r w:rsidRPr="00D14B78">
        <w:rPr>
          <w:rFonts w:ascii="Arial" w:eastAsia="Times New Roman" w:hAnsi="Arial" w:cs="Arial"/>
          <w:spacing w:val="10"/>
          <w:sz w:val="21"/>
          <w:szCs w:val="21"/>
        </w:rPr>
        <w:t xml:space="preserve"> komise, která se bude věnovat hodnocení nabídek a posuzování splnění podmínek účasti, lze doporučit, aby členem komise byly jmenovány osoby, které</w:t>
      </w:r>
      <w:r w:rsidR="00ED3C68" w:rsidRPr="00D14B78">
        <w:rPr>
          <w:rFonts w:ascii="Arial" w:eastAsia="Times New Roman" w:hAnsi="Arial" w:cs="Arial"/>
          <w:spacing w:val="10"/>
          <w:sz w:val="21"/>
          <w:szCs w:val="21"/>
        </w:rPr>
        <w:t> </w:t>
      </w:r>
      <w:r w:rsidRPr="00D14B78">
        <w:rPr>
          <w:rFonts w:ascii="Arial" w:eastAsia="Times New Roman" w:hAnsi="Arial" w:cs="Arial"/>
          <w:spacing w:val="10"/>
          <w:sz w:val="21"/>
          <w:szCs w:val="21"/>
        </w:rPr>
        <w:t>disponují odborností ve vztahu k předmětu plnění veřejné zakázky.</w:t>
      </w:r>
    </w:p>
    <w:p w14:paraId="5FC7DDB7" w14:textId="13FB7AF2" w:rsidR="00195F05" w:rsidRPr="00D14B78" w:rsidRDefault="00195F05" w:rsidP="00ED3C68">
      <w:pPr>
        <w:snapToGrid w:val="0"/>
        <w:spacing w:after="120" w:line="276" w:lineRule="auto"/>
        <w:ind w:left="360"/>
        <w:jc w:val="both"/>
        <w:rPr>
          <w:rFonts w:ascii="Arial" w:eastAsia="Times New Roman" w:hAnsi="Arial" w:cs="Arial"/>
          <w:spacing w:val="10"/>
          <w:sz w:val="21"/>
          <w:szCs w:val="21"/>
        </w:rPr>
      </w:pPr>
      <w:r w:rsidRPr="00D14B78">
        <w:rPr>
          <w:rFonts w:ascii="Arial" w:hAnsi="Arial" w:cs="Arial"/>
          <w:spacing w:val="10"/>
          <w:sz w:val="21"/>
          <w:szCs w:val="21"/>
        </w:rPr>
        <w:t>Ustanovená</w:t>
      </w:r>
      <w:r w:rsidRPr="00D14B78">
        <w:rPr>
          <w:rFonts w:ascii="Arial" w:eastAsia="Times New Roman" w:hAnsi="Arial" w:cs="Arial"/>
          <w:spacing w:val="10"/>
          <w:sz w:val="21"/>
          <w:szCs w:val="21"/>
        </w:rPr>
        <w:t xml:space="preserve"> komise má přitom řadu povinností, mezi ně zejména patří:</w:t>
      </w:r>
    </w:p>
    <w:p w14:paraId="00BA81F1" w14:textId="2D85D30A" w:rsidR="00195F05" w:rsidRPr="00D14B78" w:rsidRDefault="00195F05" w:rsidP="007324A0">
      <w:pPr>
        <w:pStyle w:val="Odstavecseseznamem"/>
        <w:numPr>
          <w:ilvl w:val="0"/>
          <w:numId w:val="22"/>
        </w:numPr>
        <w:snapToGrid w:val="0"/>
        <w:spacing w:after="120" w:line="276" w:lineRule="auto"/>
        <w:contextualSpacing w:val="0"/>
        <w:jc w:val="both"/>
        <w:rPr>
          <w:rFonts w:ascii="Arial" w:eastAsia="Times New Roman" w:hAnsi="Arial" w:cs="Arial"/>
          <w:spacing w:val="10"/>
          <w:sz w:val="21"/>
          <w:szCs w:val="21"/>
          <w:u w:val="single"/>
        </w:rPr>
      </w:pPr>
      <w:r w:rsidRPr="00D14B78">
        <w:rPr>
          <w:rFonts w:ascii="Arial" w:eastAsia="Times New Roman" w:hAnsi="Arial" w:cs="Arial"/>
          <w:spacing w:val="10"/>
          <w:sz w:val="21"/>
          <w:szCs w:val="21"/>
          <w:u w:val="single"/>
        </w:rPr>
        <w:t>Povinnost podepsat čestné prohlášení ke střetu zájmu</w:t>
      </w:r>
    </w:p>
    <w:p w14:paraId="41720F6E" w14:textId="1FE8B7E2" w:rsidR="00B74308" w:rsidRPr="00D14B78" w:rsidRDefault="00A477CA" w:rsidP="005C5C57">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 xml:space="preserve">Zadavatel je povinen postupovat tak, aby </w:t>
      </w:r>
      <w:r w:rsidR="00BA00A7" w:rsidRPr="00D14B78">
        <w:rPr>
          <w:rFonts w:ascii="Arial" w:hAnsi="Arial" w:cs="Arial"/>
          <w:spacing w:val="10"/>
          <w:sz w:val="21"/>
          <w:szCs w:val="21"/>
        </w:rPr>
        <w:t xml:space="preserve">v zadávacím řízení </w:t>
      </w:r>
      <w:r w:rsidRPr="00D14B78">
        <w:rPr>
          <w:rFonts w:ascii="Arial" w:hAnsi="Arial" w:cs="Arial"/>
          <w:spacing w:val="10"/>
          <w:sz w:val="21"/>
          <w:szCs w:val="21"/>
        </w:rPr>
        <w:t>nedocházelo ke střetu zájmů</w:t>
      </w:r>
      <w:r w:rsidR="00B74308" w:rsidRPr="00D14B78">
        <w:rPr>
          <w:rFonts w:ascii="Arial" w:hAnsi="Arial" w:cs="Arial"/>
          <w:spacing w:val="10"/>
          <w:sz w:val="21"/>
          <w:szCs w:val="21"/>
        </w:rPr>
        <w:t xml:space="preserve"> – tzn. že zadavatel musí zajistit, aby se na zadávacím řízení na straně zadavatele nepodílely osoby, které ovlivnily nebo by mohly ovlivnit výsledek zadávacího řízení, mají finanční či jiný osobní zájem ohrožující jejich nestrannost a nezávislost v souvislosti se zadávacím řízením.</w:t>
      </w:r>
    </w:p>
    <w:p w14:paraId="11C9B7CC" w14:textId="06FDA785" w:rsidR="00195F05" w:rsidRPr="00B74308" w:rsidRDefault="00195F05" w:rsidP="005C5C57">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Č</w:t>
      </w:r>
      <w:r w:rsidR="00957626" w:rsidRPr="00D14B78">
        <w:rPr>
          <w:rFonts w:ascii="Arial" w:eastAsia="Times New Roman" w:hAnsi="Arial" w:cs="Arial"/>
          <w:spacing w:val="10"/>
          <w:sz w:val="21"/>
          <w:szCs w:val="21"/>
        </w:rPr>
        <w:t xml:space="preserve">lenové komise </w:t>
      </w:r>
      <w:r w:rsidRPr="00D14B78">
        <w:rPr>
          <w:rFonts w:ascii="Arial" w:eastAsia="Times New Roman" w:hAnsi="Arial" w:cs="Arial"/>
          <w:spacing w:val="10"/>
          <w:sz w:val="21"/>
          <w:szCs w:val="21"/>
        </w:rPr>
        <w:t>(</w:t>
      </w:r>
      <w:r w:rsidR="00957626" w:rsidRPr="00D14B78">
        <w:rPr>
          <w:rFonts w:ascii="Arial" w:eastAsia="Times New Roman" w:hAnsi="Arial" w:cs="Arial"/>
          <w:spacing w:val="10"/>
          <w:sz w:val="21"/>
          <w:szCs w:val="21"/>
        </w:rPr>
        <w:t>ani přizvaní odborníci</w:t>
      </w:r>
      <w:r w:rsidRPr="00D14B78">
        <w:rPr>
          <w:rFonts w:ascii="Arial" w:eastAsia="Times New Roman" w:hAnsi="Arial" w:cs="Arial"/>
          <w:spacing w:val="10"/>
          <w:sz w:val="21"/>
          <w:szCs w:val="21"/>
        </w:rPr>
        <w:t>)</w:t>
      </w:r>
      <w:r w:rsidR="00957626" w:rsidRPr="00D14B78">
        <w:rPr>
          <w:rFonts w:ascii="Arial" w:eastAsia="Times New Roman" w:hAnsi="Arial" w:cs="Arial"/>
          <w:spacing w:val="10"/>
          <w:sz w:val="21"/>
          <w:szCs w:val="21"/>
        </w:rPr>
        <w:t xml:space="preserve"> nesmí být ve střetu zájmů ve smyslu § 44 </w:t>
      </w:r>
      <w:r w:rsidRPr="00D14B78">
        <w:rPr>
          <w:rFonts w:ascii="Arial" w:eastAsia="Times New Roman" w:hAnsi="Arial" w:cs="Arial"/>
          <w:spacing w:val="10"/>
          <w:sz w:val="21"/>
          <w:szCs w:val="21"/>
        </w:rPr>
        <w:t>ZZVZ</w:t>
      </w:r>
      <w:r w:rsidR="00957626" w:rsidRPr="00D14B78">
        <w:rPr>
          <w:rFonts w:ascii="Arial" w:eastAsia="Times New Roman" w:hAnsi="Arial" w:cs="Arial"/>
          <w:spacing w:val="10"/>
          <w:sz w:val="21"/>
          <w:szCs w:val="21"/>
        </w:rPr>
        <w:t>. Proto si od nich musí zadavatel vyžádat podpis písemného čestného prohlášení o tom, že nejsou ve střetu zájmu.</w:t>
      </w:r>
      <w:r w:rsidR="00A477CA" w:rsidRPr="00D14B78">
        <w:rPr>
          <w:rFonts w:ascii="Arial" w:eastAsia="Times New Roman" w:hAnsi="Arial" w:cs="Arial"/>
          <w:spacing w:val="10"/>
          <w:sz w:val="21"/>
          <w:szCs w:val="21"/>
        </w:rPr>
        <w:t xml:space="preserve"> Pokud by tato čestná prohlášení nebyla předložena</w:t>
      </w:r>
      <w:r w:rsidR="00835C36" w:rsidRPr="00D14B78">
        <w:rPr>
          <w:rFonts w:ascii="Arial" w:eastAsia="Times New Roman" w:hAnsi="Arial" w:cs="Arial"/>
          <w:spacing w:val="10"/>
          <w:sz w:val="21"/>
          <w:szCs w:val="21"/>
        </w:rPr>
        <w:t>, resp. podepsána,</w:t>
      </w:r>
      <w:r w:rsidR="00A477CA" w:rsidRPr="00D14B78">
        <w:rPr>
          <w:rFonts w:ascii="Arial" w:eastAsia="Times New Roman" w:hAnsi="Arial" w:cs="Arial"/>
          <w:spacing w:val="10"/>
          <w:sz w:val="21"/>
          <w:szCs w:val="21"/>
        </w:rPr>
        <w:t xml:space="preserve"> nebo </w:t>
      </w:r>
      <w:r w:rsidR="00835C36" w:rsidRPr="00D14B78">
        <w:rPr>
          <w:rFonts w:ascii="Arial" w:eastAsia="Times New Roman" w:hAnsi="Arial" w:cs="Arial"/>
          <w:spacing w:val="10"/>
          <w:sz w:val="21"/>
          <w:szCs w:val="21"/>
        </w:rPr>
        <w:t xml:space="preserve">by </w:t>
      </w:r>
      <w:r w:rsidR="00A477CA" w:rsidRPr="00D14B78">
        <w:rPr>
          <w:rFonts w:ascii="Arial" w:eastAsia="Times New Roman" w:hAnsi="Arial" w:cs="Arial"/>
          <w:spacing w:val="10"/>
          <w:sz w:val="21"/>
          <w:szCs w:val="21"/>
        </w:rPr>
        <w:t>střet zájmů nevylučovala a zadavatel by takové osoby z procesu zadávání veřejné zakázky nevyloučil</w:t>
      </w:r>
      <w:r w:rsidR="005C5C57" w:rsidRPr="00D14B78">
        <w:rPr>
          <w:rFonts w:ascii="Arial" w:eastAsia="Times New Roman" w:hAnsi="Arial" w:cs="Arial"/>
          <w:spacing w:val="10"/>
          <w:sz w:val="21"/>
          <w:szCs w:val="21"/>
        </w:rPr>
        <w:t xml:space="preserve">, dopustil by se </w:t>
      </w:r>
      <w:r w:rsidR="00BA00A7" w:rsidRPr="00D14B78">
        <w:rPr>
          <w:rFonts w:ascii="Arial" w:eastAsia="Times New Roman" w:hAnsi="Arial" w:cs="Arial"/>
          <w:spacing w:val="10"/>
          <w:sz w:val="21"/>
          <w:szCs w:val="21"/>
        </w:rPr>
        <w:t xml:space="preserve">porušení </w:t>
      </w:r>
      <w:r w:rsidR="005C5C57" w:rsidRPr="00D14B78">
        <w:rPr>
          <w:rFonts w:ascii="Arial" w:eastAsia="Times New Roman" w:hAnsi="Arial" w:cs="Arial"/>
          <w:spacing w:val="10"/>
          <w:sz w:val="21"/>
          <w:szCs w:val="21"/>
        </w:rPr>
        <w:t>preventivní povinnosti, která pro</w:t>
      </w:r>
      <w:r w:rsidR="00BA00A7" w:rsidRPr="00D14B78">
        <w:rPr>
          <w:rFonts w:ascii="Arial" w:eastAsia="Times New Roman" w:hAnsi="Arial" w:cs="Arial"/>
          <w:spacing w:val="10"/>
          <w:sz w:val="21"/>
          <w:szCs w:val="21"/>
        </w:rPr>
        <w:t> </w:t>
      </w:r>
      <w:r w:rsidR="005C5C57" w:rsidRPr="00D14B78">
        <w:rPr>
          <w:rFonts w:ascii="Arial" w:eastAsia="Times New Roman" w:hAnsi="Arial" w:cs="Arial"/>
          <w:spacing w:val="10"/>
          <w:sz w:val="21"/>
          <w:szCs w:val="21"/>
        </w:rPr>
        <w:t xml:space="preserve">něho vyplývá z § 44 odst. 1 </w:t>
      </w:r>
      <w:r w:rsidR="005C5C57" w:rsidRPr="00D14B78">
        <w:rPr>
          <w:rFonts w:ascii="Arial" w:hAnsi="Arial" w:cs="Arial"/>
          <w:spacing w:val="10"/>
          <w:sz w:val="21"/>
          <w:szCs w:val="21"/>
        </w:rPr>
        <w:t>věty první</w:t>
      </w:r>
      <w:r w:rsidR="005C5C57" w:rsidRPr="00B74308">
        <w:rPr>
          <w:rFonts w:ascii="Arial" w:hAnsi="Arial" w:cs="Arial"/>
          <w:spacing w:val="10"/>
          <w:sz w:val="21"/>
          <w:szCs w:val="21"/>
        </w:rPr>
        <w:t xml:space="preserve"> ZZVZ.</w:t>
      </w:r>
    </w:p>
    <w:p w14:paraId="474A3D9D" w14:textId="78DB89E6" w:rsidR="00F74D78" w:rsidRPr="00B74308" w:rsidRDefault="00F74D78" w:rsidP="005C5C57">
      <w:pPr>
        <w:snapToGrid w:val="0"/>
        <w:spacing w:after="120" w:line="276" w:lineRule="auto"/>
        <w:ind w:left="360"/>
        <w:jc w:val="both"/>
        <w:rPr>
          <w:rFonts w:ascii="Arial" w:hAnsi="Arial" w:cs="Arial"/>
          <w:spacing w:val="10"/>
          <w:sz w:val="21"/>
          <w:szCs w:val="21"/>
        </w:rPr>
      </w:pPr>
      <w:r w:rsidRPr="00B74308">
        <w:rPr>
          <w:rFonts w:ascii="Arial" w:hAnsi="Arial" w:cs="Arial"/>
          <w:spacing w:val="10"/>
          <w:sz w:val="21"/>
          <w:szCs w:val="21"/>
        </w:rPr>
        <w:t>Čestné prohlášení o neexistenci střetu zájmů by mělo obsahovat zejména identifikaci zadávacího řízení, vymezení střetu zájmů, prohlášení, že podepisující osoba není ve střetu zájmů, identifikaci podepisující osoby, datum podpisu a podpis. Prohlášení může obsahovat také např. poučení, jak postupovat, pokud střet zájmů, byť i potenciální, v budoucnu nastane.</w:t>
      </w:r>
    </w:p>
    <w:p w14:paraId="79D20DD6" w14:textId="76AACEBA" w:rsidR="00195F05" w:rsidRPr="007324A0" w:rsidRDefault="00195F05" w:rsidP="005C5C57">
      <w:pPr>
        <w:snapToGrid w:val="0"/>
        <w:spacing w:after="120" w:line="276" w:lineRule="auto"/>
        <w:ind w:left="360"/>
        <w:jc w:val="both"/>
        <w:rPr>
          <w:rFonts w:ascii="Arial" w:eastAsia="Times New Roman" w:hAnsi="Arial" w:cs="Arial"/>
          <w:spacing w:val="10"/>
          <w:sz w:val="21"/>
          <w:szCs w:val="21"/>
        </w:rPr>
      </w:pPr>
      <w:r w:rsidRPr="00B74308">
        <w:rPr>
          <w:rFonts w:ascii="Arial" w:hAnsi="Arial" w:cs="Arial"/>
          <w:spacing w:val="10"/>
          <w:sz w:val="21"/>
          <w:szCs w:val="21"/>
        </w:rPr>
        <w:t>Uvedené čestné prohlášení přitom musí podepsat každý člen ustanovené komise, příp. jeho náhradník, pokud se účastní jednání komise,</w:t>
      </w:r>
      <w:r w:rsidRPr="007324A0">
        <w:rPr>
          <w:rFonts w:ascii="Arial" w:eastAsia="Times New Roman" w:hAnsi="Arial" w:cs="Arial"/>
          <w:spacing w:val="10"/>
          <w:sz w:val="21"/>
          <w:szCs w:val="21"/>
        </w:rPr>
        <w:t xml:space="preserve"> a též každý přizvaný odborník.</w:t>
      </w:r>
    </w:p>
    <w:p w14:paraId="74DD7085" w14:textId="21A7217F" w:rsidR="00195F05" w:rsidRDefault="00195F05" w:rsidP="005C5C57">
      <w:pPr>
        <w:snapToGrid w:val="0"/>
        <w:spacing w:after="120" w:line="276" w:lineRule="auto"/>
        <w:ind w:left="360"/>
        <w:jc w:val="both"/>
        <w:rPr>
          <w:rFonts w:ascii="Arial" w:eastAsia="Times New Roman" w:hAnsi="Arial" w:cs="Arial"/>
          <w:spacing w:val="10"/>
          <w:sz w:val="21"/>
          <w:szCs w:val="21"/>
        </w:rPr>
      </w:pPr>
      <w:r w:rsidRPr="005C5C57">
        <w:rPr>
          <w:rFonts w:ascii="Arial" w:eastAsia="Times New Roman" w:hAnsi="Arial" w:cs="Arial"/>
          <w:spacing w:val="10"/>
          <w:sz w:val="21"/>
          <w:szCs w:val="21"/>
        </w:rPr>
        <w:t>Podepsané</w:t>
      </w:r>
      <w:r w:rsidRPr="007324A0">
        <w:rPr>
          <w:rFonts w:ascii="Arial" w:eastAsia="Times New Roman" w:hAnsi="Arial" w:cs="Arial"/>
          <w:spacing w:val="10"/>
          <w:sz w:val="21"/>
          <w:szCs w:val="21"/>
        </w:rPr>
        <w:t xml:space="preserve"> čestní prohlášení by mělo být součástí dokumentace o zadávacím řízení.</w:t>
      </w:r>
    </w:p>
    <w:p w14:paraId="03B485BF" w14:textId="0BF45D72" w:rsidR="005C5C57" w:rsidRDefault="00BA00A7" w:rsidP="005C5C57">
      <w:pPr>
        <w:snapToGrid w:val="0"/>
        <w:spacing w:after="120" w:line="276" w:lineRule="auto"/>
        <w:ind w:left="360"/>
        <w:jc w:val="both"/>
        <w:rPr>
          <w:rFonts w:ascii="Arial" w:eastAsia="Times New Roman" w:hAnsi="Arial" w:cs="Arial"/>
          <w:spacing w:val="10"/>
          <w:sz w:val="21"/>
          <w:szCs w:val="21"/>
        </w:rPr>
      </w:pPr>
      <w:r>
        <w:rPr>
          <w:rFonts w:ascii="Arial" w:eastAsia="Times New Roman" w:hAnsi="Arial" w:cs="Arial"/>
          <w:spacing w:val="10"/>
          <w:sz w:val="21"/>
          <w:szCs w:val="21"/>
        </w:rPr>
        <w:lastRenderedPageBreak/>
        <w:t>S</w:t>
      </w:r>
      <w:r w:rsidR="005C5C57">
        <w:rPr>
          <w:rFonts w:ascii="Arial" w:eastAsia="Times New Roman" w:hAnsi="Arial" w:cs="Arial"/>
          <w:spacing w:val="10"/>
          <w:sz w:val="21"/>
          <w:szCs w:val="21"/>
        </w:rPr>
        <w:t xml:space="preserve">třet zájmů ve smyslu § 44 ZZVZ </w:t>
      </w:r>
      <w:r>
        <w:rPr>
          <w:rFonts w:ascii="Arial" w:eastAsia="Times New Roman" w:hAnsi="Arial" w:cs="Arial"/>
          <w:spacing w:val="10"/>
          <w:sz w:val="21"/>
          <w:szCs w:val="21"/>
        </w:rPr>
        <w:t>je možné spatřovat v</w:t>
      </w:r>
      <w:r w:rsidR="005C5C57">
        <w:rPr>
          <w:rFonts w:ascii="Arial" w:eastAsia="Times New Roman" w:hAnsi="Arial" w:cs="Arial"/>
          <w:spacing w:val="10"/>
          <w:sz w:val="21"/>
          <w:szCs w:val="21"/>
        </w:rPr>
        <w:t> těchto situacích:</w:t>
      </w:r>
    </w:p>
    <w:p w14:paraId="6E8B525F" w14:textId="77777777" w:rsidR="005C5C57" w:rsidRPr="005C5C57" w:rsidRDefault="00D4629C" w:rsidP="005C5C57">
      <w:pPr>
        <w:pStyle w:val="Odstavecseseznamem"/>
        <w:numPr>
          <w:ilvl w:val="0"/>
          <w:numId w:val="41"/>
        </w:numPr>
        <w:snapToGrid w:val="0"/>
        <w:spacing w:after="120" w:line="276" w:lineRule="auto"/>
        <w:contextualSpacing w:val="0"/>
        <w:jc w:val="both"/>
        <w:rPr>
          <w:rFonts w:ascii="Arial" w:eastAsia="Times New Roman" w:hAnsi="Arial" w:cs="Arial"/>
          <w:spacing w:val="10"/>
          <w:sz w:val="21"/>
          <w:szCs w:val="21"/>
        </w:rPr>
      </w:pPr>
      <w:r w:rsidRPr="005C5C57">
        <w:rPr>
          <w:rFonts w:ascii="Arial" w:eastAsia="Times New Roman" w:hAnsi="Arial" w:cs="Arial"/>
          <w:spacing w:val="10"/>
          <w:sz w:val="21"/>
          <w:szCs w:val="21"/>
        </w:rPr>
        <w:t>manželka úředníka, který je u zadavatele pověřen sledováním zadávacího řízení, pracuje pro jednoho z účastníků zadávacího řízení;</w:t>
      </w:r>
    </w:p>
    <w:p w14:paraId="11B4F298" w14:textId="1A9500A9" w:rsidR="005C5C57" w:rsidRPr="005C5C57" w:rsidRDefault="00D4629C" w:rsidP="005C5C57">
      <w:pPr>
        <w:pStyle w:val="Odstavecseseznamem"/>
        <w:numPr>
          <w:ilvl w:val="0"/>
          <w:numId w:val="41"/>
        </w:numPr>
        <w:snapToGrid w:val="0"/>
        <w:spacing w:after="120" w:line="276" w:lineRule="auto"/>
        <w:contextualSpacing w:val="0"/>
        <w:jc w:val="both"/>
        <w:rPr>
          <w:rFonts w:ascii="Arial" w:eastAsia="Times New Roman" w:hAnsi="Arial" w:cs="Arial"/>
          <w:spacing w:val="10"/>
          <w:sz w:val="21"/>
          <w:szCs w:val="21"/>
        </w:rPr>
      </w:pPr>
      <w:r w:rsidRPr="005C5C57">
        <w:rPr>
          <w:rFonts w:ascii="Arial" w:eastAsia="Times New Roman" w:hAnsi="Arial" w:cs="Arial"/>
          <w:spacing w:val="10"/>
          <w:sz w:val="21"/>
          <w:szCs w:val="21"/>
        </w:rPr>
        <w:t>osoba vlastní akcie společnosti a tato společnost se zúčastní zadávacího řízení, pro které je tato osoba jmenována do hodnotic</w:t>
      </w:r>
      <w:r w:rsidR="005C5C57">
        <w:rPr>
          <w:rFonts w:ascii="Arial" w:eastAsia="Times New Roman" w:hAnsi="Arial" w:cs="Arial"/>
          <w:spacing w:val="10"/>
          <w:sz w:val="21"/>
          <w:szCs w:val="21"/>
        </w:rPr>
        <w:t>í komise</w:t>
      </w:r>
      <w:r w:rsidRPr="005C5C57">
        <w:rPr>
          <w:rFonts w:ascii="Arial" w:eastAsia="Times New Roman" w:hAnsi="Arial" w:cs="Arial"/>
          <w:spacing w:val="10"/>
          <w:sz w:val="21"/>
          <w:szCs w:val="21"/>
        </w:rPr>
        <w:t>;</w:t>
      </w:r>
    </w:p>
    <w:p w14:paraId="7F6714D1" w14:textId="77777777" w:rsidR="005C5C57" w:rsidRPr="005C5C57" w:rsidRDefault="00D4629C" w:rsidP="005C5C57">
      <w:pPr>
        <w:pStyle w:val="Odstavecseseznamem"/>
        <w:numPr>
          <w:ilvl w:val="0"/>
          <w:numId w:val="41"/>
        </w:numPr>
        <w:snapToGrid w:val="0"/>
        <w:spacing w:after="120" w:line="276" w:lineRule="auto"/>
        <w:contextualSpacing w:val="0"/>
        <w:jc w:val="both"/>
        <w:rPr>
          <w:rFonts w:ascii="Arial" w:eastAsia="Times New Roman" w:hAnsi="Arial" w:cs="Arial"/>
          <w:spacing w:val="10"/>
          <w:sz w:val="21"/>
          <w:szCs w:val="21"/>
        </w:rPr>
      </w:pPr>
      <w:r w:rsidRPr="005C5C57">
        <w:rPr>
          <w:rFonts w:ascii="Arial" w:eastAsia="Times New Roman" w:hAnsi="Arial" w:cs="Arial"/>
          <w:spacing w:val="10"/>
          <w:sz w:val="21"/>
          <w:szCs w:val="21"/>
        </w:rPr>
        <w:t>vedoucí pracovník zadavatele strávil týdenní dovolenou s výkonným ředitelem společnosti, která se účastní zadávacího řízení zahájeného zadavatelem;</w:t>
      </w:r>
    </w:p>
    <w:p w14:paraId="051FFBA1" w14:textId="566BC4BB" w:rsidR="00D4629C" w:rsidRPr="005C5C57" w:rsidRDefault="00D4629C" w:rsidP="005C5C57">
      <w:pPr>
        <w:pStyle w:val="Odstavecseseznamem"/>
        <w:numPr>
          <w:ilvl w:val="0"/>
          <w:numId w:val="41"/>
        </w:numPr>
        <w:snapToGrid w:val="0"/>
        <w:spacing w:after="120" w:line="276" w:lineRule="auto"/>
        <w:contextualSpacing w:val="0"/>
        <w:jc w:val="both"/>
        <w:rPr>
          <w:rFonts w:ascii="Arial" w:eastAsia="Times New Roman" w:hAnsi="Arial" w:cs="Arial"/>
          <w:spacing w:val="10"/>
          <w:sz w:val="21"/>
          <w:szCs w:val="21"/>
        </w:rPr>
      </w:pPr>
      <w:r w:rsidRPr="005C5C57">
        <w:rPr>
          <w:rFonts w:ascii="Arial" w:eastAsia="Times New Roman" w:hAnsi="Arial" w:cs="Arial"/>
          <w:spacing w:val="10"/>
          <w:sz w:val="21"/>
          <w:szCs w:val="21"/>
        </w:rPr>
        <w:t>úředník zadavatele a výkonný ředitel jedné ze společností, které se účastní zadávacího řízení, mají určité povinnosti ve stejné politické straně.</w:t>
      </w:r>
    </w:p>
    <w:p w14:paraId="0EE25932" w14:textId="77777777" w:rsidR="00D4629C" w:rsidRPr="007324A0" w:rsidRDefault="00D4629C" w:rsidP="005C5C57">
      <w:pPr>
        <w:snapToGrid w:val="0"/>
        <w:spacing w:after="120" w:line="276" w:lineRule="auto"/>
        <w:jc w:val="both"/>
        <w:rPr>
          <w:rFonts w:ascii="Arial" w:eastAsia="Times New Roman" w:hAnsi="Arial" w:cs="Arial"/>
          <w:spacing w:val="10"/>
          <w:sz w:val="21"/>
          <w:szCs w:val="21"/>
        </w:rPr>
      </w:pPr>
    </w:p>
    <w:p w14:paraId="54CDE602" w14:textId="7B12A435" w:rsidR="00195F05" w:rsidRPr="007324A0" w:rsidRDefault="00195F05" w:rsidP="007324A0">
      <w:pPr>
        <w:pStyle w:val="Odstavecseseznamem"/>
        <w:numPr>
          <w:ilvl w:val="0"/>
          <w:numId w:val="22"/>
        </w:numPr>
        <w:snapToGrid w:val="0"/>
        <w:spacing w:after="120" w:line="276" w:lineRule="auto"/>
        <w:contextualSpacing w:val="0"/>
        <w:jc w:val="both"/>
        <w:rPr>
          <w:rFonts w:ascii="Arial" w:eastAsia="Times New Roman" w:hAnsi="Arial" w:cs="Arial"/>
          <w:spacing w:val="10"/>
          <w:sz w:val="21"/>
          <w:szCs w:val="21"/>
          <w:u w:val="single"/>
        </w:rPr>
      </w:pPr>
      <w:r w:rsidRPr="007324A0">
        <w:rPr>
          <w:rFonts w:ascii="Arial" w:eastAsia="Times New Roman" w:hAnsi="Arial" w:cs="Arial"/>
          <w:spacing w:val="10"/>
          <w:sz w:val="21"/>
          <w:szCs w:val="21"/>
          <w:u w:val="single"/>
        </w:rPr>
        <w:t>Povinnost uchovávat mlčenlivost</w:t>
      </w:r>
    </w:p>
    <w:p w14:paraId="14280C32" w14:textId="77777777" w:rsidR="00ED3C68" w:rsidRDefault="00195F05" w:rsidP="00ED3C68">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Č</w:t>
      </w:r>
      <w:r w:rsidR="00D62C34" w:rsidRPr="007324A0">
        <w:rPr>
          <w:rFonts w:ascii="Arial" w:eastAsia="Times New Roman" w:hAnsi="Arial" w:cs="Arial"/>
          <w:spacing w:val="10"/>
          <w:sz w:val="21"/>
          <w:szCs w:val="21"/>
        </w:rPr>
        <w:t>lenové komise mají povinnost mlčenlivosti ve vztahu k informacím souvisejícím s </w:t>
      </w:r>
      <w:r w:rsidR="00D62C34" w:rsidRPr="00ED3C68">
        <w:rPr>
          <w:rFonts w:ascii="Arial" w:hAnsi="Arial" w:cs="Arial"/>
          <w:spacing w:val="10"/>
          <w:sz w:val="21"/>
          <w:szCs w:val="21"/>
        </w:rPr>
        <w:t>posouzením</w:t>
      </w:r>
      <w:r w:rsidR="00D62C34" w:rsidRPr="007324A0">
        <w:rPr>
          <w:rFonts w:ascii="Arial" w:eastAsia="Times New Roman" w:hAnsi="Arial" w:cs="Arial"/>
          <w:spacing w:val="10"/>
          <w:sz w:val="21"/>
          <w:szCs w:val="21"/>
        </w:rPr>
        <w:t xml:space="preserve"> a hodnocením nabídek, které byly na jednání komise diskutovány. </w:t>
      </w:r>
    </w:p>
    <w:p w14:paraId="4E5C097E" w14:textId="40AEFCE1" w:rsidR="00195F05" w:rsidRPr="007324A0" w:rsidRDefault="00D62C34" w:rsidP="00ED3C68">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Tyt</w:t>
      </w:r>
      <w:r w:rsidR="00ED3C68">
        <w:rPr>
          <w:rFonts w:ascii="Arial" w:eastAsia="Times New Roman" w:hAnsi="Arial" w:cs="Arial"/>
          <w:spacing w:val="10"/>
          <w:sz w:val="21"/>
          <w:szCs w:val="21"/>
        </w:rPr>
        <w:t>o</w:t>
      </w:r>
      <w:r w:rsidRPr="007324A0">
        <w:rPr>
          <w:rFonts w:ascii="Arial" w:eastAsia="Times New Roman" w:hAnsi="Arial" w:cs="Arial"/>
          <w:spacing w:val="10"/>
          <w:sz w:val="21"/>
          <w:szCs w:val="21"/>
        </w:rPr>
        <w:t xml:space="preserve"> informace by tedy členové komise neměly nikde sdělovat, a to ani účastníkům zadávacího řízení.</w:t>
      </w:r>
    </w:p>
    <w:p w14:paraId="4438B6A6" w14:textId="1B2AD22E" w:rsidR="00957626" w:rsidRPr="007324A0" w:rsidRDefault="00195F05" w:rsidP="007324A0">
      <w:pPr>
        <w:pStyle w:val="Odstavecseseznamem"/>
        <w:numPr>
          <w:ilvl w:val="0"/>
          <w:numId w:val="22"/>
        </w:numPr>
        <w:snapToGrid w:val="0"/>
        <w:spacing w:after="120" w:line="276" w:lineRule="auto"/>
        <w:contextualSpacing w:val="0"/>
        <w:jc w:val="both"/>
        <w:rPr>
          <w:rFonts w:ascii="Arial" w:eastAsia="Times New Roman" w:hAnsi="Arial" w:cs="Arial"/>
          <w:spacing w:val="10"/>
          <w:sz w:val="21"/>
          <w:szCs w:val="21"/>
          <w:u w:val="single"/>
        </w:rPr>
      </w:pPr>
      <w:r w:rsidRPr="007324A0">
        <w:rPr>
          <w:rFonts w:ascii="Arial" w:eastAsia="Times New Roman" w:hAnsi="Arial" w:cs="Arial"/>
          <w:spacing w:val="10"/>
          <w:sz w:val="21"/>
          <w:szCs w:val="21"/>
          <w:u w:val="single"/>
        </w:rPr>
        <w:t>Povinnost vyhotovit záznam z jednání komise</w:t>
      </w:r>
    </w:p>
    <w:p w14:paraId="10D15B6F" w14:textId="4CC61371" w:rsidR="00195F05" w:rsidRPr="007324A0" w:rsidRDefault="00957626" w:rsidP="00ED3C68">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 xml:space="preserve">V souladu se zásadou transparentnosti by měl </w:t>
      </w:r>
      <w:r w:rsidR="00195F05" w:rsidRPr="007324A0">
        <w:rPr>
          <w:rFonts w:ascii="Arial" w:eastAsia="Times New Roman" w:hAnsi="Arial" w:cs="Arial"/>
          <w:spacing w:val="10"/>
          <w:sz w:val="21"/>
          <w:szCs w:val="21"/>
        </w:rPr>
        <w:t>být vyhotoven</w:t>
      </w:r>
      <w:r w:rsidRPr="007324A0">
        <w:rPr>
          <w:rFonts w:ascii="Arial" w:eastAsia="Times New Roman" w:hAnsi="Arial" w:cs="Arial"/>
          <w:spacing w:val="10"/>
          <w:sz w:val="21"/>
          <w:szCs w:val="21"/>
        </w:rPr>
        <w:t xml:space="preserve"> z jednání komise písemný protokol. Lze přitom vyhotovit samostatný protokol z každého jednání komise, případně jeden souhrnný protokol, z něhož bude patrné, že proběhlo několik jednání komise. Protokol z jednání komise by měl být součástí dokumentace o</w:t>
      </w:r>
      <w:r w:rsidR="00ED3C68">
        <w:rPr>
          <w:rFonts w:ascii="Arial" w:eastAsia="Times New Roman" w:hAnsi="Arial" w:cs="Arial"/>
          <w:spacing w:val="10"/>
          <w:sz w:val="21"/>
          <w:szCs w:val="21"/>
        </w:rPr>
        <w:t> </w:t>
      </w:r>
      <w:r w:rsidRPr="007324A0">
        <w:rPr>
          <w:rFonts w:ascii="Arial" w:eastAsia="Times New Roman" w:hAnsi="Arial" w:cs="Arial"/>
          <w:spacing w:val="10"/>
          <w:sz w:val="21"/>
          <w:szCs w:val="21"/>
        </w:rPr>
        <w:t>zadávacím řízení.</w:t>
      </w:r>
    </w:p>
    <w:p w14:paraId="01819D61" w14:textId="7EDC07DC" w:rsidR="00195F05" w:rsidRPr="007324A0" w:rsidRDefault="00957626" w:rsidP="00ED3C68">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K tomuto je nutné dodat, že vyhotovování protokolů je skutečně potřebné, neboť</w:t>
      </w:r>
      <w:r w:rsidR="00ED3C68">
        <w:rPr>
          <w:rFonts w:ascii="Arial" w:eastAsia="Times New Roman" w:hAnsi="Arial" w:cs="Arial"/>
          <w:spacing w:val="10"/>
          <w:sz w:val="21"/>
          <w:szCs w:val="21"/>
        </w:rPr>
        <w:t> </w:t>
      </w:r>
      <w:r w:rsidR="00195F05" w:rsidRPr="007324A0">
        <w:rPr>
          <w:rFonts w:ascii="Arial" w:eastAsia="Times New Roman" w:hAnsi="Arial" w:cs="Arial"/>
          <w:spacing w:val="10"/>
          <w:sz w:val="21"/>
          <w:szCs w:val="21"/>
        </w:rPr>
        <w:t>n</w:t>
      </w:r>
      <w:r w:rsidRPr="007324A0">
        <w:rPr>
          <w:rFonts w:ascii="Arial" w:eastAsia="Times New Roman" w:hAnsi="Arial" w:cs="Arial"/>
          <w:spacing w:val="10"/>
          <w:sz w:val="21"/>
          <w:szCs w:val="21"/>
        </w:rPr>
        <w:t>a</w:t>
      </w:r>
      <w:r w:rsidR="00ED3C68">
        <w:rPr>
          <w:rFonts w:ascii="Arial" w:eastAsia="Times New Roman" w:hAnsi="Arial" w:cs="Arial"/>
          <w:spacing w:val="10"/>
          <w:sz w:val="21"/>
          <w:szCs w:val="21"/>
        </w:rPr>
        <w:t> </w:t>
      </w:r>
      <w:r w:rsidRPr="007324A0">
        <w:rPr>
          <w:rFonts w:ascii="Arial" w:eastAsia="Times New Roman" w:hAnsi="Arial" w:cs="Arial"/>
          <w:spacing w:val="10"/>
          <w:sz w:val="21"/>
          <w:szCs w:val="21"/>
        </w:rPr>
        <w:t xml:space="preserve">základě </w:t>
      </w:r>
      <w:r w:rsidRPr="00ED3C68">
        <w:rPr>
          <w:rFonts w:ascii="Arial" w:hAnsi="Arial" w:cs="Arial"/>
          <w:spacing w:val="10"/>
          <w:sz w:val="21"/>
          <w:szCs w:val="21"/>
        </w:rPr>
        <w:t>protokolu</w:t>
      </w:r>
      <w:r w:rsidRPr="007324A0">
        <w:rPr>
          <w:rFonts w:ascii="Arial" w:eastAsia="Times New Roman" w:hAnsi="Arial" w:cs="Arial"/>
          <w:spacing w:val="10"/>
          <w:sz w:val="21"/>
          <w:szCs w:val="21"/>
        </w:rPr>
        <w:t xml:space="preserve"> je pak možné postup komise zpětně zkontrolovat.</w:t>
      </w:r>
    </w:p>
    <w:p w14:paraId="11A21143" w14:textId="7C707691" w:rsidR="00957626" w:rsidRPr="007324A0" w:rsidRDefault="00957626" w:rsidP="00ED3C68">
      <w:pPr>
        <w:snapToGrid w:val="0"/>
        <w:spacing w:after="120" w:line="276" w:lineRule="auto"/>
        <w:ind w:left="360"/>
        <w:jc w:val="both"/>
        <w:rPr>
          <w:rFonts w:ascii="Arial" w:eastAsia="Times New Roman" w:hAnsi="Arial" w:cs="Arial"/>
          <w:spacing w:val="10"/>
          <w:sz w:val="21"/>
          <w:szCs w:val="21"/>
        </w:rPr>
      </w:pPr>
      <w:r w:rsidRPr="00ED3C68">
        <w:rPr>
          <w:rFonts w:ascii="Arial" w:hAnsi="Arial" w:cs="Arial"/>
          <w:spacing w:val="10"/>
          <w:sz w:val="21"/>
          <w:szCs w:val="21"/>
        </w:rPr>
        <w:t>Protokol</w:t>
      </w:r>
      <w:r w:rsidRPr="007324A0">
        <w:rPr>
          <w:rFonts w:ascii="Arial" w:eastAsia="Times New Roman" w:hAnsi="Arial" w:cs="Arial"/>
          <w:spacing w:val="10"/>
          <w:sz w:val="21"/>
          <w:szCs w:val="21"/>
        </w:rPr>
        <w:t xml:space="preserve"> z jednán komise může být doplněn o audio či videozáznam, pokud je uznáno za vhodné.</w:t>
      </w:r>
    </w:p>
    <w:p w14:paraId="0428D8FC" w14:textId="77777777" w:rsidR="00957626" w:rsidRPr="007324A0" w:rsidRDefault="00957626" w:rsidP="00ED3C68">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Pokud jde o obsahové náležitosti protokolu z jednání komise, tak by v něm měly být uvedeny zejména tyto informace:</w:t>
      </w:r>
    </w:p>
    <w:p w14:paraId="6447F083" w14:textId="77777777" w:rsidR="00195F05" w:rsidRPr="007324A0" w:rsidRDefault="00957626"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identifikace členů komise či jejich náhradníků (tj. zejména jejich jméno, příjmení a pozice), kteří se jednání komise účastnily,</w:t>
      </w:r>
    </w:p>
    <w:p w14:paraId="3FC73C79" w14:textId="147DFD69" w:rsidR="00195F05" w:rsidRPr="007324A0" w:rsidRDefault="00957626"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identifikace členů komise (tj. zejména jejich jméno, příjmení a pozice), kteří</w:t>
      </w:r>
      <w:r w:rsidR="00ED3C68">
        <w:rPr>
          <w:rFonts w:ascii="Arial" w:eastAsia="Times New Roman" w:hAnsi="Arial" w:cs="Arial"/>
          <w:spacing w:val="10"/>
          <w:sz w:val="21"/>
          <w:szCs w:val="21"/>
        </w:rPr>
        <w:t> </w:t>
      </w:r>
      <w:r w:rsidRPr="007324A0">
        <w:rPr>
          <w:rFonts w:ascii="Arial" w:eastAsia="Times New Roman" w:hAnsi="Arial" w:cs="Arial"/>
          <w:spacing w:val="10"/>
          <w:sz w:val="21"/>
          <w:szCs w:val="21"/>
        </w:rPr>
        <w:t>se jednání komise neúčastnily,</w:t>
      </w:r>
    </w:p>
    <w:p w14:paraId="01AC5433" w14:textId="77777777" w:rsidR="00195F05" w:rsidRPr="007324A0" w:rsidRDefault="00957626"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r w:rsidRPr="007324A0">
        <w:rPr>
          <w:rFonts w:ascii="Arial" w:eastAsia="Times New Roman" w:hAnsi="Arial" w:cs="Arial"/>
          <w:spacing w:val="10"/>
          <w:sz w:val="21"/>
          <w:szCs w:val="21"/>
        </w:rPr>
        <w:t>informace o tom, kdo je předsedou komise,</w:t>
      </w:r>
    </w:p>
    <w:p w14:paraId="331C24FE" w14:textId="77777777" w:rsidR="00195F05" w:rsidRPr="00D14B78" w:rsidRDefault="00957626"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r w:rsidRPr="00D14B78">
        <w:rPr>
          <w:rFonts w:ascii="Arial" w:eastAsia="Times New Roman" w:hAnsi="Arial" w:cs="Arial"/>
          <w:spacing w:val="10"/>
          <w:sz w:val="21"/>
          <w:szCs w:val="21"/>
        </w:rPr>
        <w:t>informace o tom, kdo je místopředsedou komise,</w:t>
      </w:r>
    </w:p>
    <w:p w14:paraId="3C4C2E1E" w14:textId="77777777" w:rsidR="00195F05" w:rsidRPr="00D14B78" w:rsidRDefault="00957626"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r w:rsidRPr="00D14B78">
        <w:rPr>
          <w:rFonts w:ascii="Arial" w:eastAsia="Times New Roman" w:hAnsi="Arial" w:cs="Arial"/>
          <w:spacing w:val="10"/>
          <w:sz w:val="21"/>
          <w:szCs w:val="21"/>
        </w:rPr>
        <w:t>informace o usnášeníschopnosti,</w:t>
      </w:r>
    </w:p>
    <w:p w14:paraId="14EDE87B" w14:textId="77777777" w:rsidR="00195F05" w:rsidRPr="00D14B78" w:rsidRDefault="00957626"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r w:rsidRPr="00D14B78">
        <w:rPr>
          <w:rFonts w:ascii="Arial" w:eastAsia="Times New Roman" w:hAnsi="Arial" w:cs="Arial"/>
          <w:spacing w:val="10"/>
          <w:sz w:val="21"/>
          <w:szCs w:val="21"/>
        </w:rPr>
        <w:t>odsouhlasení protokolu jednotlivými členy komise – tzn. podpis členů komise, kteří se jednání zúčastní,</w:t>
      </w:r>
    </w:p>
    <w:p w14:paraId="47C3F215" w14:textId="6FD9E332" w:rsidR="00957626" w:rsidRPr="00D14B78" w:rsidRDefault="00957626"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r w:rsidRPr="00D14B78">
        <w:rPr>
          <w:rFonts w:ascii="Arial" w:eastAsia="Times New Roman" w:hAnsi="Arial" w:cs="Arial"/>
          <w:spacing w:val="10"/>
          <w:sz w:val="21"/>
          <w:szCs w:val="21"/>
        </w:rPr>
        <w:t>detailní popis průběhu jednání komise a závěry, na nichž se členové komise dohodly.</w:t>
      </w:r>
    </w:p>
    <w:p w14:paraId="0A9DC976" w14:textId="77777777" w:rsidR="00ED3C68" w:rsidRPr="00D14B78" w:rsidRDefault="00ED3C68" w:rsidP="007324A0">
      <w:pPr>
        <w:pStyle w:val="Odstavecseseznamem"/>
        <w:numPr>
          <w:ilvl w:val="0"/>
          <w:numId w:val="23"/>
        </w:numPr>
        <w:snapToGrid w:val="0"/>
        <w:spacing w:after="120" w:line="276" w:lineRule="auto"/>
        <w:contextualSpacing w:val="0"/>
        <w:jc w:val="both"/>
        <w:textAlignment w:val="baseline"/>
        <w:rPr>
          <w:rFonts w:ascii="Arial" w:eastAsia="Times New Roman" w:hAnsi="Arial" w:cs="Arial"/>
          <w:spacing w:val="10"/>
          <w:sz w:val="21"/>
          <w:szCs w:val="21"/>
        </w:rPr>
      </w:pPr>
    </w:p>
    <w:p w14:paraId="14ABD650" w14:textId="71A85131" w:rsidR="00F03909" w:rsidRPr="00D14B78" w:rsidRDefault="00F03909" w:rsidP="007324A0">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D14B78">
        <w:rPr>
          <w:rFonts w:ascii="Arial" w:hAnsi="Arial" w:cs="Arial"/>
          <w:b/>
          <w:bCs/>
          <w:spacing w:val="10"/>
          <w:sz w:val="21"/>
          <w:szCs w:val="21"/>
        </w:rPr>
        <w:t>Odpovědnost komise a osobní odpovědnost členů komise</w:t>
      </w:r>
    </w:p>
    <w:p w14:paraId="2E4AF002" w14:textId="34E69AB6" w:rsidR="00E80904" w:rsidRPr="00D14B78" w:rsidRDefault="00E80904" w:rsidP="00ED3C68">
      <w:pPr>
        <w:pStyle w:val="Odstavecseseznamem"/>
        <w:numPr>
          <w:ilvl w:val="0"/>
          <w:numId w:val="22"/>
        </w:numPr>
        <w:snapToGrid w:val="0"/>
        <w:spacing w:after="120" w:line="276" w:lineRule="auto"/>
        <w:contextualSpacing w:val="0"/>
        <w:jc w:val="both"/>
        <w:rPr>
          <w:rFonts w:ascii="Arial" w:eastAsia="Times New Roman" w:hAnsi="Arial" w:cs="Arial"/>
          <w:spacing w:val="10"/>
          <w:sz w:val="21"/>
          <w:szCs w:val="21"/>
          <w:u w:val="single"/>
        </w:rPr>
      </w:pPr>
      <w:r w:rsidRPr="00D14B78">
        <w:rPr>
          <w:rFonts w:ascii="Arial" w:eastAsia="Times New Roman" w:hAnsi="Arial" w:cs="Arial"/>
          <w:spacing w:val="10"/>
          <w:sz w:val="21"/>
          <w:szCs w:val="21"/>
          <w:u w:val="single"/>
        </w:rPr>
        <w:lastRenderedPageBreak/>
        <w:t>Odpovědnost za úkony v rámci zadávacího řízení</w:t>
      </w:r>
    </w:p>
    <w:p w14:paraId="0027411F" w14:textId="625692CF" w:rsidR="00E80904" w:rsidRPr="007324A0" w:rsidRDefault="00957626" w:rsidP="00ED3C68">
      <w:pPr>
        <w:snapToGrid w:val="0"/>
        <w:spacing w:after="120" w:line="276" w:lineRule="auto"/>
        <w:ind w:left="360"/>
        <w:jc w:val="both"/>
        <w:rPr>
          <w:rFonts w:ascii="Arial" w:eastAsia="Times New Roman" w:hAnsi="Arial" w:cs="Arial"/>
          <w:spacing w:val="10"/>
          <w:sz w:val="21"/>
          <w:szCs w:val="21"/>
        </w:rPr>
      </w:pPr>
      <w:r w:rsidRPr="00D14B78">
        <w:rPr>
          <w:rFonts w:ascii="Arial" w:eastAsia="Times New Roman" w:hAnsi="Arial" w:cs="Arial"/>
          <w:spacing w:val="10"/>
          <w:sz w:val="21"/>
          <w:szCs w:val="21"/>
        </w:rPr>
        <w:t>Úkony komise se považují vždy za úkony zadavatele</w:t>
      </w:r>
      <w:r w:rsidRPr="007324A0">
        <w:rPr>
          <w:rFonts w:ascii="Arial" w:eastAsia="Times New Roman" w:hAnsi="Arial" w:cs="Arial"/>
          <w:spacing w:val="10"/>
          <w:sz w:val="21"/>
          <w:szCs w:val="21"/>
        </w:rPr>
        <w:t xml:space="preserve">, přičemž nezáleží, zda se jedná o komisi složenou ze zaměstnanců zadavatele či externích poradců. Za dodržování všech povinností odpovídá zadavatel, který nemůže tuto odpovědnost převést na jinou osobu. </w:t>
      </w:r>
    </w:p>
    <w:p w14:paraId="12BD7B1A" w14:textId="42C44F69" w:rsidR="00957626" w:rsidRPr="007324A0" w:rsidRDefault="00957626" w:rsidP="00ED3C68">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Zadavatel má však možnost regresně se domáhat náhrady škody po členech komise.</w:t>
      </w:r>
    </w:p>
    <w:p w14:paraId="418769BB" w14:textId="305B4B0F" w:rsidR="009166B5" w:rsidRPr="007324A0" w:rsidRDefault="009166B5" w:rsidP="007324A0">
      <w:pPr>
        <w:pStyle w:val="Odstavecseseznamem"/>
        <w:numPr>
          <w:ilvl w:val="0"/>
          <w:numId w:val="25"/>
        </w:numPr>
        <w:snapToGrid w:val="0"/>
        <w:spacing w:after="120" w:line="276" w:lineRule="auto"/>
        <w:contextualSpacing w:val="0"/>
        <w:jc w:val="both"/>
        <w:textAlignment w:val="baseline"/>
        <w:rPr>
          <w:rFonts w:ascii="Arial" w:hAnsi="Arial" w:cs="Arial"/>
          <w:spacing w:val="10"/>
          <w:sz w:val="21"/>
          <w:szCs w:val="21"/>
          <w:u w:val="single"/>
        </w:rPr>
      </w:pPr>
      <w:r w:rsidRPr="007324A0">
        <w:rPr>
          <w:rFonts w:ascii="Arial" w:hAnsi="Arial" w:cs="Arial"/>
          <w:spacing w:val="10"/>
          <w:sz w:val="21"/>
          <w:szCs w:val="21"/>
          <w:u w:val="single"/>
        </w:rPr>
        <w:t>Odpovědnost dle pracovního práva</w:t>
      </w:r>
    </w:p>
    <w:p w14:paraId="67D770B5" w14:textId="4D7A8D59" w:rsidR="009166B5" w:rsidRPr="007324A0" w:rsidRDefault="009166B5" w:rsidP="00ED3C68">
      <w:pPr>
        <w:snapToGrid w:val="0"/>
        <w:spacing w:after="120" w:line="276" w:lineRule="auto"/>
        <w:ind w:left="360"/>
        <w:jc w:val="both"/>
        <w:rPr>
          <w:rFonts w:ascii="Arial" w:eastAsia="Times New Roman" w:hAnsi="Arial" w:cs="Arial"/>
          <w:spacing w:val="10"/>
          <w:sz w:val="21"/>
          <w:szCs w:val="21"/>
        </w:rPr>
      </w:pPr>
      <w:r w:rsidRPr="007324A0">
        <w:rPr>
          <w:rFonts w:ascii="Arial" w:eastAsia="Times New Roman" w:hAnsi="Arial" w:cs="Arial"/>
          <w:spacing w:val="10"/>
          <w:sz w:val="21"/>
          <w:szCs w:val="21"/>
        </w:rPr>
        <w:t>Člen komise je současně i zaměstnancem zadavatele. S ohledem na tuto skutečnost je potřebné počítat i s odpovědností zaměstnanc</w:t>
      </w:r>
      <w:r w:rsidR="003E5157" w:rsidRPr="007324A0">
        <w:rPr>
          <w:rFonts w:ascii="Arial" w:eastAsia="Times New Roman" w:hAnsi="Arial" w:cs="Arial"/>
          <w:spacing w:val="10"/>
          <w:sz w:val="21"/>
          <w:szCs w:val="21"/>
        </w:rPr>
        <w:t>e</w:t>
      </w:r>
      <w:r w:rsidRPr="007324A0">
        <w:rPr>
          <w:rFonts w:ascii="Arial" w:eastAsia="Times New Roman" w:hAnsi="Arial" w:cs="Arial"/>
          <w:spacing w:val="10"/>
          <w:sz w:val="21"/>
          <w:szCs w:val="21"/>
        </w:rPr>
        <w:t xml:space="preserve"> za škodu, kterou</w:t>
      </w:r>
      <w:r w:rsidR="00ED3C68">
        <w:rPr>
          <w:rFonts w:ascii="Arial" w:eastAsia="Times New Roman" w:hAnsi="Arial" w:cs="Arial"/>
          <w:spacing w:val="10"/>
          <w:sz w:val="21"/>
          <w:szCs w:val="21"/>
        </w:rPr>
        <w:t> </w:t>
      </w:r>
      <w:r w:rsidRPr="007324A0">
        <w:rPr>
          <w:rFonts w:ascii="Arial" w:eastAsia="Times New Roman" w:hAnsi="Arial" w:cs="Arial"/>
          <w:spacing w:val="10"/>
          <w:sz w:val="21"/>
          <w:szCs w:val="21"/>
        </w:rPr>
        <w:t>způsobil zaměstnavateli (tedy zadavateli) zaviněným porušením povinností při</w:t>
      </w:r>
      <w:r w:rsidR="00ED3C68">
        <w:rPr>
          <w:rFonts w:ascii="Arial" w:eastAsia="Times New Roman" w:hAnsi="Arial" w:cs="Arial"/>
          <w:spacing w:val="10"/>
          <w:sz w:val="21"/>
          <w:szCs w:val="21"/>
        </w:rPr>
        <w:t> </w:t>
      </w:r>
      <w:r w:rsidRPr="007324A0">
        <w:rPr>
          <w:rFonts w:ascii="Arial" w:eastAsia="Times New Roman" w:hAnsi="Arial" w:cs="Arial"/>
          <w:spacing w:val="10"/>
          <w:sz w:val="21"/>
          <w:szCs w:val="21"/>
        </w:rPr>
        <w:t xml:space="preserve">plnění pracovních úkolů či v přímé souvislosti s ním. </w:t>
      </w:r>
    </w:p>
    <w:p w14:paraId="1AB17838" w14:textId="4270436C" w:rsidR="00E80904" w:rsidRPr="007324A0" w:rsidRDefault="00E80904" w:rsidP="007324A0">
      <w:pPr>
        <w:pStyle w:val="Odstavecseseznamem"/>
        <w:numPr>
          <w:ilvl w:val="0"/>
          <w:numId w:val="25"/>
        </w:numPr>
        <w:snapToGrid w:val="0"/>
        <w:spacing w:after="120" w:line="276" w:lineRule="auto"/>
        <w:contextualSpacing w:val="0"/>
        <w:jc w:val="both"/>
        <w:textAlignment w:val="baseline"/>
        <w:rPr>
          <w:rFonts w:ascii="Arial" w:hAnsi="Arial" w:cs="Arial"/>
          <w:spacing w:val="10"/>
          <w:sz w:val="21"/>
          <w:szCs w:val="21"/>
          <w:u w:val="single"/>
        </w:rPr>
      </w:pPr>
      <w:r w:rsidRPr="007324A0">
        <w:rPr>
          <w:rFonts w:ascii="Arial" w:eastAsia="Times New Roman" w:hAnsi="Arial" w:cs="Arial"/>
          <w:spacing w:val="10"/>
          <w:sz w:val="21"/>
          <w:szCs w:val="21"/>
          <w:u w:val="single"/>
        </w:rPr>
        <w:t>Trestněprávní</w:t>
      </w:r>
      <w:r w:rsidRPr="007324A0">
        <w:rPr>
          <w:rFonts w:ascii="Arial" w:hAnsi="Arial" w:cs="Arial"/>
          <w:spacing w:val="10"/>
          <w:sz w:val="21"/>
          <w:szCs w:val="21"/>
          <w:u w:val="single"/>
        </w:rPr>
        <w:t xml:space="preserve"> odpovědnost členů komise</w:t>
      </w:r>
    </w:p>
    <w:p w14:paraId="1673D9DC" w14:textId="3F1D8A59" w:rsidR="00E80904" w:rsidRPr="007324A0" w:rsidRDefault="009166B5" w:rsidP="00ED3C6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Člen </w:t>
      </w:r>
      <w:r w:rsidRPr="00ED3C68">
        <w:rPr>
          <w:rFonts w:ascii="Arial" w:eastAsia="Times New Roman" w:hAnsi="Arial" w:cs="Arial"/>
          <w:spacing w:val="10"/>
          <w:sz w:val="21"/>
          <w:szCs w:val="21"/>
        </w:rPr>
        <w:t>komise</w:t>
      </w:r>
      <w:r w:rsidRPr="007324A0">
        <w:rPr>
          <w:rFonts w:ascii="Arial" w:hAnsi="Arial" w:cs="Arial"/>
          <w:spacing w:val="10"/>
          <w:sz w:val="21"/>
          <w:szCs w:val="21"/>
        </w:rPr>
        <w:t xml:space="preserve"> může být i trestně odpovědný.</w:t>
      </w:r>
    </w:p>
    <w:p w14:paraId="3CDB8EFA" w14:textId="7E8CF716" w:rsidR="009166B5" w:rsidRPr="007324A0" w:rsidRDefault="009166B5" w:rsidP="00ED3C6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V této souvislosti lze poukázat např. na trestný čin zjednání výhody při zadávání veřejné zakázky, </w:t>
      </w:r>
      <w:r w:rsidRPr="00ED3C68">
        <w:rPr>
          <w:rFonts w:ascii="Arial" w:eastAsia="Times New Roman" w:hAnsi="Arial" w:cs="Arial"/>
          <w:spacing w:val="10"/>
          <w:sz w:val="21"/>
          <w:szCs w:val="21"/>
        </w:rPr>
        <w:t>při</w:t>
      </w:r>
      <w:r w:rsidRPr="007324A0">
        <w:rPr>
          <w:rFonts w:ascii="Arial" w:hAnsi="Arial" w:cs="Arial"/>
          <w:spacing w:val="10"/>
          <w:sz w:val="21"/>
          <w:szCs w:val="21"/>
        </w:rPr>
        <w:t xml:space="preserve"> veřejné soutěži a veřejné dražbě dle § 25</w:t>
      </w:r>
      <w:r w:rsidR="007439E5" w:rsidRPr="007324A0">
        <w:rPr>
          <w:rFonts w:ascii="Arial" w:hAnsi="Arial" w:cs="Arial"/>
          <w:spacing w:val="10"/>
          <w:sz w:val="21"/>
          <w:szCs w:val="21"/>
        </w:rPr>
        <w:t>6</w:t>
      </w:r>
      <w:r w:rsidRPr="007324A0">
        <w:rPr>
          <w:rFonts w:ascii="Arial" w:hAnsi="Arial" w:cs="Arial"/>
          <w:spacing w:val="10"/>
          <w:sz w:val="21"/>
          <w:szCs w:val="21"/>
        </w:rPr>
        <w:t xml:space="preserve"> </w:t>
      </w:r>
      <w:r w:rsidR="00ED3C68">
        <w:rPr>
          <w:rFonts w:ascii="Arial" w:hAnsi="Arial" w:cs="Arial"/>
          <w:spacing w:val="10"/>
          <w:sz w:val="21"/>
          <w:szCs w:val="21"/>
        </w:rPr>
        <w:t>zákona č. 40/2009, trestní zákoník, ve znění pozdějších předpisů (dále jen „</w:t>
      </w:r>
      <w:r w:rsidRPr="00ED3C68">
        <w:rPr>
          <w:rFonts w:ascii="Arial" w:hAnsi="Arial" w:cs="Arial"/>
          <w:b/>
          <w:bCs/>
          <w:i/>
          <w:iCs/>
          <w:spacing w:val="10"/>
          <w:sz w:val="21"/>
          <w:szCs w:val="21"/>
        </w:rPr>
        <w:t>TZ</w:t>
      </w:r>
      <w:r w:rsidR="00ED3C68">
        <w:rPr>
          <w:rFonts w:ascii="Arial" w:hAnsi="Arial" w:cs="Arial"/>
          <w:spacing w:val="10"/>
          <w:sz w:val="21"/>
          <w:szCs w:val="21"/>
        </w:rPr>
        <w:t xml:space="preserve">“) </w:t>
      </w:r>
      <w:r w:rsidR="007439E5" w:rsidRPr="007324A0">
        <w:rPr>
          <w:rFonts w:ascii="Arial" w:hAnsi="Arial" w:cs="Arial"/>
          <w:spacing w:val="10"/>
          <w:sz w:val="21"/>
          <w:szCs w:val="21"/>
        </w:rPr>
        <w:t>– z uvedeného ustanovení vyplývá následující „</w:t>
      </w:r>
      <w:r w:rsidR="007439E5" w:rsidRPr="007324A0">
        <w:rPr>
          <w:rFonts w:ascii="Arial" w:hAnsi="Arial" w:cs="Arial"/>
          <w:i/>
          <w:iCs/>
          <w:spacing w:val="10"/>
          <w:sz w:val="21"/>
          <w:szCs w:val="21"/>
        </w:rPr>
        <w:t>kdo v souvislosti se zadáním veřejné zakázky, s</w:t>
      </w:r>
      <w:r w:rsidR="00ED3C68">
        <w:rPr>
          <w:rFonts w:ascii="Arial" w:hAnsi="Arial" w:cs="Arial"/>
          <w:i/>
          <w:iCs/>
          <w:spacing w:val="10"/>
          <w:sz w:val="21"/>
          <w:szCs w:val="21"/>
        </w:rPr>
        <w:t> </w:t>
      </w:r>
      <w:r w:rsidR="007439E5" w:rsidRPr="007324A0">
        <w:rPr>
          <w:rFonts w:ascii="Arial" w:hAnsi="Arial" w:cs="Arial"/>
          <w:i/>
          <w:iCs/>
          <w:spacing w:val="10"/>
          <w:sz w:val="21"/>
          <w:szCs w:val="21"/>
        </w:rPr>
        <w:t>veřejnou soutěží nebo veřejnou dražbou v úmyslu způsobit jinému škodu nebo</w:t>
      </w:r>
      <w:r w:rsidR="00ED3C68">
        <w:rPr>
          <w:rFonts w:ascii="Arial" w:hAnsi="Arial" w:cs="Arial"/>
          <w:i/>
          <w:iCs/>
          <w:spacing w:val="10"/>
          <w:sz w:val="21"/>
          <w:szCs w:val="21"/>
        </w:rPr>
        <w:t> </w:t>
      </w:r>
      <w:r w:rsidR="007439E5" w:rsidRPr="007324A0">
        <w:rPr>
          <w:rFonts w:ascii="Arial" w:hAnsi="Arial" w:cs="Arial"/>
          <w:i/>
          <w:iCs/>
          <w:spacing w:val="10"/>
          <w:sz w:val="21"/>
          <w:szCs w:val="21"/>
        </w:rPr>
        <w:t>opatřit sobě nebo jinému prospěch zjedná některému dodavateli, soutěžiteli nebo účastníku dražby přednost nebo výhodnější podmínky na úkor jiných dodavatelů nebo soutěžitelů, bude potrestán odnětím svobody na šest měsíců až tři léta nebo</w:t>
      </w:r>
      <w:r w:rsidR="00ED3C68">
        <w:rPr>
          <w:rFonts w:ascii="Arial" w:hAnsi="Arial" w:cs="Arial"/>
          <w:i/>
          <w:iCs/>
          <w:spacing w:val="10"/>
          <w:sz w:val="21"/>
          <w:szCs w:val="21"/>
        </w:rPr>
        <w:t> </w:t>
      </w:r>
      <w:r w:rsidR="007439E5" w:rsidRPr="007324A0">
        <w:rPr>
          <w:rFonts w:ascii="Arial" w:hAnsi="Arial" w:cs="Arial"/>
          <w:i/>
          <w:iCs/>
          <w:spacing w:val="10"/>
          <w:sz w:val="21"/>
          <w:szCs w:val="21"/>
        </w:rPr>
        <w:t>zákazem činnosti.</w:t>
      </w:r>
      <w:r w:rsidR="007439E5" w:rsidRPr="007324A0">
        <w:rPr>
          <w:rFonts w:ascii="Arial" w:hAnsi="Arial" w:cs="Arial"/>
          <w:spacing w:val="10"/>
          <w:sz w:val="21"/>
          <w:szCs w:val="21"/>
        </w:rPr>
        <w:t>“</w:t>
      </w:r>
    </w:p>
    <w:p w14:paraId="1C5C9B0F" w14:textId="3EDA6E55" w:rsidR="0089635D" w:rsidRPr="007324A0" w:rsidRDefault="007439E5" w:rsidP="00ED3C6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 xml:space="preserve">Uvedeného trestného činu se </w:t>
      </w:r>
      <w:r w:rsidR="0089635D" w:rsidRPr="007324A0">
        <w:rPr>
          <w:rFonts w:ascii="Arial" w:hAnsi="Arial" w:cs="Arial"/>
          <w:spacing w:val="10"/>
          <w:sz w:val="21"/>
          <w:szCs w:val="21"/>
        </w:rPr>
        <w:t xml:space="preserve">přitom </w:t>
      </w:r>
      <w:r w:rsidRPr="007324A0">
        <w:rPr>
          <w:rFonts w:ascii="Arial" w:hAnsi="Arial" w:cs="Arial"/>
          <w:spacing w:val="10"/>
          <w:sz w:val="21"/>
          <w:szCs w:val="21"/>
        </w:rPr>
        <w:t xml:space="preserve">může dopustit </w:t>
      </w:r>
      <w:r w:rsidR="0089635D" w:rsidRPr="007324A0">
        <w:rPr>
          <w:rFonts w:ascii="Arial" w:hAnsi="Arial" w:cs="Arial"/>
          <w:spacing w:val="10"/>
          <w:sz w:val="21"/>
          <w:szCs w:val="21"/>
        </w:rPr>
        <w:t xml:space="preserve">i </w:t>
      </w:r>
      <w:r w:rsidRPr="007324A0">
        <w:rPr>
          <w:rFonts w:ascii="Arial" w:hAnsi="Arial" w:cs="Arial"/>
          <w:spacing w:val="10"/>
          <w:sz w:val="21"/>
          <w:szCs w:val="21"/>
        </w:rPr>
        <w:t xml:space="preserve">člen hodnotící komise, což je </w:t>
      </w:r>
      <w:r w:rsidR="0089635D" w:rsidRPr="007324A0">
        <w:rPr>
          <w:rFonts w:ascii="Arial" w:hAnsi="Arial" w:cs="Arial"/>
          <w:spacing w:val="10"/>
          <w:sz w:val="21"/>
          <w:szCs w:val="21"/>
        </w:rPr>
        <w:t xml:space="preserve">jednoznačně </w:t>
      </w:r>
      <w:r w:rsidRPr="007324A0">
        <w:rPr>
          <w:rFonts w:ascii="Arial" w:hAnsi="Arial" w:cs="Arial"/>
          <w:spacing w:val="10"/>
          <w:sz w:val="21"/>
          <w:szCs w:val="21"/>
        </w:rPr>
        <w:t>patrné z § 256 odst. 2 písm. a) TZ</w:t>
      </w:r>
      <w:r w:rsidR="0089635D" w:rsidRPr="007324A0">
        <w:rPr>
          <w:rFonts w:ascii="Arial" w:hAnsi="Arial" w:cs="Arial"/>
          <w:spacing w:val="10"/>
          <w:sz w:val="21"/>
          <w:szCs w:val="21"/>
        </w:rPr>
        <w:t xml:space="preserve">, kde je výslovně uveden člen hodnotící komise </w:t>
      </w:r>
      <w:r w:rsidR="0089635D" w:rsidRPr="00ED3C68">
        <w:rPr>
          <w:rFonts w:ascii="Arial" w:eastAsia="Times New Roman" w:hAnsi="Arial" w:cs="Arial"/>
          <w:spacing w:val="10"/>
          <w:sz w:val="21"/>
          <w:szCs w:val="21"/>
        </w:rPr>
        <w:t>jako</w:t>
      </w:r>
      <w:r w:rsidR="0089635D" w:rsidRPr="007324A0">
        <w:rPr>
          <w:rFonts w:ascii="Arial" w:hAnsi="Arial" w:cs="Arial"/>
          <w:spacing w:val="10"/>
          <w:sz w:val="21"/>
          <w:szCs w:val="21"/>
        </w:rPr>
        <w:t xml:space="preserve"> možn</w:t>
      </w:r>
      <w:r w:rsidR="00ED3C68">
        <w:rPr>
          <w:rFonts w:ascii="Arial" w:hAnsi="Arial" w:cs="Arial"/>
          <w:spacing w:val="10"/>
          <w:sz w:val="21"/>
          <w:szCs w:val="21"/>
        </w:rPr>
        <w:t>ý</w:t>
      </w:r>
      <w:r w:rsidR="0089635D" w:rsidRPr="007324A0">
        <w:rPr>
          <w:rFonts w:ascii="Arial" w:hAnsi="Arial" w:cs="Arial"/>
          <w:spacing w:val="10"/>
          <w:sz w:val="21"/>
          <w:szCs w:val="21"/>
        </w:rPr>
        <w:t xml:space="preserve"> pachatel uvedeného trestného činu</w:t>
      </w:r>
      <w:r w:rsidRPr="007324A0">
        <w:rPr>
          <w:rFonts w:ascii="Arial" w:hAnsi="Arial" w:cs="Arial"/>
          <w:spacing w:val="10"/>
          <w:sz w:val="21"/>
          <w:szCs w:val="21"/>
        </w:rPr>
        <w:t xml:space="preserve">. </w:t>
      </w:r>
    </w:p>
    <w:p w14:paraId="08788233" w14:textId="09CB4AD8" w:rsidR="00383FBB" w:rsidRPr="00D14B78" w:rsidRDefault="0089635D" w:rsidP="00ED3C68">
      <w:pPr>
        <w:snapToGrid w:val="0"/>
        <w:spacing w:after="120" w:line="276" w:lineRule="auto"/>
        <w:ind w:left="360"/>
        <w:jc w:val="both"/>
        <w:rPr>
          <w:rFonts w:ascii="Arial" w:hAnsi="Arial" w:cs="Arial"/>
          <w:spacing w:val="10"/>
          <w:sz w:val="21"/>
          <w:szCs w:val="21"/>
        </w:rPr>
      </w:pPr>
      <w:r w:rsidRPr="007324A0">
        <w:rPr>
          <w:rFonts w:ascii="Arial" w:hAnsi="Arial" w:cs="Arial"/>
          <w:spacing w:val="10"/>
          <w:sz w:val="21"/>
          <w:szCs w:val="21"/>
        </w:rPr>
        <w:t>TZ hovoří pouze o členovi hodnotící komise. V této souvislosti je však</w:t>
      </w:r>
      <w:r w:rsidR="007439E5" w:rsidRPr="007324A0">
        <w:rPr>
          <w:rFonts w:ascii="Arial" w:hAnsi="Arial" w:cs="Arial"/>
          <w:spacing w:val="10"/>
          <w:sz w:val="21"/>
          <w:szCs w:val="21"/>
        </w:rPr>
        <w:t xml:space="preserve"> </w:t>
      </w:r>
      <w:r w:rsidR="00383FBB" w:rsidRPr="007324A0">
        <w:rPr>
          <w:rFonts w:ascii="Arial" w:hAnsi="Arial" w:cs="Arial"/>
          <w:spacing w:val="10"/>
          <w:sz w:val="21"/>
          <w:szCs w:val="21"/>
        </w:rPr>
        <w:t xml:space="preserve">vhodné poznamenat, že rozšíření trestní odpovědnosti pro ustanovení § 256 odst. 2 písm. a) </w:t>
      </w:r>
      <w:r w:rsidR="007439E5" w:rsidRPr="007324A0">
        <w:rPr>
          <w:rFonts w:ascii="Arial" w:hAnsi="Arial" w:cs="Arial"/>
          <w:spacing w:val="10"/>
          <w:sz w:val="21"/>
          <w:szCs w:val="21"/>
        </w:rPr>
        <w:t>TZ</w:t>
      </w:r>
      <w:r w:rsidR="00383FBB" w:rsidRPr="007324A0">
        <w:rPr>
          <w:rFonts w:ascii="Arial" w:hAnsi="Arial" w:cs="Arial"/>
          <w:spacing w:val="10"/>
          <w:sz w:val="21"/>
          <w:szCs w:val="21"/>
        </w:rPr>
        <w:t xml:space="preserve"> rovněž na </w:t>
      </w:r>
      <w:r w:rsidR="00383FBB" w:rsidRPr="00ED3C68">
        <w:rPr>
          <w:rFonts w:ascii="Arial" w:eastAsia="Times New Roman" w:hAnsi="Arial" w:cs="Arial"/>
          <w:spacing w:val="10"/>
          <w:sz w:val="21"/>
          <w:szCs w:val="21"/>
        </w:rPr>
        <w:t>členy</w:t>
      </w:r>
      <w:r w:rsidR="00383FBB" w:rsidRPr="007324A0">
        <w:rPr>
          <w:rFonts w:ascii="Arial" w:hAnsi="Arial" w:cs="Arial"/>
          <w:spacing w:val="10"/>
          <w:sz w:val="21"/>
          <w:szCs w:val="21"/>
        </w:rPr>
        <w:t xml:space="preserve"> minimálně komise pro posouzení kvalifikace, je s ohledem na účel daného ustanovení zcela na místě, neboť jsou to právě tyto osoby, které v rámci své činnosti v komisi de facto rozhodují o tom, kdo bude nadále oprávněn s</w:t>
      </w:r>
      <w:r w:rsidR="0093726B" w:rsidRPr="007324A0">
        <w:rPr>
          <w:rFonts w:ascii="Arial" w:hAnsi="Arial" w:cs="Arial"/>
          <w:spacing w:val="10"/>
          <w:sz w:val="21"/>
          <w:szCs w:val="21"/>
        </w:rPr>
        <w:t>e</w:t>
      </w:r>
      <w:r w:rsidR="00383FBB" w:rsidRPr="007324A0">
        <w:rPr>
          <w:rFonts w:ascii="Arial" w:hAnsi="Arial" w:cs="Arial"/>
          <w:spacing w:val="10"/>
          <w:sz w:val="21"/>
          <w:szCs w:val="21"/>
        </w:rPr>
        <w:t xml:space="preserve"> zadávacího řízení účastnit. Případné protiprávní jednání členů této komise tak může být pro</w:t>
      </w:r>
      <w:r w:rsidR="00ED3C68">
        <w:rPr>
          <w:rFonts w:ascii="Arial" w:hAnsi="Arial" w:cs="Arial"/>
          <w:spacing w:val="10"/>
          <w:sz w:val="21"/>
          <w:szCs w:val="21"/>
        </w:rPr>
        <w:t> </w:t>
      </w:r>
      <w:r w:rsidR="00383FBB" w:rsidRPr="007324A0">
        <w:rPr>
          <w:rFonts w:ascii="Arial" w:hAnsi="Arial" w:cs="Arial"/>
          <w:spacing w:val="10"/>
          <w:sz w:val="21"/>
          <w:szCs w:val="21"/>
        </w:rPr>
        <w:t xml:space="preserve">výsledek zadávacího řízení stejně významné a potencionálně shodně společensky škodlivé, </w:t>
      </w:r>
      <w:r w:rsidR="00383FBB" w:rsidRPr="00D14B78">
        <w:rPr>
          <w:rFonts w:ascii="Arial" w:hAnsi="Arial" w:cs="Arial"/>
          <w:spacing w:val="10"/>
          <w:sz w:val="21"/>
          <w:szCs w:val="21"/>
        </w:rPr>
        <w:t>jako je tomu v případě členů komise pro hodnocení nabídek a není tedy důvod, proč by měl být jejich případný trestněprávní postih odchylný.</w:t>
      </w:r>
    </w:p>
    <w:p w14:paraId="59F8F11D" w14:textId="3E46CCB6" w:rsidR="00CE544B" w:rsidRPr="00D14B78" w:rsidRDefault="007439E5" w:rsidP="00ED3C68">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 xml:space="preserve">Uvedeného trestného činu se člen komise může dopustit v případě, kdy tento využije svého </w:t>
      </w:r>
      <w:r w:rsidRPr="00D14B78">
        <w:rPr>
          <w:rFonts w:ascii="Arial" w:eastAsia="Times New Roman" w:hAnsi="Arial" w:cs="Arial"/>
          <w:spacing w:val="10"/>
          <w:sz w:val="21"/>
          <w:szCs w:val="21"/>
        </w:rPr>
        <w:t>členství</w:t>
      </w:r>
      <w:r w:rsidRPr="00D14B78">
        <w:rPr>
          <w:rFonts w:ascii="Arial" w:hAnsi="Arial" w:cs="Arial"/>
          <w:spacing w:val="10"/>
          <w:sz w:val="21"/>
          <w:szCs w:val="21"/>
        </w:rPr>
        <w:t xml:space="preserve"> v komisi a poskytne některému z dodavatelů informace, kterými takovému dodavateli zjedná přednost nebo výhodnější podmínky na úkor jiných dodavatelů.</w:t>
      </w:r>
    </w:p>
    <w:p w14:paraId="4C404FC9" w14:textId="77777777" w:rsidR="00CE544B" w:rsidRPr="00D14B78" w:rsidRDefault="00CE544B" w:rsidP="007324A0">
      <w:pPr>
        <w:snapToGrid w:val="0"/>
        <w:spacing w:after="120" w:line="276" w:lineRule="auto"/>
        <w:jc w:val="both"/>
        <w:rPr>
          <w:rFonts w:ascii="Arial" w:hAnsi="Arial" w:cs="Arial"/>
          <w:spacing w:val="10"/>
          <w:sz w:val="21"/>
          <w:szCs w:val="21"/>
        </w:rPr>
      </w:pPr>
    </w:p>
    <w:p w14:paraId="64CC1C40" w14:textId="6575CAB6" w:rsidR="00F03909" w:rsidRPr="00D14B78" w:rsidRDefault="00F03909" w:rsidP="007324A0">
      <w:pPr>
        <w:pStyle w:val="Odstavecseseznamem"/>
        <w:numPr>
          <w:ilvl w:val="0"/>
          <w:numId w:val="1"/>
        </w:numPr>
        <w:snapToGrid w:val="0"/>
        <w:spacing w:after="120" w:line="276" w:lineRule="auto"/>
        <w:contextualSpacing w:val="0"/>
        <w:jc w:val="both"/>
        <w:rPr>
          <w:rFonts w:ascii="Arial" w:hAnsi="Arial" w:cs="Arial"/>
          <w:b/>
          <w:bCs/>
          <w:spacing w:val="10"/>
          <w:sz w:val="21"/>
          <w:szCs w:val="21"/>
        </w:rPr>
      </w:pPr>
      <w:r w:rsidRPr="00D14B78">
        <w:rPr>
          <w:rFonts w:ascii="Arial" w:hAnsi="Arial" w:cs="Arial"/>
          <w:b/>
          <w:bCs/>
          <w:spacing w:val="10"/>
          <w:sz w:val="21"/>
          <w:szCs w:val="21"/>
        </w:rPr>
        <w:t xml:space="preserve">Rizika dle TOPO pro společnost </w:t>
      </w:r>
    </w:p>
    <w:p w14:paraId="4FFD6EE8" w14:textId="2749B845" w:rsidR="00B61210" w:rsidRPr="00D14B78" w:rsidRDefault="00CE544B" w:rsidP="00ED3C68">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Zadavatel jakožto právnická osoba může být trestně odpovědný</w:t>
      </w:r>
      <w:r w:rsidR="00171C33" w:rsidRPr="00D14B78">
        <w:rPr>
          <w:rFonts w:ascii="Arial" w:hAnsi="Arial" w:cs="Arial"/>
          <w:spacing w:val="10"/>
          <w:sz w:val="21"/>
          <w:szCs w:val="21"/>
        </w:rPr>
        <w:t xml:space="preserve"> dle zákona č. 418/2011 Sb., o trestní odpovědnosti právnických osob a řízení proti nim, ve znění pozdějších předpisů (dále jen „</w:t>
      </w:r>
      <w:r w:rsidR="00171C33" w:rsidRPr="00D14B78">
        <w:rPr>
          <w:rFonts w:ascii="Arial" w:hAnsi="Arial" w:cs="Arial"/>
          <w:b/>
          <w:bCs/>
          <w:i/>
          <w:iCs/>
          <w:spacing w:val="10"/>
          <w:sz w:val="21"/>
          <w:szCs w:val="21"/>
        </w:rPr>
        <w:t>TOPO</w:t>
      </w:r>
      <w:r w:rsidR="00171C33" w:rsidRPr="00D14B78">
        <w:rPr>
          <w:rFonts w:ascii="Arial" w:hAnsi="Arial" w:cs="Arial"/>
          <w:spacing w:val="10"/>
          <w:sz w:val="21"/>
          <w:szCs w:val="21"/>
        </w:rPr>
        <w:t>“)</w:t>
      </w:r>
      <w:r w:rsidRPr="00D14B78">
        <w:rPr>
          <w:rFonts w:ascii="Arial" w:hAnsi="Arial" w:cs="Arial"/>
          <w:spacing w:val="10"/>
          <w:sz w:val="21"/>
          <w:szCs w:val="21"/>
        </w:rPr>
        <w:t>.</w:t>
      </w:r>
    </w:p>
    <w:p w14:paraId="2647F9FD" w14:textId="77777777" w:rsidR="003C70A4" w:rsidRPr="007324A0" w:rsidRDefault="003C70A4" w:rsidP="00ED3C68">
      <w:pPr>
        <w:snapToGrid w:val="0"/>
        <w:spacing w:after="120" w:line="276" w:lineRule="auto"/>
        <w:ind w:left="360"/>
        <w:jc w:val="both"/>
        <w:rPr>
          <w:rFonts w:ascii="Arial" w:hAnsi="Arial" w:cs="Arial"/>
          <w:spacing w:val="10"/>
          <w:sz w:val="21"/>
          <w:szCs w:val="21"/>
        </w:rPr>
      </w:pPr>
      <w:r w:rsidRPr="00D14B78">
        <w:rPr>
          <w:rFonts w:ascii="Arial" w:hAnsi="Arial" w:cs="Arial"/>
          <w:spacing w:val="10"/>
          <w:sz w:val="21"/>
          <w:szCs w:val="21"/>
        </w:rPr>
        <w:t>Se zadáváním veřejných zakázek je přitom</w:t>
      </w:r>
      <w:r w:rsidRPr="007324A0">
        <w:rPr>
          <w:rFonts w:ascii="Arial" w:hAnsi="Arial" w:cs="Arial"/>
          <w:spacing w:val="10"/>
          <w:sz w:val="21"/>
          <w:szCs w:val="21"/>
        </w:rPr>
        <w:t xml:space="preserve"> spjat:</w:t>
      </w:r>
    </w:p>
    <w:p w14:paraId="1CA12CD8" w14:textId="21D286B7" w:rsidR="00CE544B" w:rsidRPr="007324A0" w:rsidRDefault="003C70A4" w:rsidP="007324A0">
      <w:pPr>
        <w:pStyle w:val="Odstavecseseznamem"/>
        <w:numPr>
          <w:ilvl w:val="0"/>
          <w:numId w:val="25"/>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lastRenderedPageBreak/>
        <w:t>trestný čin porušení předpisů o pravidlech hospodářské soutěže dle § 248 odst. 2 alinea druhá TZ,</w:t>
      </w:r>
    </w:p>
    <w:p w14:paraId="760148BC" w14:textId="031CC893" w:rsidR="003C70A4" w:rsidRPr="007324A0" w:rsidRDefault="003C70A4" w:rsidP="007324A0">
      <w:pPr>
        <w:pStyle w:val="Odstavecseseznamem"/>
        <w:numPr>
          <w:ilvl w:val="0"/>
          <w:numId w:val="25"/>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trestný čin zjednání výhody při zadání veřejné zakázky, při veřejné soutěži a</w:t>
      </w:r>
      <w:r w:rsidR="00ED3C68">
        <w:rPr>
          <w:rFonts w:ascii="Arial" w:hAnsi="Arial" w:cs="Arial"/>
          <w:spacing w:val="10"/>
          <w:sz w:val="21"/>
          <w:szCs w:val="21"/>
        </w:rPr>
        <w:t> </w:t>
      </w:r>
      <w:r w:rsidRPr="007324A0">
        <w:rPr>
          <w:rFonts w:ascii="Arial" w:hAnsi="Arial" w:cs="Arial"/>
          <w:spacing w:val="10"/>
          <w:sz w:val="21"/>
          <w:szCs w:val="21"/>
        </w:rPr>
        <w:t>veřejné dražbě dle § 256 TZ,</w:t>
      </w:r>
    </w:p>
    <w:p w14:paraId="446A19E8" w14:textId="04C17D59" w:rsidR="003C70A4" w:rsidRPr="007324A0" w:rsidRDefault="003C70A4" w:rsidP="007324A0">
      <w:pPr>
        <w:pStyle w:val="Odstavecseseznamem"/>
        <w:numPr>
          <w:ilvl w:val="0"/>
          <w:numId w:val="25"/>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pletichy při zadávání veřejných zakázek a při veřejné soutěži dle § 257 TZ.</w:t>
      </w:r>
    </w:p>
    <w:p w14:paraId="63F6B1E5" w14:textId="77777777" w:rsidR="003C70A4" w:rsidRPr="007324A0" w:rsidRDefault="003C70A4" w:rsidP="007324A0">
      <w:pPr>
        <w:pStyle w:val="Odstavecseseznamem"/>
        <w:snapToGrid w:val="0"/>
        <w:spacing w:after="120" w:line="276" w:lineRule="auto"/>
        <w:contextualSpacing w:val="0"/>
        <w:jc w:val="both"/>
        <w:rPr>
          <w:rFonts w:ascii="Arial" w:hAnsi="Arial" w:cs="Arial"/>
          <w:spacing w:val="10"/>
          <w:sz w:val="21"/>
          <w:szCs w:val="21"/>
        </w:rPr>
      </w:pPr>
    </w:p>
    <w:p w14:paraId="1D4610F0" w14:textId="75A4978C" w:rsidR="003C70A4" w:rsidRPr="007324A0" w:rsidRDefault="003C70A4" w:rsidP="007324A0">
      <w:pPr>
        <w:snapToGrid w:val="0"/>
        <w:spacing w:after="120" w:line="276" w:lineRule="auto"/>
        <w:ind w:left="360"/>
        <w:jc w:val="both"/>
        <w:rPr>
          <w:rFonts w:ascii="Arial" w:hAnsi="Arial" w:cs="Arial"/>
          <w:spacing w:val="10"/>
          <w:sz w:val="21"/>
          <w:szCs w:val="21"/>
          <w:u w:val="single"/>
        </w:rPr>
      </w:pPr>
      <w:r w:rsidRPr="007324A0">
        <w:rPr>
          <w:rFonts w:ascii="Arial" w:hAnsi="Arial" w:cs="Arial"/>
          <w:spacing w:val="10"/>
          <w:sz w:val="21"/>
          <w:szCs w:val="21"/>
          <w:u w:val="single"/>
        </w:rPr>
        <w:t>Trestný čin porušení předpisů o pravidlech hospodářské soutěže</w:t>
      </w:r>
    </w:p>
    <w:p w14:paraId="73703F2E" w14:textId="5666B6E4" w:rsidR="003C70A4" w:rsidRPr="007324A0" w:rsidRDefault="003C70A4" w:rsidP="007324A0">
      <w:pPr>
        <w:pStyle w:val="Odstavecseseznamem"/>
        <w:numPr>
          <w:ilvl w:val="0"/>
          <w:numId w:val="26"/>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color w:val="000000"/>
          <w:spacing w:val="10"/>
          <w:sz w:val="21"/>
          <w:szCs w:val="21"/>
          <w:shd w:val="clear" w:color="auto" w:fill="FFFFFF"/>
        </w:rPr>
        <w:t>Dle TZ platí, že stejně bude potrestán ten, „</w:t>
      </w:r>
      <w:r w:rsidRPr="007324A0">
        <w:rPr>
          <w:rFonts w:ascii="Arial" w:hAnsi="Arial" w:cs="Arial"/>
          <w:i/>
          <w:iCs/>
          <w:color w:val="000000"/>
          <w:spacing w:val="10"/>
          <w:sz w:val="21"/>
          <w:szCs w:val="21"/>
          <w:shd w:val="clear" w:color="auto" w:fill="FFFFFF"/>
        </w:rPr>
        <w:t>kdo v rozporu s jiným právním předpisem o veřejných zakázkách poruší závažným způsobem závazná pravidla zadávacího řízení</w:t>
      </w:r>
      <w:r w:rsidRPr="007324A0">
        <w:rPr>
          <w:rFonts w:ascii="Arial" w:hAnsi="Arial" w:cs="Arial"/>
          <w:color w:val="000000"/>
          <w:spacing w:val="10"/>
          <w:sz w:val="21"/>
          <w:szCs w:val="21"/>
          <w:shd w:val="clear" w:color="auto" w:fill="FFFFFF"/>
        </w:rPr>
        <w:t>“.</w:t>
      </w:r>
    </w:p>
    <w:p w14:paraId="3BE4FBE3" w14:textId="285AC2D5" w:rsidR="003C70A4" w:rsidRPr="007324A0" w:rsidRDefault="003C70A4" w:rsidP="007324A0">
      <w:pPr>
        <w:pStyle w:val="Odstavecseseznamem"/>
        <w:numPr>
          <w:ilvl w:val="0"/>
          <w:numId w:val="26"/>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color w:val="000000"/>
          <w:spacing w:val="10"/>
          <w:sz w:val="21"/>
          <w:szCs w:val="21"/>
          <w:shd w:val="clear" w:color="auto" w:fill="FFFFFF"/>
        </w:rPr>
        <w:t>Tato skutková podstata je formulována značně široce a pouze odkazuje na</w:t>
      </w:r>
      <w:r w:rsidR="00ED3C68">
        <w:rPr>
          <w:rFonts w:ascii="Arial" w:hAnsi="Arial" w:cs="Arial"/>
          <w:color w:val="000000"/>
          <w:spacing w:val="10"/>
          <w:sz w:val="21"/>
          <w:szCs w:val="21"/>
          <w:shd w:val="clear" w:color="auto" w:fill="FFFFFF"/>
        </w:rPr>
        <w:t> </w:t>
      </w:r>
      <w:r w:rsidRPr="007324A0">
        <w:rPr>
          <w:rFonts w:ascii="Arial" w:hAnsi="Arial" w:cs="Arial"/>
          <w:color w:val="000000"/>
          <w:spacing w:val="10"/>
          <w:sz w:val="21"/>
          <w:szCs w:val="21"/>
          <w:shd w:val="clear" w:color="auto" w:fill="FFFFFF"/>
        </w:rPr>
        <w:t>pravidla zadávacího řízení.</w:t>
      </w:r>
    </w:p>
    <w:p w14:paraId="0D1A79D3" w14:textId="788980EC" w:rsidR="003C70A4" w:rsidRPr="007324A0" w:rsidRDefault="003C70A4" w:rsidP="007324A0">
      <w:pPr>
        <w:pStyle w:val="Odstavecseseznamem"/>
        <w:numPr>
          <w:ilvl w:val="0"/>
          <w:numId w:val="26"/>
        </w:numPr>
        <w:snapToGrid w:val="0"/>
        <w:spacing w:after="120" w:line="276" w:lineRule="auto"/>
        <w:contextualSpacing w:val="0"/>
        <w:jc w:val="both"/>
        <w:rPr>
          <w:rFonts w:ascii="Arial" w:hAnsi="Arial" w:cs="Arial"/>
          <w:spacing w:val="10"/>
          <w:sz w:val="21"/>
          <w:szCs w:val="21"/>
          <w:u w:val="single"/>
        </w:rPr>
      </w:pPr>
      <w:r w:rsidRPr="007324A0">
        <w:rPr>
          <w:rFonts w:ascii="Arial" w:hAnsi="Arial" w:cs="Arial"/>
          <w:color w:val="000000"/>
          <w:spacing w:val="10"/>
          <w:sz w:val="21"/>
          <w:szCs w:val="21"/>
          <w:shd w:val="clear" w:color="auto" w:fill="FFFFFF"/>
        </w:rPr>
        <w:t>Ve vztahu k tomuto trestnému činu jsou vztahu speciality trestné činy dle § 256 a § 257 TZ – s ohledem na tuto skutečnost je vždy nejprve nutné posoudit, zda</w:t>
      </w:r>
      <w:r w:rsidR="00ED3C68">
        <w:rPr>
          <w:rFonts w:ascii="Arial" w:hAnsi="Arial" w:cs="Arial"/>
          <w:color w:val="000000"/>
          <w:spacing w:val="10"/>
          <w:sz w:val="21"/>
          <w:szCs w:val="21"/>
          <w:shd w:val="clear" w:color="auto" w:fill="FFFFFF"/>
        </w:rPr>
        <w:t> </w:t>
      </w:r>
      <w:r w:rsidRPr="007324A0">
        <w:rPr>
          <w:rFonts w:ascii="Arial" w:hAnsi="Arial" w:cs="Arial"/>
          <w:color w:val="000000"/>
          <w:spacing w:val="10"/>
          <w:sz w:val="21"/>
          <w:szCs w:val="21"/>
          <w:shd w:val="clear" w:color="auto" w:fill="FFFFFF"/>
        </w:rPr>
        <w:t>k jednání zadavatele nepřiléhá některá ze skutkových podstat speciálních trestných činů.</w:t>
      </w:r>
    </w:p>
    <w:p w14:paraId="06536003" w14:textId="716FC223" w:rsidR="003C70A4" w:rsidRPr="007324A0" w:rsidRDefault="003C70A4" w:rsidP="007324A0">
      <w:pPr>
        <w:snapToGrid w:val="0"/>
        <w:spacing w:after="120" w:line="276" w:lineRule="auto"/>
        <w:ind w:left="360"/>
        <w:jc w:val="both"/>
        <w:rPr>
          <w:rFonts w:ascii="Arial" w:hAnsi="Arial" w:cs="Arial"/>
          <w:spacing w:val="10"/>
          <w:sz w:val="21"/>
          <w:szCs w:val="21"/>
          <w:u w:val="single"/>
        </w:rPr>
      </w:pPr>
      <w:r w:rsidRPr="007324A0">
        <w:rPr>
          <w:rFonts w:ascii="Arial" w:hAnsi="Arial" w:cs="Arial"/>
          <w:spacing w:val="10"/>
          <w:sz w:val="21"/>
          <w:szCs w:val="21"/>
          <w:u w:val="single"/>
        </w:rPr>
        <w:t>Trestný čin zjednání výhody při zadání veřejné zakázky, při veřejné soutěži a veřejné dražbě</w:t>
      </w:r>
    </w:p>
    <w:p w14:paraId="72B3D284" w14:textId="1ABEDD97" w:rsidR="003C70A4" w:rsidRPr="007324A0" w:rsidRDefault="003C70A4" w:rsidP="007324A0">
      <w:pPr>
        <w:pStyle w:val="Odstavecseseznamem"/>
        <w:numPr>
          <w:ilvl w:val="0"/>
          <w:numId w:val="27"/>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Dle TZ platí: „</w:t>
      </w:r>
      <w:r w:rsidRPr="007324A0">
        <w:rPr>
          <w:rFonts w:ascii="Arial" w:hAnsi="Arial" w:cs="Arial"/>
          <w:i/>
          <w:iCs/>
          <w:spacing w:val="10"/>
          <w:sz w:val="21"/>
          <w:szCs w:val="21"/>
        </w:rPr>
        <w:t>kdo v souvislosti se zadáním veřejné zakázky, s veřejnou soutěží nebo veřejnou dražbou v úmyslu způsobit jinému škodu nebo opatřit sobě nebo</w:t>
      </w:r>
      <w:r w:rsidR="000B0478">
        <w:rPr>
          <w:rFonts w:ascii="Arial" w:hAnsi="Arial" w:cs="Arial"/>
          <w:i/>
          <w:iCs/>
          <w:spacing w:val="10"/>
          <w:sz w:val="21"/>
          <w:szCs w:val="21"/>
        </w:rPr>
        <w:t> </w:t>
      </w:r>
      <w:r w:rsidRPr="007324A0">
        <w:rPr>
          <w:rFonts w:ascii="Arial" w:hAnsi="Arial" w:cs="Arial"/>
          <w:i/>
          <w:iCs/>
          <w:spacing w:val="10"/>
          <w:sz w:val="21"/>
          <w:szCs w:val="21"/>
        </w:rPr>
        <w:t>jinému prospěch zjedná některému dodavateli, soutěžiteli nebo účastníku dražby přednost nebo výhodnější podmínky na úkor jiných dodavatelů nebo</w:t>
      </w:r>
      <w:r w:rsidR="000B0478">
        <w:rPr>
          <w:rFonts w:ascii="Arial" w:hAnsi="Arial" w:cs="Arial"/>
          <w:i/>
          <w:iCs/>
          <w:spacing w:val="10"/>
          <w:sz w:val="21"/>
          <w:szCs w:val="21"/>
        </w:rPr>
        <w:t> </w:t>
      </w:r>
      <w:r w:rsidRPr="007324A0">
        <w:rPr>
          <w:rFonts w:ascii="Arial" w:hAnsi="Arial" w:cs="Arial"/>
          <w:i/>
          <w:iCs/>
          <w:spacing w:val="10"/>
          <w:sz w:val="21"/>
          <w:szCs w:val="21"/>
        </w:rPr>
        <w:t>soutěžitelů, bude potrestán odnětím svobody na šest měsíců až tři léta nebo zákazem činnosti“.</w:t>
      </w:r>
    </w:p>
    <w:p w14:paraId="217B74A0" w14:textId="1341D674" w:rsidR="003C70A4" w:rsidRPr="007324A0" w:rsidRDefault="003C70A4" w:rsidP="007324A0">
      <w:pPr>
        <w:pStyle w:val="Odstavecseseznamem"/>
        <w:numPr>
          <w:ilvl w:val="0"/>
          <w:numId w:val="27"/>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 xml:space="preserve">Typicky se bude jednat o jednání zadavatele, který některému dodavateli </w:t>
      </w:r>
      <w:r w:rsidR="000B0478">
        <w:rPr>
          <w:rFonts w:ascii="Arial" w:hAnsi="Arial" w:cs="Arial"/>
          <w:spacing w:val="10"/>
          <w:sz w:val="21"/>
          <w:szCs w:val="21"/>
        </w:rPr>
        <w:t>s předstihem</w:t>
      </w:r>
      <w:r w:rsidRPr="007324A0">
        <w:rPr>
          <w:rFonts w:ascii="Arial" w:hAnsi="Arial" w:cs="Arial"/>
          <w:spacing w:val="10"/>
          <w:sz w:val="21"/>
          <w:szCs w:val="21"/>
        </w:rPr>
        <w:t xml:space="preserve"> oznám</w:t>
      </w:r>
      <w:r w:rsidR="00E120F5" w:rsidRPr="007324A0">
        <w:rPr>
          <w:rFonts w:ascii="Arial" w:hAnsi="Arial" w:cs="Arial"/>
          <w:spacing w:val="10"/>
          <w:sz w:val="21"/>
          <w:szCs w:val="21"/>
        </w:rPr>
        <w:t>í, kdy bude zadána veřejná zakázka, nebo mu dříve poskytne jiné relevantní informace, přičemž ke zjednání přednosti může dojít i</w:t>
      </w:r>
      <w:r w:rsidR="000B0478">
        <w:rPr>
          <w:rFonts w:ascii="Arial" w:hAnsi="Arial" w:cs="Arial"/>
          <w:spacing w:val="10"/>
          <w:sz w:val="21"/>
          <w:szCs w:val="21"/>
        </w:rPr>
        <w:t> </w:t>
      </w:r>
      <w:r w:rsidR="00E120F5" w:rsidRPr="007324A0">
        <w:rPr>
          <w:rFonts w:ascii="Arial" w:hAnsi="Arial" w:cs="Arial"/>
          <w:spacing w:val="10"/>
          <w:sz w:val="21"/>
          <w:szCs w:val="21"/>
        </w:rPr>
        <w:t>v průběhu zadávacího řízení, avšak je potřeba přihlížet k tomu, že ZZVZ připouští určitou komunikaci zadavatele s dodavateli (např. předběžné tržní konzultace).</w:t>
      </w:r>
    </w:p>
    <w:p w14:paraId="70A6C691" w14:textId="2F572987" w:rsidR="00E120F5" w:rsidRPr="007324A0" w:rsidRDefault="00E120F5" w:rsidP="007324A0">
      <w:pPr>
        <w:pStyle w:val="Odstavecseseznamem"/>
        <w:numPr>
          <w:ilvl w:val="0"/>
          <w:numId w:val="27"/>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Zjednáním výhody se rozumí jakékoliv zvýhodnění dodavatele před jiným dodavatelem – typicky nastavením zadávacích podmínek na míru některému dodavateli nebo poskytnutí informací, které ostatní dodavatelé k dispozici nemají.</w:t>
      </w:r>
    </w:p>
    <w:p w14:paraId="19F9D4AD" w14:textId="7CC55B3C" w:rsidR="00E120F5" w:rsidRPr="007324A0" w:rsidRDefault="00E120F5" w:rsidP="007324A0">
      <w:pPr>
        <w:snapToGrid w:val="0"/>
        <w:spacing w:after="120" w:line="276" w:lineRule="auto"/>
        <w:ind w:left="360"/>
        <w:jc w:val="both"/>
        <w:rPr>
          <w:rFonts w:ascii="Arial" w:hAnsi="Arial" w:cs="Arial"/>
          <w:spacing w:val="10"/>
          <w:sz w:val="21"/>
          <w:szCs w:val="21"/>
          <w:u w:val="single"/>
        </w:rPr>
      </w:pPr>
      <w:r w:rsidRPr="007324A0">
        <w:rPr>
          <w:rFonts w:ascii="Arial" w:hAnsi="Arial" w:cs="Arial"/>
          <w:spacing w:val="10"/>
          <w:sz w:val="21"/>
          <w:szCs w:val="21"/>
          <w:u w:val="single"/>
        </w:rPr>
        <w:t>Pletichy při zadávání veřejných zakázek a při veřejné soutěži</w:t>
      </w:r>
    </w:p>
    <w:p w14:paraId="146A8193" w14:textId="5FCCE0A7" w:rsidR="00E120F5" w:rsidRPr="007324A0" w:rsidRDefault="00E120F5" w:rsidP="007324A0">
      <w:pPr>
        <w:pStyle w:val="Odstavecseseznamem"/>
        <w:numPr>
          <w:ilvl w:val="0"/>
          <w:numId w:val="27"/>
        </w:numPr>
        <w:snapToGrid w:val="0"/>
        <w:spacing w:after="120" w:line="276" w:lineRule="auto"/>
        <w:contextualSpacing w:val="0"/>
        <w:jc w:val="both"/>
        <w:rPr>
          <w:rFonts w:ascii="Arial" w:hAnsi="Arial" w:cs="Arial"/>
          <w:color w:val="000000"/>
          <w:spacing w:val="10"/>
          <w:sz w:val="21"/>
          <w:szCs w:val="21"/>
        </w:rPr>
      </w:pPr>
      <w:r w:rsidRPr="007324A0">
        <w:rPr>
          <w:rFonts w:ascii="Arial" w:hAnsi="Arial" w:cs="Arial"/>
          <w:spacing w:val="10"/>
          <w:sz w:val="21"/>
          <w:szCs w:val="21"/>
        </w:rPr>
        <w:t xml:space="preserve">Toto trestného činu dopustí ten, </w:t>
      </w:r>
      <w:r w:rsidRPr="007324A0">
        <w:rPr>
          <w:rFonts w:ascii="Arial" w:hAnsi="Arial" w:cs="Arial"/>
          <w:color w:val="000000"/>
          <w:spacing w:val="10"/>
          <w:sz w:val="21"/>
          <w:szCs w:val="21"/>
        </w:rPr>
        <w:t>do se dopustí pletich v souvislosti se zadáním veřejné zakázky nebo s veřejnou soutěží tím, že</w:t>
      </w:r>
      <w:r w:rsidR="000B0478">
        <w:rPr>
          <w:rFonts w:ascii="Arial" w:hAnsi="Arial" w:cs="Arial"/>
          <w:color w:val="000000"/>
          <w:spacing w:val="10"/>
          <w:sz w:val="21"/>
          <w:szCs w:val="21"/>
        </w:rPr>
        <w:t>:</w:t>
      </w:r>
    </w:p>
    <w:p w14:paraId="5D1ABF99" w14:textId="77777777" w:rsidR="000B0478" w:rsidRDefault="00E120F5" w:rsidP="000B0478">
      <w:pPr>
        <w:pStyle w:val="l6"/>
        <w:numPr>
          <w:ilvl w:val="0"/>
          <w:numId w:val="40"/>
        </w:numPr>
        <w:shd w:val="clear" w:color="auto" w:fill="FFFFFF"/>
        <w:snapToGrid w:val="0"/>
        <w:spacing w:before="0" w:beforeAutospacing="0" w:after="120" w:afterAutospacing="0" w:line="276" w:lineRule="auto"/>
        <w:jc w:val="both"/>
        <w:rPr>
          <w:rFonts w:ascii="Arial" w:hAnsi="Arial" w:cs="Arial"/>
          <w:color w:val="000000"/>
          <w:spacing w:val="10"/>
          <w:sz w:val="21"/>
          <w:szCs w:val="21"/>
        </w:rPr>
      </w:pPr>
      <w:r w:rsidRPr="007324A0">
        <w:rPr>
          <w:rFonts w:ascii="Arial" w:hAnsi="Arial" w:cs="Arial"/>
          <w:color w:val="000000"/>
          <w:spacing w:val="10"/>
          <w:sz w:val="21"/>
          <w:szCs w:val="21"/>
        </w:rPr>
        <w:t>lstí nebo pohrůžkou násilí nebo jiné těžké újmy přiměje jiného, aby</w:t>
      </w:r>
      <w:r w:rsidR="000B0478">
        <w:rPr>
          <w:rFonts w:ascii="Arial" w:hAnsi="Arial" w:cs="Arial"/>
          <w:color w:val="000000"/>
          <w:spacing w:val="10"/>
          <w:sz w:val="21"/>
          <w:szCs w:val="21"/>
        </w:rPr>
        <w:t> </w:t>
      </w:r>
      <w:r w:rsidRPr="007324A0">
        <w:rPr>
          <w:rFonts w:ascii="Arial" w:hAnsi="Arial" w:cs="Arial"/>
          <w:color w:val="000000"/>
          <w:spacing w:val="10"/>
          <w:sz w:val="21"/>
          <w:szCs w:val="21"/>
        </w:rPr>
        <w:t>s</w:t>
      </w:r>
      <w:r w:rsidR="000B0478">
        <w:rPr>
          <w:rFonts w:ascii="Arial" w:hAnsi="Arial" w:cs="Arial"/>
          <w:color w:val="000000"/>
          <w:spacing w:val="10"/>
          <w:sz w:val="21"/>
          <w:szCs w:val="21"/>
        </w:rPr>
        <w:t>e </w:t>
      </w:r>
      <w:r w:rsidRPr="007324A0">
        <w:rPr>
          <w:rFonts w:ascii="Arial" w:hAnsi="Arial" w:cs="Arial"/>
          <w:color w:val="000000"/>
          <w:spacing w:val="10"/>
          <w:sz w:val="21"/>
          <w:szCs w:val="21"/>
        </w:rPr>
        <w:t>zdržel účasti v zadávacím řízení nebo ve veřejné soutěži,</w:t>
      </w:r>
    </w:p>
    <w:p w14:paraId="5206AA54" w14:textId="77777777" w:rsidR="000B0478" w:rsidRDefault="00E120F5" w:rsidP="000B0478">
      <w:pPr>
        <w:pStyle w:val="l6"/>
        <w:numPr>
          <w:ilvl w:val="0"/>
          <w:numId w:val="40"/>
        </w:numPr>
        <w:shd w:val="clear" w:color="auto" w:fill="FFFFFF"/>
        <w:snapToGrid w:val="0"/>
        <w:spacing w:before="0" w:beforeAutospacing="0" w:after="120" w:afterAutospacing="0" w:line="276" w:lineRule="auto"/>
        <w:jc w:val="both"/>
        <w:rPr>
          <w:rFonts w:ascii="Arial" w:hAnsi="Arial" w:cs="Arial"/>
          <w:color w:val="000000"/>
          <w:spacing w:val="10"/>
          <w:sz w:val="21"/>
          <w:szCs w:val="21"/>
        </w:rPr>
      </w:pPr>
      <w:r w:rsidRPr="000B0478">
        <w:rPr>
          <w:rFonts w:ascii="Arial" w:hAnsi="Arial" w:cs="Arial"/>
          <w:color w:val="000000"/>
          <w:spacing w:val="10"/>
          <w:sz w:val="21"/>
          <w:szCs w:val="21"/>
        </w:rPr>
        <w:t>jinému poskytne, nabídne nebo slíbí majetkový nebo jiný prospěch za</w:t>
      </w:r>
      <w:r w:rsidR="000B0478">
        <w:rPr>
          <w:rFonts w:ascii="Arial" w:hAnsi="Arial" w:cs="Arial"/>
          <w:color w:val="000000"/>
          <w:spacing w:val="10"/>
          <w:sz w:val="21"/>
          <w:szCs w:val="21"/>
        </w:rPr>
        <w:t> </w:t>
      </w:r>
      <w:r w:rsidRPr="000B0478">
        <w:rPr>
          <w:rFonts w:ascii="Arial" w:hAnsi="Arial" w:cs="Arial"/>
          <w:color w:val="000000"/>
          <w:spacing w:val="10"/>
          <w:sz w:val="21"/>
          <w:szCs w:val="21"/>
        </w:rPr>
        <w:t>to, že se zdrží účasti v zadávacím řízení nebo ve veřejné soutěži,</w:t>
      </w:r>
    </w:p>
    <w:p w14:paraId="6E562D97" w14:textId="77777777" w:rsidR="000B0478" w:rsidRDefault="00E120F5" w:rsidP="000B0478">
      <w:pPr>
        <w:pStyle w:val="l6"/>
        <w:numPr>
          <w:ilvl w:val="0"/>
          <w:numId w:val="40"/>
        </w:numPr>
        <w:shd w:val="clear" w:color="auto" w:fill="FFFFFF"/>
        <w:snapToGrid w:val="0"/>
        <w:spacing w:before="0" w:beforeAutospacing="0" w:after="120" w:afterAutospacing="0" w:line="276" w:lineRule="auto"/>
        <w:jc w:val="both"/>
        <w:rPr>
          <w:rFonts w:ascii="Arial" w:hAnsi="Arial" w:cs="Arial"/>
          <w:color w:val="000000"/>
          <w:spacing w:val="10"/>
          <w:sz w:val="21"/>
          <w:szCs w:val="21"/>
        </w:rPr>
      </w:pPr>
      <w:r w:rsidRPr="000B0478">
        <w:rPr>
          <w:rFonts w:ascii="Arial" w:hAnsi="Arial" w:cs="Arial"/>
          <w:color w:val="000000"/>
          <w:spacing w:val="10"/>
          <w:sz w:val="21"/>
          <w:szCs w:val="21"/>
        </w:rPr>
        <w:t>žádá nebo přijme majetkový nebo jiný prospěch za to, že se zdrží účasti v zadávacím řízení nebo ve veřejné soutěži, nebo</w:t>
      </w:r>
    </w:p>
    <w:p w14:paraId="70AE4DAF" w14:textId="3C24E446" w:rsidR="00E120F5" w:rsidRPr="000B0478" w:rsidRDefault="00E120F5" w:rsidP="000B0478">
      <w:pPr>
        <w:pStyle w:val="l6"/>
        <w:numPr>
          <w:ilvl w:val="0"/>
          <w:numId w:val="40"/>
        </w:numPr>
        <w:shd w:val="clear" w:color="auto" w:fill="FFFFFF"/>
        <w:snapToGrid w:val="0"/>
        <w:spacing w:before="0" w:beforeAutospacing="0" w:after="120" w:afterAutospacing="0" w:line="276" w:lineRule="auto"/>
        <w:jc w:val="both"/>
        <w:rPr>
          <w:rFonts w:ascii="Arial" w:hAnsi="Arial" w:cs="Arial"/>
          <w:color w:val="000000"/>
          <w:spacing w:val="10"/>
          <w:sz w:val="21"/>
          <w:szCs w:val="21"/>
        </w:rPr>
      </w:pPr>
      <w:r w:rsidRPr="000B0478">
        <w:rPr>
          <w:rFonts w:ascii="Arial" w:hAnsi="Arial" w:cs="Arial"/>
          <w:color w:val="000000"/>
          <w:spacing w:val="10"/>
          <w:sz w:val="21"/>
          <w:szCs w:val="21"/>
        </w:rPr>
        <w:lastRenderedPageBreak/>
        <w:t>na základě dohody s jiným zájemcem nebo uchazečem vyvíjí činnost směřující k zadání veřejné zakázky za nepřiměřeně vysokou nebo jinak nevýhodnou cenu“</w:t>
      </w:r>
    </w:p>
    <w:p w14:paraId="56DCF0C9" w14:textId="1B74BC12" w:rsidR="00E120F5" w:rsidRPr="007324A0" w:rsidRDefault="00E120F5" w:rsidP="007324A0">
      <w:pPr>
        <w:pStyle w:val="Odstavecseseznamem"/>
        <w:numPr>
          <w:ilvl w:val="0"/>
          <w:numId w:val="28"/>
        </w:numPr>
        <w:snapToGrid w:val="0"/>
        <w:spacing w:after="120" w:line="276" w:lineRule="auto"/>
        <w:contextualSpacing w:val="0"/>
        <w:jc w:val="both"/>
        <w:rPr>
          <w:rFonts w:ascii="Arial" w:hAnsi="Arial" w:cs="Arial"/>
          <w:spacing w:val="10"/>
          <w:sz w:val="21"/>
          <w:szCs w:val="21"/>
        </w:rPr>
      </w:pPr>
      <w:r w:rsidRPr="007324A0">
        <w:rPr>
          <w:rFonts w:ascii="Arial" w:hAnsi="Arial" w:cs="Arial"/>
          <w:spacing w:val="10"/>
          <w:sz w:val="21"/>
          <w:szCs w:val="21"/>
        </w:rPr>
        <w:t>V případě zadavatelů bude relevantní písm. a) nebo b)</w:t>
      </w:r>
      <w:r w:rsidR="000B0478">
        <w:rPr>
          <w:rFonts w:ascii="Arial" w:hAnsi="Arial" w:cs="Arial"/>
          <w:spacing w:val="10"/>
          <w:sz w:val="21"/>
          <w:szCs w:val="21"/>
        </w:rPr>
        <w:t xml:space="preserve"> uvedené výše</w:t>
      </w:r>
      <w:r w:rsidRPr="007324A0">
        <w:rPr>
          <w:rFonts w:ascii="Arial" w:hAnsi="Arial" w:cs="Arial"/>
          <w:spacing w:val="10"/>
          <w:sz w:val="21"/>
          <w:szCs w:val="21"/>
        </w:rPr>
        <w:t>.</w:t>
      </w:r>
    </w:p>
    <w:sectPr w:rsidR="00E120F5" w:rsidRPr="00732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84E"/>
    <w:multiLevelType w:val="hybridMultilevel"/>
    <w:tmpl w:val="242AD99A"/>
    <w:lvl w:ilvl="0" w:tplc="F72AB7F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8C68ED"/>
    <w:multiLevelType w:val="hybridMultilevel"/>
    <w:tmpl w:val="43FC7B84"/>
    <w:lvl w:ilvl="0" w:tplc="6270F51A">
      <w:numFmt w:val="bullet"/>
      <w:lvlText w:val="-"/>
      <w:lvlJc w:val="left"/>
      <w:pPr>
        <w:ind w:left="1800" w:hanging="360"/>
      </w:pPr>
      <w:rPr>
        <w:rFonts w:ascii="Calibri" w:eastAsiaTheme="minorEastAsia"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7974FBB"/>
    <w:multiLevelType w:val="hybridMultilevel"/>
    <w:tmpl w:val="03784B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3A20F2"/>
    <w:multiLevelType w:val="hybridMultilevel"/>
    <w:tmpl w:val="A5D8F5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EA54B9"/>
    <w:multiLevelType w:val="hybridMultilevel"/>
    <w:tmpl w:val="F3BAC6E8"/>
    <w:lvl w:ilvl="0" w:tplc="F72AB7F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264798"/>
    <w:multiLevelType w:val="hybridMultilevel"/>
    <w:tmpl w:val="91C48672"/>
    <w:lvl w:ilvl="0" w:tplc="6270F51A">
      <w:numFmt w:val="bullet"/>
      <w:lvlText w:val="-"/>
      <w:lvlJc w:val="left"/>
      <w:pPr>
        <w:ind w:left="1800" w:hanging="360"/>
      </w:pPr>
      <w:rPr>
        <w:rFonts w:ascii="Calibri" w:eastAsiaTheme="minorEastAsia"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CC05274"/>
    <w:multiLevelType w:val="hybridMultilevel"/>
    <w:tmpl w:val="A5D8F5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066295"/>
    <w:multiLevelType w:val="hybridMultilevel"/>
    <w:tmpl w:val="EABCCD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DA6AC2"/>
    <w:multiLevelType w:val="hybridMultilevel"/>
    <w:tmpl w:val="D7CAFC9C"/>
    <w:lvl w:ilvl="0" w:tplc="7B282026">
      <w:start w:val="1"/>
      <w:numFmt w:val="lowerLetter"/>
      <w:lvlText w:val="%1)"/>
      <w:lvlJc w:val="left"/>
      <w:pPr>
        <w:ind w:left="816" w:hanging="360"/>
      </w:pPr>
      <w:rPr>
        <w:b w:val="0"/>
        <w:bCs w:val="0"/>
      </w:rPr>
    </w:lvl>
    <w:lvl w:ilvl="1" w:tplc="04050019" w:tentative="1">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9" w15:restartNumberingAfterBreak="0">
    <w:nsid w:val="101765BB"/>
    <w:multiLevelType w:val="hybridMultilevel"/>
    <w:tmpl w:val="FDFEB4FC"/>
    <w:lvl w:ilvl="0" w:tplc="F72AB7F6">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5644C35"/>
    <w:multiLevelType w:val="hybridMultilevel"/>
    <w:tmpl w:val="43EAC670"/>
    <w:lvl w:ilvl="0" w:tplc="56A6B924">
      <w:start w:val="4"/>
      <w:numFmt w:val="bullet"/>
      <w:lvlText w:val="-"/>
      <w:lvlJc w:val="left"/>
      <w:pPr>
        <w:ind w:left="1500" w:hanging="360"/>
      </w:pPr>
      <w:rPr>
        <w:rFonts w:ascii="Calibri" w:eastAsia="Times New Roman" w:hAnsi="Calibri" w:cs="Calibri"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1" w15:restartNumberingAfterBreak="0">
    <w:nsid w:val="158E15EE"/>
    <w:multiLevelType w:val="hybridMultilevel"/>
    <w:tmpl w:val="D612F0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CF21DDA"/>
    <w:multiLevelType w:val="hybridMultilevel"/>
    <w:tmpl w:val="519C4F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E33646"/>
    <w:multiLevelType w:val="hybridMultilevel"/>
    <w:tmpl w:val="A5D8F5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3E22C8"/>
    <w:multiLevelType w:val="hybridMultilevel"/>
    <w:tmpl w:val="2AFEC62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56E2EC8"/>
    <w:multiLevelType w:val="hybridMultilevel"/>
    <w:tmpl w:val="DE6A2BB6"/>
    <w:lvl w:ilvl="0" w:tplc="F72AB7F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C6A1E9A"/>
    <w:multiLevelType w:val="hybridMultilevel"/>
    <w:tmpl w:val="75DCE23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13D3D57"/>
    <w:multiLevelType w:val="hybridMultilevel"/>
    <w:tmpl w:val="EABCCD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207E60"/>
    <w:multiLevelType w:val="hybridMultilevel"/>
    <w:tmpl w:val="71FC6ED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235DA1"/>
    <w:multiLevelType w:val="hybridMultilevel"/>
    <w:tmpl w:val="5872A41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4363CD7"/>
    <w:multiLevelType w:val="hybridMultilevel"/>
    <w:tmpl w:val="63B81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FE1978"/>
    <w:multiLevelType w:val="hybridMultilevel"/>
    <w:tmpl w:val="706C5620"/>
    <w:lvl w:ilvl="0" w:tplc="F72AB7F6">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ACA1386"/>
    <w:multiLevelType w:val="hybridMultilevel"/>
    <w:tmpl w:val="A5D8F5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F61CB5"/>
    <w:multiLevelType w:val="hybridMultilevel"/>
    <w:tmpl w:val="E514D6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39B6043"/>
    <w:multiLevelType w:val="hybridMultilevel"/>
    <w:tmpl w:val="4DF65D28"/>
    <w:lvl w:ilvl="0" w:tplc="20D4DB7A">
      <w:start w:val="1"/>
      <w:numFmt w:val="lowerRoman"/>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5" w15:restartNumberingAfterBreak="0">
    <w:nsid w:val="45517951"/>
    <w:multiLevelType w:val="hybridMultilevel"/>
    <w:tmpl w:val="CB7E2A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B54413"/>
    <w:multiLevelType w:val="hybridMultilevel"/>
    <w:tmpl w:val="8F60E32E"/>
    <w:lvl w:ilvl="0" w:tplc="F72AB7F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422A62"/>
    <w:multiLevelType w:val="hybridMultilevel"/>
    <w:tmpl w:val="67546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F904CA"/>
    <w:multiLevelType w:val="hybridMultilevel"/>
    <w:tmpl w:val="C7B043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67342C2"/>
    <w:multiLevelType w:val="hybridMultilevel"/>
    <w:tmpl w:val="B0926E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6F25B1F"/>
    <w:multiLevelType w:val="hybridMultilevel"/>
    <w:tmpl w:val="011E2D98"/>
    <w:lvl w:ilvl="0" w:tplc="F72AB7F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A470C7F"/>
    <w:multiLevelType w:val="hybridMultilevel"/>
    <w:tmpl w:val="839EB326"/>
    <w:lvl w:ilvl="0" w:tplc="E96ED178">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E3C6938"/>
    <w:multiLevelType w:val="hybridMultilevel"/>
    <w:tmpl w:val="998869E6"/>
    <w:lvl w:ilvl="0" w:tplc="F72AB7F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1357F0A"/>
    <w:multiLevelType w:val="hybridMultilevel"/>
    <w:tmpl w:val="A5D8F5A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5A5269E"/>
    <w:multiLevelType w:val="hybridMultilevel"/>
    <w:tmpl w:val="A5D8F5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433635"/>
    <w:multiLevelType w:val="hybridMultilevel"/>
    <w:tmpl w:val="A5D8F5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BF31E90"/>
    <w:multiLevelType w:val="hybridMultilevel"/>
    <w:tmpl w:val="427E6D30"/>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7" w15:restartNumberingAfterBreak="0">
    <w:nsid w:val="6C8900A0"/>
    <w:multiLevelType w:val="hybridMultilevel"/>
    <w:tmpl w:val="415E3C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6E6740CF"/>
    <w:multiLevelType w:val="hybridMultilevel"/>
    <w:tmpl w:val="519C4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7E08E3"/>
    <w:multiLevelType w:val="hybridMultilevel"/>
    <w:tmpl w:val="35A445E8"/>
    <w:lvl w:ilvl="0" w:tplc="6270F51A">
      <w:numFmt w:val="bullet"/>
      <w:lvlText w:val="-"/>
      <w:lvlJc w:val="left"/>
      <w:pPr>
        <w:ind w:left="1800" w:hanging="360"/>
      </w:pPr>
      <w:rPr>
        <w:rFonts w:ascii="Calibri" w:eastAsiaTheme="minorEastAsia"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0" w15:restartNumberingAfterBreak="0">
    <w:nsid w:val="73A422FA"/>
    <w:multiLevelType w:val="hybridMultilevel"/>
    <w:tmpl w:val="36D042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16864167">
    <w:abstractNumId w:val="11"/>
  </w:num>
  <w:num w:numId="2" w16cid:durableId="1659965566">
    <w:abstractNumId w:val="33"/>
  </w:num>
  <w:num w:numId="3" w16cid:durableId="99185960">
    <w:abstractNumId w:val="23"/>
  </w:num>
  <w:num w:numId="4" w16cid:durableId="1432242776">
    <w:abstractNumId w:val="31"/>
  </w:num>
  <w:num w:numId="5" w16cid:durableId="416367964">
    <w:abstractNumId w:val="7"/>
  </w:num>
  <w:num w:numId="6" w16cid:durableId="959382757">
    <w:abstractNumId w:val="36"/>
  </w:num>
  <w:num w:numId="7" w16cid:durableId="4788593">
    <w:abstractNumId w:val="27"/>
  </w:num>
  <w:num w:numId="8" w16cid:durableId="1899514359">
    <w:abstractNumId w:val="25"/>
  </w:num>
  <w:num w:numId="9" w16cid:durableId="708575300">
    <w:abstractNumId w:val="29"/>
  </w:num>
  <w:num w:numId="10" w16cid:durableId="536046049">
    <w:abstractNumId w:val="12"/>
  </w:num>
  <w:num w:numId="11" w16cid:durableId="1693872248">
    <w:abstractNumId w:val="2"/>
  </w:num>
  <w:num w:numId="12" w16cid:durableId="427703976">
    <w:abstractNumId w:val="38"/>
  </w:num>
  <w:num w:numId="13" w16cid:durableId="498815396">
    <w:abstractNumId w:val="19"/>
  </w:num>
  <w:num w:numId="14" w16cid:durableId="1695039528">
    <w:abstractNumId w:val="8"/>
  </w:num>
  <w:num w:numId="15" w16cid:durableId="688874711">
    <w:abstractNumId w:val="28"/>
  </w:num>
  <w:num w:numId="16" w16cid:durableId="696781216">
    <w:abstractNumId w:val="40"/>
  </w:num>
  <w:num w:numId="17" w16cid:durableId="1666396455">
    <w:abstractNumId w:val="37"/>
  </w:num>
  <w:num w:numId="18" w16cid:durableId="2115246905">
    <w:abstractNumId w:val="5"/>
  </w:num>
  <w:num w:numId="19" w16cid:durableId="271135656">
    <w:abstractNumId w:val="39"/>
  </w:num>
  <w:num w:numId="20" w16cid:durableId="2126000537">
    <w:abstractNumId w:val="1"/>
  </w:num>
  <w:num w:numId="21" w16cid:durableId="1351688988">
    <w:abstractNumId w:val="10"/>
  </w:num>
  <w:num w:numId="22" w16cid:durableId="585262284">
    <w:abstractNumId w:val="20"/>
  </w:num>
  <w:num w:numId="23" w16cid:durableId="556362073">
    <w:abstractNumId w:val="21"/>
  </w:num>
  <w:num w:numId="24" w16cid:durableId="1108619910">
    <w:abstractNumId w:val="0"/>
  </w:num>
  <w:num w:numId="25" w16cid:durableId="1830780886">
    <w:abstractNumId w:val="18"/>
  </w:num>
  <w:num w:numId="26" w16cid:durableId="510534293">
    <w:abstractNumId w:val="30"/>
  </w:num>
  <w:num w:numId="27" w16cid:durableId="856386944">
    <w:abstractNumId w:val="15"/>
  </w:num>
  <w:num w:numId="28" w16cid:durableId="1547644799">
    <w:abstractNumId w:val="32"/>
  </w:num>
  <w:num w:numId="29" w16cid:durableId="1621374603">
    <w:abstractNumId w:val="17"/>
  </w:num>
  <w:num w:numId="30" w16cid:durableId="778911291">
    <w:abstractNumId w:val="9"/>
  </w:num>
  <w:num w:numId="31" w16cid:durableId="1791901888">
    <w:abstractNumId w:val="26"/>
  </w:num>
  <w:num w:numId="32" w16cid:durableId="897589432">
    <w:abstractNumId w:val="34"/>
  </w:num>
  <w:num w:numId="33" w16cid:durableId="632953470">
    <w:abstractNumId w:val="4"/>
  </w:num>
  <w:num w:numId="34" w16cid:durableId="1018653127">
    <w:abstractNumId w:val="24"/>
  </w:num>
  <w:num w:numId="35" w16cid:durableId="736981318">
    <w:abstractNumId w:val="3"/>
  </w:num>
  <w:num w:numId="36" w16cid:durableId="1538346105">
    <w:abstractNumId w:val="13"/>
  </w:num>
  <w:num w:numId="37" w16cid:durableId="1800881072">
    <w:abstractNumId w:val="6"/>
  </w:num>
  <w:num w:numId="38" w16cid:durableId="576675565">
    <w:abstractNumId w:val="22"/>
  </w:num>
  <w:num w:numId="39" w16cid:durableId="1365595556">
    <w:abstractNumId w:val="35"/>
  </w:num>
  <w:num w:numId="40" w16cid:durableId="485778489">
    <w:abstractNumId w:val="16"/>
  </w:num>
  <w:num w:numId="41" w16cid:durableId="68121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D3"/>
    <w:rsid w:val="000001E8"/>
    <w:rsid w:val="00006AFA"/>
    <w:rsid w:val="000B0478"/>
    <w:rsid w:val="000B14AA"/>
    <w:rsid w:val="000C136B"/>
    <w:rsid w:val="000C79F3"/>
    <w:rsid w:val="000D33C1"/>
    <w:rsid w:val="000E5376"/>
    <w:rsid w:val="00160C35"/>
    <w:rsid w:val="00162648"/>
    <w:rsid w:val="001636FD"/>
    <w:rsid w:val="00171C33"/>
    <w:rsid w:val="00195649"/>
    <w:rsid w:val="00195F05"/>
    <w:rsid w:val="001A5FA8"/>
    <w:rsid w:val="001B5A1C"/>
    <w:rsid w:val="001B5E10"/>
    <w:rsid w:val="00221235"/>
    <w:rsid w:val="00252D57"/>
    <w:rsid w:val="00293743"/>
    <w:rsid w:val="002A1738"/>
    <w:rsid w:val="002C12D4"/>
    <w:rsid w:val="002D1C31"/>
    <w:rsid w:val="002D245D"/>
    <w:rsid w:val="002E6AC6"/>
    <w:rsid w:val="00322D01"/>
    <w:rsid w:val="00366D47"/>
    <w:rsid w:val="00382AAF"/>
    <w:rsid w:val="00383FBB"/>
    <w:rsid w:val="00386A57"/>
    <w:rsid w:val="003A24BA"/>
    <w:rsid w:val="003A6741"/>
    <w:rsid w:val="003B2B8D"/>
    <w:rsid w:val="003C70A4"/>
    <w:rsid w:val="003D6068"/>
    <w:rsid w:val="003E5157"/>
    <w:rsid w:val="003F0015"/>
    <w:rsid w:val="003F2EB4"/>
    <w:rsid w:val="004005CB"/>
    <w:rsid w:val="00434ACA"/>
    <w:rsid w:val="004B7B59"/>
    <w:rsid w:val="004D1429"/>
    <w:rsid w:val="00501FD4"/>
    <w:rsid w:val="00504D23"/>
    <w:rsid w:val="00541DBB"/>
    <w:rsid w:val="00545B10"/>
    <w:rsid w:val="00550334"/>
    <w:rsid w:val="00553B8B"/>
    <w:rsid w:val="005A1EBA"/>
    <w:rsid w:val="005A3B66"/>
    <w:rsid w:val="005B7C37"/>
    <w:rsid w:val="005C2463"/>
    <w:rsid w:val="005C3FF0"/>
    <w:rsid w:val="005C56B4"/>
    <w:rsid w:val="005C5C57"/>
    <w:rsid w:val="005C7AD1"/>
    <w:rsid w:val="005D17B3"/>
    <w:rsid w:val="005D59F5"/>
    <w:rsid w:val="005E1B29"/>
    <w:rsid w:val="00610E12"/>
    <w:rsid w:val="00622817"/>
    <w:rsid w:val="00655481"/>
    <w:rsid w:val="00677DB7"/>
    <w:rsid w:val="006D297D"/>
    <w:rsid w:val="006E0C27"/>
    <w:rsid w:val="006F063C"/>
    <w:rsid w:val="006F501D"/>
    <w:rsid w:val="00713632"/>
    <w:rsid w:val="007324A0"/>
    <w:rsid w:val="007439E5"/>
    <w:rsid w:val="007468D6"/>
    <w:rsid w:val="0076031F"/>
    <w:rsid w:val="00780028"/>
    <w:rsid w:val="00797568"/>
    <w:rsid w:val="007B195A"/>
    <w:rsid w:val="007B2608"/>
    <w:rsid w:val="007D2BA4"/>
    <w:rsid w:val="007F05DA"/>
    <w:rsid w:val="00802047"/>
    <w:rsid w:val="00817F7B"/>
    <w:rsid w:val="008200BD"/>
    <w:rsid w:val="00827457"/>
    <w:rsid w:val="00834060"/>
    <w:rsid w:val="00835C36"/>
    <w:rsid w:val="008451C5"/>
    <w:rsid w:val="008950F3"/>
    <w:rsid w:val="0089635D"/>
    <w:rsid w:val="008A2F5A"/>
    <w:rsid w:val="008B1D3D"/>
    <w:rsid w:val="008D1B1E"/>
    <w:rsid w:val="008D1CE2"/>
    <w:rsid w:val="008E1B14"/>
    <w:rsid w:val="009166B5"/>
    <w:rsid w:val="00933579"/>
    <w:rsid w:val="0093726B"/>
    <w:rsid w:val="00941C19"/>
    <w:rsid w:val="00942AD3"/>
    <w:rsid w:val="00950695"/>
    <w:rsid w:val="00957626"/>
    <w:rsid w:val="009872B7"/>
    <w:rsid w:val="009D1952"/>
    <w:rsid w:val="009E441D"/>
    <w:rsid w:val="00A239A2"/>
    <w:rsid w:val="00A3413C"/>
    <w:rsid w:val="00A477CA"/>
    <w:rsid w:val="00A84E73"/>
    <w:rsid w:val="00A94192"/>
    <w:rsid w:val="00AA1C91"/>
    <w:rsid w:val="00B157FB"/>
    <w:rsid w:val="00B61210"/>
    <w:rsid w:val="00B74308"/>
    <w:rsid w:val="00B83A89"/>
    <w:rsid w:val="00B95813"/>
    <w:rsid w:val="00B9795A"/>
    <w:rsid w:val="00BA00A7"/>
    <w:rsid w:val="00BB2FE9"/>
    <w:rsid w:val="00BC1DE2"/>
    <w:rsid w:val="00BE3B40"/>
    <w:rsid w:val="00BF3FD0"/>
    <w:rsid w:val="00C06009"/>
    <w:rsid w:val="00C12603"/>
    <w:rsid w:val="00C2242D"/>
    <w:rsid w:val="00C47F6C"/>
    <w:rsid w:val="00C6181E"/>
    <w:rsid w:val="00C72823"/>
    <w:rsid w:val="00C752C9"/>
    <w:rsid w:val="00C81221"/>
    <w:rsid w:val="00CA0970"/>
    <w:rsid w:val="00CA46A9"/>
    <w:rsid w:val="00CE544B"/>
    <w:rsid w:val="00D137AC"/>
    <w:rsid w:val="00D14B78"/>
    <w:rsid w:val="00D344DB"/>
    <w:rsid w:val="00D4629C"/>
    <w:rsid w:val="00D62C34"/>
    <w:rsid w:val="00D95B5D"/>
    <w:rsid w:val="00DA1CE6"/>
    <w:rsid w:val="00DD6810"/>
    <w:rsid w:val="00DD6C4D"/>
    <w:rsid w:val="00DE3A64"/>
    <w:rsid w:val="00E120F5"/>
    <w:rsid w:val="00E214C2"/>
    <w:rsid w:val="00E37DE1"/>
    <w:rsid w:val="00E60A05"/>
    <w:rsid w:val="00E64026"/>
    <w:rsid w:val="00E80904"/>
    <w:rsid w:val="00E814DC"/>
    <w:rsid w:val="00EB0679"/>
    <w:rsid w:val="00ED3C68"/>
    <w:rsid w:val="00ED5833"/>
    <w:rsid w:val="00EE5D91"/>
    <w:rsid w:val="00F0317A"/>
    <w:rsid w:val="00F03909"/>
    <w:rsid w:val="00F20C07"/>
    <w:rsid w:val="00F232D1"/>
    <w:rsid w:val="00F45DBB"/>
    <w:rsid w:val="00F556D2"/>
    <w:rsid w:val="00F74D78"/>
    <w:rsid w:val="00F81A0F"/>
    <w:rsid w:val="00FE15C1"/>
    <w:rsid w:val="00FE7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7D11"/>
  <w15:chartTrackingRefBased/>
  <w15:docId w15:val="{3C08AE72-C26C-9349-A600-9B5F3634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4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4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42AD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42AD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42AD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42AD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42AD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42AD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42AD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2AD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42AD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42AD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42AD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42AD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42AD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42AD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42AD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42AD3"/>
    <w:rPr>
      <w:rFonts w:eastAsiaTheme="majorEastAsia" w:cstheme="majorBidi"/>
      <w:color w:val="272727" w:themeColor="text1" w:themeTint="D8"/>
    </w:rPr>
  </w:style>
  <w:style w:type="paragraph" w:styleId="Nzev">
    <w:name w:val="Title"/>
    <w:basedOn w:val="Normln"/>
    <w:next w:val="Normln"/>
    <w:link w:val="NzevChar"/>
    <w:uiPriority w:val="10"/>
    <w:qFormat/>
    <w:rsid w:val="00942AD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2A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42AD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42AD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42AD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942AD3"/>
    <w:rPr>
      <w:i/>
      <w:iCs/>
      <w:color w:val="404040" w:themeColor="text1" w:themeTint="BF"/>
    </w:rPr>
  </w:style>
  <w:style w:type="paragraph" w:styleId="Odstavecseseznamem">
    <w:name w:val="List Paragraph"/>
    <w:basedOn w:val="Normln"/>
    <w:uiPriority w:val="34"/>
    <w:qFormat/>
    <w:rsid w:val="00942AD3"/>
    <w:pPr>
      <w:ind w:left="720"/>
      <w:contextualSpacing/>
    </w:pPr>
  </w:style>
  <w:style w:type="character" w:styleId="Zdraznnintenzivn">
    <w:name w:val="Intense Emphasis"/>
    <w:basedOn w:val="Standardnpsmoodstavce"/>
    <w:uiPriority w:val="21"/>
    <w:qFormat/>
    <w:rsid w:val="00942AD3"/>
    <w:rPr>
      <w:i/>
      <w:iCs/>
      <w:color w:val="0F4761" w:themeColor="accent1" w:themeShade="BF"/>
    </w:rPr>
  </w:style>
  <w:style w:type="paragraph" w:styleId="Vrazncitt">
    <w:name w:val="Intense Quote"/>
    <w:basedOn w:val="Normln"/>
    <w:next w:val="Normln"/>
    <w:link w:val="VrazncittChar"/>
    <w:uiPriority w:val="30"/>
    <w:qFormat/>
    <w:rsid w:val="0094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42AD3"/>
    <w:rPr>
      <w:i/>
      <w:iCs/>
      <w:color w:val="0F4761" w:themeColor="accent1" w:themeShade="BF"/>
    </w:rPr>
  </w:style>
  <w:style w:type="character" w:styleId="Odkazintenzivn">
    <w:name w:val="Intense Reference"/>
    <w:basedOn w:val="Standardnpsmoodstavce"/>
    <w:uiPriority w:val="32"/>
    <w:qFormat/>
    <w:rsid w:val="00942AD3"/>
    <w:rPr>
      <w:b/>
      <w:bCs/>
      <w:smallCaps/>
      <w:color w:val="0F4761" w:themeColor="accent1" w:themeShade="BF"/>
      <w:spacing w:val="5"/>
    </w:rPr>
  </w:style>
  <w:style w:type="paragraph" w:styleId="Normlnweb">
    <w:name w:val="Normal (Web)"/>
    <w:basedOn w:val="Normln"/>
    <w:uiPriority w:val="99"/>
    <w:semiHidden/>
    <w:unhideWhenUsed/>
    <w:rsid w:val="00ED5833"/>
    <w:pPr>
      <w:spacing w:before="100" w:beforeAutospacing="1" w:after="100" w:afterAutospacing="1"/>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semiHidden/>
    <w:unhideWhenUsed/>
    <w:rsid w:val="00ED5833"/>
    <w:rPr>
      <w:color w:val="0000FF"/>
      <w:u w:val="single"/>
    </w:rPr>
  </w:style>
  <w:style w:type="character" w:styleId="Siln">
    <w:name w:val="Strong"/>
    <w:basedOn w:val="Standardnpsmoodstavce"/>
    <w:uiPriority w:val="22"/>
    <w:qFormat/>
    <w:rsid w:val="009166B5"/>
    <w:rPr>
      <w:b/>
      <w:bCs/>
    </w:rPr>
  </w:style>
  <w:style w:type="paragraph" w:customStyle="1" w:styleId="l5">
    <w:name w:val="l5"/>
    <w:basedOn w:val="Normln"/>
    <w:rsid w:val="00E120F5"/>
    <w:pPr>
      <w:spacing w:before="100" w:beforeAutospacing="1" w:after="100" w:afterAutospacing="1"/>
    </w:pPr>
    <w:rPr>
      <w:rFonts w:ascii="Times New Roman" w:eastAsia="Times New Roman" w:hAnsi="Times New Roman" w:cs="Times New Roman"/>
      <w:kern w:val="0"/>
      <w:lang w:eastAsia="cs-CZ"/>
      <w14:ligatures w14:val="none"/>
    </w:rPr>
  </w:style>
  <w:style w:type="paragraph" w:customStyle="1" w:styleId="l6">
    <w:name w:val="l6"/>
    <w:basedOn w:val="Normln"/>
    <w:rsid w:val="00E120F5"/>
    <w:pPr>
      <w:spacing w:before="100" w:beforeAutospacing="1" w:after="100" w:afterAutospacing="1"/>
    </w:pPr>
    <w:rPr>
      <w:rFonts w:ascii="Times New Roman" w:eastAsia="Times New Roman" w:hAnsi="Times New Roman" w:cs="Times New Roman"/>
      <w:kern w:val="0"/>
      <w:lang w:eastAsia="cs-CZ"/>
      <w14:ligatures w14:val="none"/>
    </w:rPr>
  </w:style>
  <w:style w:type="character" w:styleId="PromnnHTML">
    <w:name w:val="HTML Variable"/>
    <w:basedOn w:val="Standardnpsmoodstavce"/>
    <w:uiPriority w:val="99"/>
    <w:semiHidden/>
    <w:unhideWhenUsed/>
    <w:rsid w:val="00E120F5"/>
    <w:rPr>
      <w:i/>
      <w:iCs/>
    </w:rPr>
  </w:style>
  <w:style w:type="table" w:styleId="Mkatabulky">
    <w:name w:val="Table Grid"/>
    <w:basedOn w:val="Normlntabulka"/>
    <w:uiPriority w:val="39"/>
    <w:rsid w:val="000C7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D59F5"/>
    <w:rPr>
      <w:sz w:val="16"/>
      <w:szCs w:val="16"/>
    </w:rPr>
  </w:style>
  <w:style w:type="paragraph" w:styleId="Textkomente">
    <w:name w:val="annotation text"/>
    <w:basedOn w:val="Normln"/>
    <w:link w:val="TextkomenteChar"/>
    <w:uiPriority w:val="99"/>
    <w:unhideWhenUsed/>
    <w:rsid w:val="005D59F5"/>
    <w:rPr>
      <w:sz w:val="20"/>
      <w:szCs w:val="20"/>
    </w:rPr>
  </w:style>
  <w:style w:type="character" w:customStyle="1" w:styleId="TextkomenteChar">
    <w:name w:val="Text komentáře Char"/>
    <w:basedOn w:val="Standardnpsmoodstavce"/>
    <w:link w:val="Textkomente"/>
    <w:uiPriority w:val="99"/>
    <w:rsid w:val="005D59F5"/>
    <w:rPr>
      <w:sz w:val="20"/>
      <w:szCs w:val="20"/>
    </w:rPr>
  </w:style>
  <w:style w:type="paragraph" w:styleId="Pedmtkomente">
    <w:name w:val="annotation subject"/>
    <w:basedOn w:val="Textkomente"/>
    <w:next w:val="Textkomente"/>
    <w:link w:val="PedmtkomenteChar"/>
    <w:uiPriority w:val="99"/>
    <w:semiHidden/>
    <w:unhideWhenUsed/>
    <w:rsid w:val="005D59F5"/>
    <w:rPr>
      <w:b/>
      <w:bCs/>
    </w:rPr>
  </w:style>
  <w:style w:type="character" w:customStyle="1" w:styleId="PedmtkomenteChar">
    <w:name w:val="Předmět komentáře Char"/>
    <w:basedOn w:val="TextkomenteChar"/>
    <w:link w:val="Pedmtkomente"/>
    <w:uiPriority w:val="99"/>
    <w:semiHidden/>
    <w:rsid w:val="005D59F5"/>
    <w:rPr>
      <w:b/>
      <w:bCs/>
      <w:sz w:val="20"/>
      <w:szCs w:val="20"/>
    </w:rPr>
  </w:style>
  <w:style w:type="paragraph" w:styleId="Revize">
    <w:name w:val="Revision"/>
    <w:hidden/>
    <w:uiPriority w:val="99"/>
    <w:semiHidden/>
    <w:rsid w:val="00987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832">
      <w:bodyDiv w:val="1"/>
      <w:marLeft w:val="0"/>
      <w:marRight w:val="0"/>
      <w:marTop w:val="0"/>
      <w:marBottom w:val="0"/>
      <w:divBdr>
        <w:top w:val="none" w:sz="0" w:space="0" w:color="auto"/>
        <w:left w:val="none" w:sz="0" w:space="0" w:color="auto"/>
        <w:bottom w:val="none" w:sz="0" w:space="0" w:color="auto"/>
        <w:right w:val="none" w:sz="0" w:space="0" w:color="auto"/>
      </w:divBdr>
    </w:div>
    <w:div w:id="730467696">
      <w:bodyDiv w:val="1"/>
      <w:marLeft w:val="0"/>
      <w:marRight w:val="0"/>
      <w:marTop w:val="0"/>
      <w:marBottom w:val="0"/>
      <w:divBdr>
        <w:top w:val="none" w:sz="0" w:space="0" w:color="auto"/>
        <w:left w:val="none" w:sz="0" w:space="0" w:color="auto"/>
        <w:bottom w:val="none" w:sz="0" w:space="0" w:color="auto"/>
        <w:right w:val="none" w:sz="0" w:space="0" w:color="auto"/>
      </w:divBdr>
    </w:div>
    <w:div w:id="146777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6729-ED2E-4A46-92A6-F58456C5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20</Pages>
  <Words>7177</Words>
  <Characters>42348</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Pavelková Eva</dc:creator>
  <cp:keywords/>
  <dc:description/>
  <cp:lastModifiedBy>Ihring David</cp:lastModifiedBy>
  <cp:revision>151</cp:revision>
  <dcterms:created xsi:type="dcterms:W3CDTF">2024-04-15T08:16:00Z</dcterms:created>
  <dcterms:modified xsi:type="dcterms:W3CDTF">2024-05-22T13:34:00Z</dcterms:modified>
</cp:coreProperties>
</file>