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72"/>
        <w:gridCol w:w="2121"/>
        <w:gridCol w:w="1298"/>
        <w:gridCol w:w="2139"/>
        <w:gridCol w:w="1156"/>
        <w:gridCol w:w="1095"/>
        <w:gridCol w:w="2450"/>
        <w:gridCol w:w="3095"/>
      </w:tblGrid>
      <w:tr w:rsidR="00A14513" w14:paraId="6D8CA67C" w14:textId="77777777" w:rsidTr="0003124B">
        <w:trPr>
          <w:trHeight w:val="68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3E340ABC" w14:textId="77777777" w:rsidR="00A14513" w:rsidRPr="00E0614F" w:rsidRDefault="00A14513" w:rsidP="00E0614F">
            <w:pPr>
              <w:jc w:val="center"/>
              <w:rPr>
                <w:b/>
                <w:sz w:val="32"/>
              </w:rPr>
            </w:pPr>
            <w:r w:rsidRPr="00E0614F">
              <w:rPr>
                <w:b/>
                <w:sz w:val="32"/>
              </w:rPr>
              <w:t>Postup při kontrole na přítomnost alkoholu</w:t>
            </w:r>
            <w:r w:rsidR="006F2D19">
              <w:rPr>
                <w:b/>
                <w:sz w:val="32"/>
              </w:rPr>
              <w:t xml:space="preserve"> a jiných návykových látek</w:t>
            </w:r>
          </w:p>
        </w:tc>
      </w:tr>
      <w:tr w:rsidR="00A14513" w14:paraId="73DD2627" w14:textId="77777777" w:rsidTr="0003124B">
        <w:trPr>
          <w:trHeight w:val="680"/>
        </w:trPr>
        <w:tc>
          <w:tcPr>
            <w:tcW w:w="2423" w:type="pct"/>
            <w:gridSpan w:val="4"/>
            <w:tcBorders>
              <w:right w:val="single" w:sz="4" w:space="0" w:color="auto"/>
            </w:tcBorders>
            <w:vAlign w:val="center"/>
          </w:tcPr>
          <w:p w14:paraId="47DBDB3B" w14:textId="77777777" w:rsidR="00A14513" w:rsidRPr="00E0614F" w:rsidRDefault="00A14513" w:rsidP="00E0614F">
            <w:pPr>
              <w:jc w:val="center"/>
              <w:rPr>
                <w:sz w:val="24"/>
              </w:rPr>
            </w:pPr>
            <w:r w:rsidRPr="00E0614F">
              <w:rPr>
                <w:sz w:val="24"/>
              </w:rPr>
              <w:t>Zaměstnavatel má právo podrobit zaměstnance kontrole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64DC2" w14:textId="77777777" w:rsidR="00A14513" w:rsidRPr="00E0614F" w:rsidRDefault="00E0614F" w:rsidP="00E0614F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3A6502" wp14:editId="5E7E7BE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106680</wp:posOffset>
                      </wp:positionV>
                      <wp:extent cx="552450" cy="200025"/>
                      <wp:effectExtent l="0" t="19050" r="38100" b="47625"/>
                      <wp:wrapNone/>
                      <wp:docPr id="3" name="Šipka dopra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000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66E7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 doprava 3" o:spid="_x0000_s1026" type="#_x0000_t13" style="position:absolute;margin-left:3.5pt;margin-top:8.4pt;width:43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" adj="17690" fillcolor="#d8d8d8 [2732]" strokecolor="black [3213]" strokeweight="1pt"/>
                  </w:pict>
                </mc:Fallback>
              </mc:AlternateContent>
            </w:r>
          </w:p>
        </w:tc>
        <w:tc>
          <w:tcPr>
            <w:tcW w:w="2195" w:type="pct"/>
            <w:gridSpan w:val="3"/>
            <w:tcBorders>
              <w:left w:val="single" w:sz="4" w:space="0" w:color="auto"/>
            </w:tcBorders>
            <w:vAlign w:val="center"/>
          </w:tcPr>
          <w:p w14:paraId="4D91F7D3" w14:textId="77777777" w:rsidR="00A14513" w:rsidRPr="00E0614F" w:rsidRDefault="00A14513" w:rsidP="00E0614F">
            <w:pPr>
              <w:jc w:val="center"/>
              <w:rPr>
                <w:sz w:val="24"/>
              </w:rPr>
            </w:pPr>
            <w:r w:rsidRPr="00E0614F">
              <w:rPr>
                <w:sz w:val="24"/>
              </w:rPr>
              <w:t>Zaměstnanec má povinnost se kontrole podrobit</w:t>
            </w:r>
          </w:p>
        </w:tc>
      </w:tr>
      <w:tr w:rsidR="00A14513" w14:paraId="7783E8F7" w14:textId="77777777" w:rsidTr="0003124B">
        <w:trPr>
          <w:trHeight w:val="680"/>
        </w:trPr>
        <w:tc>
          <w:tcPr>
            <w:tcW w:w="5000" w:type="pct"/>
            <w:gridSpan w:val="8"/>
            <w:vAlign w:val="center"/>
          </w:tcPr>
          <w:p w14:paraId="060D9178" w14:textId="77777777" w:rsidR="00A14513" w:rsidRPr="00E0614F" w:rsidRDefault="00A14513" w:rsidP="00E0614F">
            <w:pPr>
              <w:jc w:val="center"/>
              <w:rPr>
                <w:sz w:val="20"/>
                <w:u w:val="single"/>
              </w:rPr>
            </w:pPr>
            <w:r w:rsidRPr="00E0614F">
              <w:rPr>
                <w:sz w:val="20"/>
                <w:u w:val="single"/>
              </w:rPr>
              <w:t>Výzva k orientačnímu vyšetření</w:t>
            </w:r>
          </w:p>
          <w:p w14:paraId="51926044" w14:textId="526A2924" w:rsidR="00A14513" w:rsidRPr="00E0614F" w:rsidRDefault="00A14513" w:rsidP="00E0614F">
            <w:pPr>
              <w:jc w:val="center"/>
              <w:rPr>
                <w:sz w:val="20"/>
              </w:rPr>
            </w:pPr>
            <w:r w:rsidRPr="00E0614F">
              <w:rPr>
                <w:sz w:val="20"/>
              </w:rPr>
              <w:t>Provede osoba (vedoucí zaměstnanec), která je držitelem platného pověření vedením společnosti k provádění orientačního vyšetření na přítomnost alkoholu</w:t>
            </w:r>
            <w:r w:rsidR="0003124B">
              <w:rPr>
                <w:sz w:val="20"/>
              </w:rPr>
              <w:t xml:space="preserve"> a jiných návykových látek</w:t>
            </w:r>
          </w:p>
        </w:tc>
      </w:tr>
      <w:tr w:rsidR="00A14513" w14:paraId="4A4EB3ED" w14:textId="77777777" w:rsidTr="0003124B">
        <w:trPr>
          <w:trHeight w:val="680"/>
        </w:trPr>
        <w:tc>
          <w:tcPr>
            <w:tcW w:w="5000" w:type="pct"/>
            <w:gridSpan w:val="8"/>
            <w:vAlign w:val="center"/>
          </w:tcPr>
          <w:p w14:paraId="1A8D4AE3" w14:textId="77777777" w:rsidR="00A14513" w:rsidRPr="00E0614F" w:rsidRDefault="00A14513" w:rsidP="00E0614F">
            <w:pPr>
              <w:jc w:val="center"/>
              <w:rPr>
                <w:sz w:val="20"/>
                <w:u w:val="single"/>
              </w:rPr>
            </w:pPr>
            <w:r w:rsidRPr="00E0614F">
              <w:rPr>
                <w:sz w:val="20"/>
                <w:u w:val="single"/>
              </w:rPr>
              <w:t>Orientační vyšetření</w:t>
            </w:r>
          </w:p>
          <w:p w14:paraId="397EA362" w14:textId="77777777" w:rsidR="00A14513" w:rsidRPr="00E0614F" w:rsidRDefault="00A14513" w:rsidP="00E0614F">
            <w:pPr>
              <w:jc w:val="center"/>
              <w:rPr>
                <w:sz w:val="20"/>
              </w:rPr>
            </w:pPr>
            <w:r w:rsidRPr="00E0614F">
              <w:rPr>
                <w:sz w:val="20"/>
              </w:rPr>
              <w:t>Existuje podezření, že zaměstnanec pracuje pod vlivem alkoholu</w:t>
            </w:r>
          </w:p>
        </w:tc>
      </w:tr>
      <w:tr w:rsidR="00BD259E" w14:paraId="1A0F0785" w14:textId="77777777" w:rsidTr="0003124B">
        <w:trPr>
          <w:trHeight w:val="680"/>
        </w:trPr>
        <w:tc>
          <w:tcPr>
            <w:tcW w:w="586" w:type="pct"/>
            <w:vMerge w:val="restart"/>
          </w:tcPr>
          <w:p w14:paraId="48597652" w14:textId="77777777" w:rsidR="00BD259E" w:rsidRPr="00C07F3A" w:rsidRDefault="00BD259E" w:rsidP="00DD0DE9">
            <w:pPr>
              <w:jc w:val="both"/>
              <w:rPr>
                <w:b/>
              </w:rPr>
            </w:pPr>
            <w:r w:rsidRPr="00C07F3A">
              <w:rPr>
                <w:b/>
                <w:sz w:val="20"/>
              </w:rPr>
              <w:t>Orientační dechová zkouška</w:t>
            </w:r>
          </w:p>
        </w:tc>
        <w:tc>
          <w:tcPr>
            <w:tcW w:w="1837" w:type="pct"/>
            <w:gridSpan w:val="3"/>
          </w:tcPr>
          <w:p w14:paraId="2B1CFEDB" w14:textId="200CAB33" w:rsidR="00212EBD" w:rsidRPr="00212EBD" w:rsidRDefault="009150BA" w:rsidP="002F143F">
            <w:pPr>
              <w:pStyle w:val="Odstavecseseznamem"/>
              <w:numPr>
                <w:ilvl w:val="0"/>
                <w:numId w:val="6"/>
              </w:numPr>
              <w:ind w:left="318" w:hanging="284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2F143F">
              <w:rPr>
                <w:sz w:val="20"/>
              </w:rPr>
              <w:t>etektory</w:t>
            </w:r>
            <w:r w:rsidR="00BD259E" w:rsidRPr="006771E2">
              <w:rPr>
                <w:sz w:val="20"/>
              </w:rPr>
              <w:t xml:space="preserve"> musí být kalibrovan</w:t>
            </w:r>
            <w:r w:rsidR="002F143F">
              <w:rPr>
                <w:sz w:val="20"/>
              </w:rPr>
              <w:t xml:space="preserve">é, </w:t>
            </w:r>
            <w:proofErr w:type="gramStart"/>
            <w:r w:rsidR="00212EBD">
              <w:rPr>
                <w:sz w:val="20"/>
              </w:rPr>
              <w:t>slouží</w:t>
            </w:r>
            <w:proofErr w:type="gramEnd"/>
            <w:r w:rsidR="00212EBD">
              <w:rPr>
                <w:sz w:val="20"/>
              </w:rPr>
              <w:t xml:space="preserve"> jako orientační měřidla</w:t>
            </w:r>
          </w:p>
        </w:tc>
        <w:tc>
          <w:tcPr>
            <w:tcW w:w="382" w:type="pct"/>
            <w:vMerge w:val="restart"/>
          </w:tcPr>
          <w:p w14:paraId="1269F3F3" w14:textId="77777777" w:rsidR="00BD259E" w:rsidRDefault="00BD259E" w:rsidP="00DD0DE9">
            <w:pPr>
              <w:jc w:val="both"/>
            </w:pPr>
          </w:p>
        </w:tc>
        <w:tc>
          <w:tcPr>
            <w:tcW w:w="362" w:type="pct"/>
            <w:vMerge w:val="restart"/>
            <w:shd w:val="clear" w:color="auto" w:fill="FFC000"/>
          </w:tcPr>
          <w:p w14:paraId="05C06355" w14:textId="77777777" w:rsidR="00BD259E" w:rsidRPr="00C07F3A" w:rsidRDefault="00BD259E" w:rsidP="00DD0DE9">
            <w:pPr>
              <w:jc w:val="both"/>
              <w:rPr>
                <w:b/>
                <w:sz w:val="20"/>
              </w:rPr>
            </w:pPr>
            <w:r w:rsidRPr="00C07F3A">
              <w:rPr>
                <w:b/>
                <w:sz w:val="20"/>
              </w:rPr>
              <w:t>Odborné lékařské vyšetření</w:t>
            </w:r>
          </w:p>
          <w:p w14:paraId="40AF743E" w14:textId="77777777" w:rsidR="00BD259E" w:rsidRPr="00C07F3A" w:rsidRDefault="00BD259E" w:rsidP="00DD0DE9">
            <w:pPr>
              <w:jc w:val="both"/>
              <w:rPr>
                <w:b/>
              </w:rPr>
            </w:pPr>
            <w:r w:rsidRPr="00C07F3A">
              <w:rPr>
                <w:b/>
                <w:sz w:val="20"/>
              </w:rPr>
              <w:t>(OLV)</w:t>
            </w:r>
          </w:p>
        </w:tc>
        <w:tc>
          <w:tcPr>
            <w:tcW w:w="1833" w:type="pct"/>
            <w:gridSpan w:val="2"/>
            <w:shd w:val="clear" w:color="auto" w:fill="auto"/>
          </w:tcPr>
          <w:p w14:paraId="260B497D" w14:textId="305A3EDF" w:rsidR="00BD259E" w:rsidRPr="000F5F1A" w:rsidRDefault="009150BA" w:rsidP="00E0614F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  <w:r>
              <w:rPr>
                <w:sz w:val="20"/>
              </w:rPr>
              <w:t>U</w:t>
            </w:r>
            <w:r w:rsidR="00BD259E" w:rsidRPr="003B7AB6">
              <w:rPr>
                <w:sz w:val="20"/>
              </w:rPr>
              <w:t xml:space="preserve"> poskytovatele pracovnělékařské služby</w:t>
            </w:r>
            <w:r w:rsidR="00145539">
              <w:rPr>
                <w:sz w:val="20"/>
              </w:rPr>
              <w:t xml:space="preserve"> </w:t>
            </w:r>
          </w:p>
        </w:tc>
      </w:tr>
      <w:tr w:rsidR="00BD259E" w14:paraId="6D9CF1E1" w14:textId="77777777" w:rsidTr="0003124B">
        <w:trPr>
          <w:trHeight w:val="680"/>
        </w:trPr>
        <w:tc>
          <w:tcPr>
            <w:tcW w:w="586" w:type="pct"/>
            <w:vMerge/>
          </w:tcPr>
          <w:p w14:paraId="4DA03B41" w14:textId="77777777" w:rsidR="00BD259E" w:rsidRDefault="00BD259E" w:rsidP="00DD0DE9">
            <w:pPr>
              <w:jc w:val="both"/>
            </w:pPr>
          </w:p>
        </w:tc>
        <w:tc>
          <w:tcPr>
            <w:tcW w:w="1837" w:type="pct"/>
            <w:gridSpan w:val="3"/>
          </w:tcPr>
          <w:p w14:paraId="170E0076" w14:textId="77B6C91C" w:rsidR="00BD259E" w:rsidRPr="00204D57" w:rsidRDefault="009150BA" w:rsidP="00204D57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  <w:r>
              <w:rPr>
                <w:sz w:val="20"/>
              </w:rPr>
              <w:t>N</w:t>
            </w:r>
            <w:r w:rsidR="00BD259E" w:rsidRPr="006771E2">
              <w:rPr>
                <w:sz w:val="20"/>
              </w:rPr>
              <w:t>a záznamu vypsat typ přístroje</w:t>
            </w:r>
            <w:r w:rsidR="00BD259E">
              <w:rPr>
                <w:sz w:val="20"/>
              </w:rPr>
              <w:t xml:space="preserve"> (záznam umístěn na intranetu v sekci </w:t>
            </w:r>
            <w:r>
              <w:rPr>
                <w:sz w:val="20"/>
              </w:rPr>
              <w:t>Dokumenty společnosti/</w:t>
            </w:r>
            <w:r w:rsidR="00BD259E">
              <w:rPr>
                <w:sz w:val="20"/>
              </w:rPr>
              <w:t>Bezpečnost)</w:t>
            </w:r>
          </w:p>
        </w:tc>
        <w:tc>
          <w:tcPr>
            <w:tcW w:w="382" w:type="pct"/>
            <w:vMerge/>
          </w:tcPr>
          <w:p w14:paraId="0F346C29" w14:textId="77777777" w:rsidR="00BD259E" w:rsidRDefault="00BD259E" w:rsidP="00DD0DE9">
            <w:pPr>
              <w:jc w:val="both"/>
            </w:pPr>
          </w:p>
        </w:tc>
        <w:tc>
          <w:tcPr>
            <w:tcW w:w="362" w:type="pct"/>
            <w:vMerge/>
            <w:shd w:val="clear" w:color="auto" w:fill="FFC000"/>
          </w:tcPr>
          <w:p w14:paraId="69262AB2" w14:textId="77777777" w:rsidR="00BD259E" w:rsidRDefault="00BD259E" w:rsidP="00DD0DE9">
            <w:pPr>
              <w:jc w:val="both"/>
            </w:pPr>
          </w:p>
        </w:tc>
        <w:tc>
          <w:tcPr>
            <w:tcW w:w="1833" w:type="pct"/>
            <w:gridSpan w:val="2"/>
            <w:shd w:val="clear" w:color="auto" w:fill="auto"/>
          </w:tcPr>
          <w:p w14:paraId="7840EBA4" w14:textId="77777777" w:rsidR="00BD259E" w:rsidRPr="000F5F1A" w:rsidRDefault="00BD259E" w:rsidP="00E0614F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  <w:r w:rsidRPr="003B7AB6">
              <w:rPr>
                <w:sz w:val="20"/>
              </w:rPr>
              <w:t>Poskytovatel zdravotních služeb musí splňovat podmínky pro provedení toxikologického vyšetření</w:t>
            </w:r>
          </w:p>
        </w:tc>
      </w:tr>
      <w:tr w:rsidR="00BD259E" w14:paraId="715F5632" w14:textId="77777777" w:rsidTr="0003124B">
        <w:trPr>
          <w:trHeight w:val="680"/>
        </w:trPr>
        <w:tc>
          <w:tcPr>
            <w:tcW w:w="586" w:type="pct"/>
            <w:vMerge/>
          </w:tcPr>
          <w:p w14:paraId="38F835F5" w14:textId="77777777" w:rsidR="00BD259E" w:rsidRDefault="00BD259E" w:rsidP="00DD0DE9">
            <w:pPr>
              <w:jc w:val="both"/>
            </w:pPr>
          </w:p>
        </w:tc>
        <w:tc>
          <w:tcPr>
            <w:tcW w:w="1837" w:type="pct"/>
            <w:gridSpan w:val="3"/>
          </w:tcPr>
          <w:p w14:paraId="253ABD2A" w14:textId="77777777" w:rsidR="00BD259E" w:rsidRPr="00204D57" w:rsidRDefault="00BD259E" w:rsidP="00204D57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  <w:r>
              <w:rPr>
                <w:sz w:val="20"/>
              </w:rPr>
              <w:t>U provádění zkoušky je nutná přítomnost další osoby jako svědka</w:t>
            </w:r>
          </w:p>
        </w:tc>
        <w:tc>
          <w:tcPr>
            <w:tcW w:w="382" w:type="pct"/>
            <w:vMerge/>
          </w:tcPr>
          <w:p w14:paraId="5977C0D5" w14:textId="77777777" w:rsidR="00BD259E" w:rsidRDefault="00BD259E" w:rsidP="00DD0DE9">
            <w:pPr>
              <w:jc w:val="both"/>
            </w:pPr>
          </w:p>
        </w:tc>
        <w:tc>
          <w:tcPr>
            <w:tcW w:w="362" w:type="pct"/>
            <w:vMerge/>
            <w:shd w:val="clear" w:color="auto" w:fill="FFC000"/>
          </w:tcPr>
          <w:p w14:paraId="622D9DA5" w14:textId="77777777" w:rsidR="00BD259E" w:rsidRDefault="00BD259E" w:rsidP="00DD0DE9">
            <w:pPr>
              <w:jc w:val="both"/>
            </w:pPr>
          </w:p>
        </w:tc>
        <w:tc>
          <w:tcPr>
            <w:tcW w:w="1833" w:type="pct"/>
            <w:gridSpan w:val="2"/>
            <w:shd w:val="clear" w:color="auto" w:fill="auto"/>
          </w:tcPr>
          <w:p w14:paraId="0B059CDC" w14:textId="77777777" w:rsidR="00BD259E" w:rsidRPr="000F5F1A" w:rsidRDefault="00BD259E" w:rsidP="006F2D19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  <w:r>
              <w:rPr>
                <w:sz w:val="20"/>
              </w:rPr>
              <w:t>Náklady na OLV hradí zaměstnavatel</w:t>
            </w:r>
          </w:p>
        </w:tc>
      </w:tr>
      <w:tr w:rsidR="00BD259E" w14:paraId="022D6130" w14:textId="77777777" w:rsidTr="0003124B">
        <w:trPr>
          <w:trHeight w:val="680"/>
        </w:trPr>
        <w:tc>
          <w:tcPr>
            <w:tcW w:w="586" w:type="pct"/>
            <w:vMerge/>
          </w:tcPr>
          <w:p w14:paraId="717AB7CB" w14:textId="77777777" w:rsidR="00BD259E" w:rsidRDefault="00BD259E" w:rsidP="00DD0DE9">
            <w:pPr>
              <w:jc w:val="both"/>
            </w:pPr>
          </w:p>
        </w:tc>
        <w:tc>
          <w:tcPr>
            <w:tcW w:w="701" w:type="pct"/>
            <w:shd w:val="clear" w:color="auto" w:fill="BFBFBF" w:themeFill="background1" w:themeFillShade="BF"/>
            <w:vAlign w:val="center"/>
          </w:tcPr>
          <w:p w14:paraId="0BE9DBDD" w14:textId="77777777" w:rsidR="00BD259E" w:rsidRDefault="00BD259E" w:rsidP="00C07F3A">
            <w:r w:rsidRPr="00B32506">
              <w:rPr>
                <w:sz w:val="20"/>
              </w:rPr>
              <w:t>Výsledek měření</w:t>
            </w:r>
          </w:p>
        </w:tc>
        <w:tc>
          <w:tcPr>
            <w:tcW w:w="1136" w:type="pct"/>
            <w:gridSpan w:val="2"/>
            <w:shd w:val="clear" w:color="auto" w:fill="BFBFBF" w:themeFill="background1" w:themeFillShade="BF"/>
            <w:vAlign w:val="center"/>
          </w:tcPr>
          <w:p w14:paraId="25A45D2B" w14:textId="77777777" w:rsidR="00BD259E" w:rsidRDefault="00BD259E" w:rsidP="00C07F3A">
            <w:r w:rsidRPr="00B32506">
              <w:rPr>
                <w:sz w:val="20"/>
              </w:rPr>
              <w:t>Hodnocení</w:t>
            </w:r>
          </w:p>
        </w:tc>
        <w:tc>
          <w:tcPr>
            <w:tcW w:w="382" w:type="pct"/>
            <w:vMerge/>
          </w:tcPr>
          <w:p w14:paraId="2D96F0B9" w14:textId="77777777" w:rsidR="00BD259E" w:rsidRDefault="00BD259E" w:rsidP="00DD0DE9">
            <w:pPr>
              <w:jc w:val="both"/>
            </w:pPr>
          </w:p>
        </w:tc>
        <w:tc>
          <w:tcPr>
            <w:tcW w:w="362" w:type="pct"/>
            <w:vMerge/>
            <w:shd w:val="clear" w:color="auto" w:fill="FFC000"/>
          </w:tcPr>
          <w:p w14:paraId="129DA23B" w14:textId="77777777" w:rsidR="00BD259E" w:rsidRDefault="00BD259E" w:rsidP="00DD0DE9">
            <w:pPr>
              <w:jc w:val="both"/>
            </w:pPr>
          </w:p>
        </w:tc>
        <w:tc>
          <w:tcPr>
            <w:tcW w:w="1833" w:type="pct"/>
            <w:gridSpan w:val="2"/>
            <w:shd w:val="clear" w:color="auto" w:fill="auto"/>
          </w:tcPr>
          <w:p w14:paraId="44656DAD" w14:textId="77777777" w:rsidR="00BD259E" w:rsidRPr="000F5F1A" w:rsidRDefault="00BD259E" w:rsidP="00E0614F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  <w:r w:rsidRPr="003B7AB6">
              <w:rPr>
                <w:sz w:val="20"/>
              </w:rPr>
              <w:t>Dopravu do zdravotnického zařízení zajistí zaměstnavatel (ten, kdo ke zkoušce vyzval)</w:t>
            </w:r>
          </w:p>
        </w:tc>
      </w:tr>
      <w:tr w:rsidR="00BD259E" w14:paraId="639E2F88" w14:textId="77777777" w:rsidTr="0003124B">
        <w:trPr>
          <w:trHeight w:val="680"/>
        </w:trPr>
        <w:tc>
          <w:tcPr>
            <w:tcW w:w="586" w:type="pct"/>
            <w:vMerge/>
          </w:tcPr>
          <w:p w14:paraId="21F63206" w14:textId="77777777" w:rsidR="00BD259E" w:rsidRDefault="00BD259E" w:rsidP="00DD0DE9">
            <w:pPr>
              <w:jc w:val="both"/>
            </w:pPr>
          </w:p>
        </w:tc>
        <w:tc>
          <w:tcPr>
            <w:tcW w:w="701" w:type="pct"/>
            <w:vAlign w:val="center"/>
          </w:tcPr>
          <w:p w14:paraId="7CE9E3E0" w14:textId="77777777" w:rsidR="00BD259E" w:rsidRDefault="00BD259E" w:rsidP="00C07F3A">
            <w:r>
              <w:rPr>
                <w:sz w:val="20"/>
              </w:rPr>
              <w:t>0 – 0,04‰</w:t>
            </w:r>
          </w:p>
        </w:tc>
        <w:tc>
          <w:tcPr>
            <w:tcW w:w="1136" w:type="pct"/>
            <w:gridSpan w:val="2"/>
            <w:shd w:val="clear" w:color="auto" w:fill="92D050"/>
            <w:vAlign w:val="center"/>
          </w:tcPr>
          <w:p w14:paraId="33D7F519" w14:textId="77777777" w:rsidR="00BD259E" w:rsidRPr="00C07F3A" w:rsidRDefault="00BD259E" w:rsidP="00C07F3A">
            <w:pPr>
              <w:rPr>
                <w:b/>
                <w:sz w:val="20"/>
              </w:rPr>
            </w:pPr>
            <w:r w:rsidRPr="00C07F3A">
              <w:rPr>
                <w:b/>
                <w:sz w:val="20"/>
              </w:rPr>
              <w:t>negativní</w:t>
            </w:r>
          </w:p>
        </w:tc>
        <w:tc>
          <w:tcPr>
            <w:tcW w:w="382" w:type="pct"/>
            <w:vMerge/>
          </w:tcPr>
          <w:p w14:paraId="7EE28922" w14:textId="77777777" w:rsidR="00BD259E" w:rsidRDefault="00BD259E" w:rsidP="00DD0DE9">
            <w:pPr>
              <w:jc w:val="both"/>
            </w:pPr>
          </w:p>
        </w:tc>
        <w:tc>
          <w:tcPr>
            <w:tcW w:w="362" w:type="pct"/>
            <w:vMerge/>
            <w:shd w:val="clear" w:color="auto" w:fill="FFC000"/>
          </w:tcPr>
          <w:p w14:paraId="53B3E160" w14:textId="77777777" w:rsidR="00BD259E" w:rsidRDefault="00BD259E" w:rsidP="00DD0DE9">
            <w:pPr>
              <w:jc w:val="both"/>
            </w:pPr>
          </w:p>
        </w:tc>
        <w:tc>
          <w:tcPr>
            <w:tcW w:w="1833" w:type="pct"/>
            <w:gridSpan w:val="2"/>
            <w:shd w:val="clear" w:color="auto" w:fill="auto"/>
          </w:tcPr>
          <w:p w14:paraId="36D9FBD0" w14:textId="77777777" w:rsidR="00BD259E" w:rsidRPr="000F5F1A" w:rsidRDefault="00BD259E" w:rsidP="00E0614F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  <w:r w:rsidRPr="003B7AB6">
              <w:rPr>
                <w:sz w:val="20"/>
              </w:rPr>
              <w:t>Výsledky jsou předány tomu, kdo o zkoušku požádal</w:t>
            </w:r>
          </w:p>
        </w:tc>
      </w:tr>
      <w:tr w:rsidR="002F143F" w14:paraId="7EE7AB0D" w14:textId="77777777" w:rsidTr="0003124B">
        <w:trPr>
          <w:trHeight w:val="715"/>
        </w:trPr>
        <w:tc>
          <w:tcPr>
            <w:tcW w:w="586" w:type="pct"/>
            <w:vMerge/>
          </w:tcPr>
          <w:p w14:paraId="46924D7F" w14:textId="77777777" w:rsidR="002F143F" w:rsidRDefault="002F143F" w:rsidP="00DD0DE9">
            <w:pPr>
              <w:jc w:val="both"/>
            </w:pPr>
          </w:p>
        </w:tc>
        <w:tc>
          <w:tcPr>
            <w:tcW w:w="701" w:type="pct"/>
            <w:vAlign w:val="center"/>
          </w:tcPr>
          <w:p w14:paraId="75B3D9D9" w14:textId="77777777" w:rsidR="002F143F" w:rsidRDefault="002F143F" w:rsidP="00C07F3A">
            <w:r>
              <w:rPr>
                <w:sz w:val="20"/>
              </w:rPr>
              <w:t>0,04‰ – 0,24‰</w:t>
            </w:r>
          </w:p>
        </w:tc>
        <w:tc>
          <w:tcPr>
            <w:tcW w:w="1136" w:type="pct"/>
            <w:gridSpan w:val="2"/>
            <w:shd w:val="clear" w:color="auto" w:fill="8DB3E2" w:themeFill="text2" w:themeFillTint="66"/>
            <w:vAlign w:val="center"/>
          </w:tcPr>
          <w:p w14:paraId="0FB95C6F" w14:textId="77777777" w:rsidR="002F143F" w:rsidRPr="00C07F3A" w:rsidRDefault="002F143F" w:rsidP="00722AC6">
            <w:pPr>
              <w:rPr>
                <w:b/>
                <w:sz w:val="20"/>
              </w:rPr>
            </w:pPr>
            <w:r w:rsidRPr="00C07F3A">
              <w:rPr>
                <w:b/>
                <w:sz w:val="20"/>
              </w:rPr>
              <w:t>pozitivní, ale neprůkazná</w:t>
            </w:r>
          </w:p>
        </w:tc>
        <w:tc>
          <w:tcPr>
            <w:tcW w:w="382" w:type="pct"/>
            <w:vMerge/>
          </w:tcPr>
          <w:p w14:paraId="551BD8E0" w14:textId="77777777" w:rsidR="002F143F" w:rsidRDefault="002F143F" w:rsidP="00DD0DE9">
            <w:pPr>
              <w:jc w:val="both"/>
            </w:pPr>
          </w:p>
        </w:tc>
        <w:tc>
          <w:tcPr>
            <w:tcW w:w="362" w:type="pct"/>
            <w:vMerge/>
            <w:shd w:val="clear" w:color="auto" w:fill="FFC000"/>
          </w:tcPr>
          <w:p w14:paraId="285BFF50" w14:textId="77777777" w:rsidR="002F143F" w:rsidRDefault="002F143F" w:rsidP="00DD0DE9">
            <w:pPr>
              <w:jc w:val="both"/>
            </w:pPr>
          </w:p>
        </w:tc>
        <w:tc>
          <w:tcPr>
            <w:tcW w:w="1833" w:type="pct"/>
            <w:gridSpan w:val="2"/>
            <w:vMerge w:val="restart"/>
            <w:shd w:val="clear" w:color="auto" w:fill="auto"/>
          </w:tcPr>
          <w:p w14:paraId="6C5E7627" w14:textId="77777777" w:rsidR="002F143F" w:rsidRPr="000F5F1A" w:rsidRDefault="002F143F" w:rsidP="00E0614F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  <w:r w:rsidRPr="003B7AB6">
              <w:rPr>
                <w:sz w:val="20"/>
              </w:rPr>
              <w:t xml:space="preserve">Prokáže-li zkouška přítomnost alkoholu, může zaměstnavatel po zkoušené osobě požadovat náklady spojené s provedením </w:t>
            </w:r>
            <w:r>
              <w:rPr>
                <w:sz w:val="20"/>
              </w:rPr>
              <w:t>zkoušky</w:t>
            </w:r>
          </w:p>
        </w:tc>
      </w:tr>
      <w:tr w:rsidR="002F143F" w14:paraId="33795820" w14:textId="77777777" w:rsidTr="0003124B">
        <w:trPr>
          <w:trHeight w:val="357"/>
        </w:trPr>
        <w:tc>
          <w:tcPr>
            <w:tcW w:w="586" w:type="pct"/>
            <w:vMerge/>
          </w:tcPr>
          <w:p w14:paraId="189A1FB7" w14:textId="77777777" w:rsidR="002F143F" w:rsidRDefault="002F143F" w:rsidP="00DD0DE9">
            <w:pPr>
              <w:jc w:val="both"/>
            </w:pPr>
          </w:p>
        </w:tc>
        <w:tc>
          <w:tcPr>
            <w:tcW w:w="1130" w:type="pct"/>
            <w:gridSpan w:val="2"/>
            <w:vMerge w:val="restart"/>
            <w:shd w:val="clear" w:color="auto" w:fill="8DB3E2" w:themeFill="text2" w:themeFillTint="66"/>
          </w:tcPr>
          <w:p w14:paraId="6BBF6B0C" w14:textId="4B367AF6" w:rsidR="002F143F" w:rsidRPr="00204D57" w:rsidRDefault="002F143F" w:rsidP="00722AC6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  <w:r w:rsidRPr="006771E2">
              <w:rPr>
                <w:sz w:val="20"/>
              </w:rPr>
              <w:t>provést opakovanou zkoušku (min</w:t>
            </w:r>
            <w:r w:rsidR="005278D1">
              <w:rPr>
                <w:sz w:val="20"/>
              </w:rPr>
              <w:t>.</w:t>
            </w:r>
            <w:r w:rsidRPr="006771E2">
              <w:rPr>
                <w:sz w:val="20"/>
              </w:rPr>
              <w:t xml:space="preserve"> 2x, alespoň po 5 minutách)</w:t>
            </w:r>
          </w:p>
        </w:tc>
        <w:tc>
          <w:tcPr>
            <w:tcW w:w="706" w:type="pct"/>
            <w:shd w:val="clear" w:color="auto" w:fill="92D050"/>
            <w:vAlign w:val="center"/>
          </w:tcPr>
          <w:p w14:paraId="297A94B6" w14:textId="77777777" w:rsidR="002F143F" w:rsidRPr="00C07F3A" w:rsidRDefault="002F143F" w:rsidP="00722A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klesající *</w:t>
            </w:r>
          </w:p>
        </w:tc>
        <w:tc>
          <w:tcPr>
            <w:tcW w:w="382" w:type="pct"/>
            <w:vMerge/>
          </w:tcPr>
          <w:p w14:paraId="5EA7CC94" w14:textId="77777777" w:rsidR="002F143F" w:rsidRDefault="002F143F" w:rsidP="00DD0DE9">
            <w:pPr>
              <w:jc w:val="both"/>
            </w:pPr>
          </w:p>
        </w:tc>
        <w:tc>
          <w:tcPr>
            <w:tcW w:w="362" w:type="pct"/>
            <w:vMerge/>
            <w:shd w:val="clear" w:color="auto" w:fill="FFC000"/>
          </w:tcPr>
          <w:p w14:paraId="66602806" w14:textId="77777777" w:rsidR="002F143F" w:rsidRDefault="002F143F" w:rsidP="00DD0DE9">
            <w:pPr>
              <w:jc w:val="both"/>
            </w:pPr>
          </w:p>
        </w:tc>
        <w:tc>
          <w:tcPr>
            <w:tcW w:w="1833" w:type="pct"/>
            <w:gridSpan w:val="2"/>
            <w:vMerge/>
            <w:shd w:val="clear" w:color="auto" w:fill="auto"/>
          </w:tcPr>
          <w:p w14:paraId="11EC5B5A" w14:textId="77777777" w:rsidR="002F143F" w:rsidRPr="002F143F" w:rsidRDefault="002F143F" w:rsidP="002F143F">
            <w:pPr>
              <w:ind w:left="34"/>
              <w:rPr>
                <w:sz w:val="20"/>
              </w:rPr>
            </w:pPr>
          </w:p>
        </w:tc>
      </w:tr>
      <w:tr w:rsidR="002F143F" w14:paraId="42C4DF69" w14:textId="77777777" w:rsidTr="0003124B">
        <w:trPr>
          <w:trHeight w:val="357"/>
        </w:trPr>
        <w:tc>
          <w:tcPr>
            <w:tcW w:w="586" w:type="pct"/>
            <w:vMerge/>
          </w:tcPr>
          <w:p w14:paraId="51368197" w14:textId="77777777" w:rsidR="002F143F" w:rsidRDefault="002F143F" w:rsidP="00DD0DE9">
            <w:pPr>
              <w:jc w:val="both"/>
            </w:pPr>
          </w:p>
        </w:tc>
        <w:tc>
          <w:tcPr>
            <w:tcW w:w="1130" w:type="pct"/>
            <w:gridSpan w:val="2"/>
            <w:vMerge/>
            <w:shd w:val="clear" w:color="auto" w:fill="8DB3E2" w:themeFill="text2" w:themeFillTint="66"/>
          </w:tcPr>
          <w:p w14:paraId="33166003" w14:textId="77777777" w:rsidR="002F143F" w:rsidRPr="006771E2" w:rsidRDefault="002F143F" w:rsidP="00722AC6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</w:p>
        </w:tc>
        <w:tc>
          <w:tcPr>
            <w:tcW w:w="706" w:type="pct"/>
            <w:shd w:val="clear" w:color="auto" w:fill="FFC000"/>
            <w:vAlign w:val="center"/>
          </w:tcPr>
          <w:p w14:paraId="7C6E2AFA" w14:textId="77777777" w:rsidR="002F143F" w:rsidRPr="00C07F3A" w:rsidRDefault="002F143F" w:rsidP="00722A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stoupající (OLV)</w:t>
            </w:r>
          </w:p>
        </w:tc>
        <w:tc>
          <w:tcPr>
            <w:tcW w:w="382" w:type="pct"/>
            <w:vMerge/>
          </w:tcPr>
          <w:p w14:paraId="2973BB7F" w14:textId="77777777" w:rsidR="002F143F" w:rsidRDefault="002F143F" w:rsidP="00DD0DE9">
            <w:pPr>
              <w:jc w:val="both"/>
            </w:pPr>
          </w:p>
        </w:tc>
        <w:tc>
          <w:tcPr>
            <w:tcW w:w="362" w:type="pct"/>
            <w:vMerge/>
            <w:shd w:val="clear" w:color="auto" w:fill="FFC000"/>
          </w:tcPr>
          <w:p w14:paraId="57ECC895" w14:textId="77777777" w:rsidR="002F143F" w:rsidRDefault="002F143F" w:rsidP="00DD0DE9">
            <w:pPr>
              <w:jc w:val="both"/>
            </w:pPr>
          </w:p>
        </w:tc>
        <w:tc>
          <w:tcPr>
            <w:tcW w:w="1833" w:type="pct"/>
            <w:gridSpan w:val="2"/>
            <w:vMerge/>
            <w:shd w:val="clear" w:color="auto" w:fill="auto"/>
          </w:tcPr>
          <w:p w14:paraId="31D7E6FA" w14:textId="77777777" w:rsidR="002F143F" w:rsidRPr="003B7AB6" w:rsidRDefault="002F143F" w:rsidP="00E0614F">
            <w:pPr>
              <w:pStyle w:val="Odstavecseseznamem"/>
              <w:numPr>
                <w:ilvl w:val="0"/>
                <w:numId w:val="6"/>
              </w:numPr>
              <w:ind w:left="318" w:hanging="284"/>
              <w:rPr>
                <w:sz w:val="20"/>
              </w:rPr>
            </w:pPr>
          </w:p>
        </w:tc>
      </w:tr>
      <w:tr w:rsidR="00BD259E" w14:paraId="440C61F3" w14:textId="77777777" w:rsidTr="0003124B">
        <w:trPr>
          <w:trHeight w:val="680"/>
        </w:trPr>
        <w:tc>
          <w:tcPr>
            <w:tcW w:w="586" w:type="pct"/>
            <w:vMerge/>
          </w:tcPr>
          <w:p w14:paraId="15BB89C7" w14:textId="77777777" w:rsidR="00BD259E" w:rsidRDefault="00BD259E" w:rsidP="00DD0DE9">
            <w:pPr>
              <w:jc w:val="both"/>
            </w:pPr>
          </w:p>
        </w:tc>
        <w:tc>
          <w:tcPr>
            <w:tcW w:w="701" w:type="pct"/>
            <w:vAlign w:val="center"/>
          </w:tcPr>
          <w:p w14:paraId="56A14779" w14:textId="77777777" w:rsidR="00BD259E" w:rsidRDefault="00BD259E" w:rsidP="00C07F3A">
            <w:r>
              <w:rPr>
                <w:sz w:val="20"/>
              </w:rPr>
              <w:t>0,24‰ a více</w:t>
            </w:r>
          </w:p>
        </w:tc>
        <w:tc>
          <w:tcPr>
            <w:tcW w:w="1136" w:type="pct"/>
            <w:gridSpan w:val="2"/>
            <w:shd w:val="clear" w:color="auto" w:fill="FFC000"/>
            <w:vAlign w:val="center"/>
          </w:tcPr>
          <w:p w14:paraId="043FBEEF" w14:textId="77777777" w:rsidR="00BD259E" w:rsidRPr="00C07F3A" w:rsidRDefault="00BD259E" w:rsidP="00C07F3A">
            <w:pPr>
              <w:rPr>
                <w:b/>
                <w:sz w:val="20"/>
              </w:rPr>
            </w:pPr>
            <w:r w:rsidRPr="00C07F3A">
              <w:rPr>
                <w:b/>
                <w:sz w:val="20"/>
              </w:rPr>
              <w:t>pozitivní</w:t>
            </w:r>
          </w:p>
          <w:p w14:paraId="1C8C7F5D" w14:textId="77777777" w:rsidR="00BD259E" w:rsidRPr="00C07F3A" w:rsidRDefault="00BD259E" w:rsidP="00C07F3A">
            <w:pPr>
              <w:rPr>
                <w:b/>
                <w:sz w:val="20"/>
              </w:rPr>
            </w:pPr>
            <w:r w:rsidRPr="00C07F3A">
              <w:rPr>
                <w:b/>
                <w:sz w:val="20"/>
              </w:rPr>
              <w:t>(navazuje OLV)</w:t>
            </w:r>
          </w:p>
        </w:tc>
        <w:tc>
          <w:tcPr>
            <w:tcW w:w="382" w:type="pct"/>
            <w:vMerge/>
          </w:tcPr>
          <w:p w14:paraId="54FED086" w14:textId="77777777" w:rsidR="00BD259E" w:rsidRDefault="00BD259E" w:rsidP="00DD0DE9">
            <w:pPr>
              <w:jc w:val="both"/>
            </w:pPr>
          </w:p>
        </w:tc>
        <w:tc>
          <w:tcPr>
            <w:tcW w:w="362" w:type="pct"/>
            <w:vMerge/>
            <w:shd w:val="clear" w:color="auto" w:fill="FFC000"/>
          </w:tcPr>
          <w:p w14:paraId="4E92984B" w14:textId="77777777" w:rsidR="00BD259E" w:rsidRDefault="00BD259E" w:rsidP="00DD0DE9">
            <w:pPr>
              <w:jc w:val="both"/>
            </w:pPr>
          </w:p>
        </w:tc>
        <w:tc>
          <w:tcPr>
            <w:tcW w:w="810" w:type="pct"/>
            <w:shd w:val="clear" w:color="auto" w:fill="92D050"/>
            <w:vAlign w:val="center"/>
          </w:tcPr>
          <w:p w14:paraId="68E9597F" w14:textId="77777777" w:rsidR="00BD259E" w:rsidRPr="00C07F3A" w:rsidRDefault="00BD259E" w:rsidP="00C07F3A">
            <w:pPr>
              <w:rPr>
                <w:b/>
                <w:sz w:val="20"/>
              </w:rPr>
            </w:pPr>
            <w:r w:rsidRPr="00C07F3A">
              <w:rPr>
                <w:b/>
                <w:sz w:val="20"/>
              </w:rPr>
              <w:t>Negativní</w:t>
            </w:r>
          </w:p>
        </w:tc>
        <w:tc>
          <w:tcPr>
            <w:tcW w:w="1023" w:type="pct"/>
            <w:shd w:val="clear" w:color="auto" w:fill="FF0000"/>
            <w:vAlign w:val="center"/>
          </w:tcPr>
          <w:p w14:paraId="5B1B5EB0" w14:textId="77777777" w:rsidR="00BD259E" w:rsidRPr="00C07F3A" w:rsidRDefault="00BD259E" w:rsidP="00C07F3A">
            <w:pPr>
              <w:rPr>
                <w:b/>
                <w:sz w:val="20"/>
              </w:rPr>
            </w:pPr>
            <w:r w:rsidRPr="00C07F3A">
              <w:rPr>
                <w:b/>
                <w:sz w:val="20"/>
              </w:rPr>
              <w:t>Pozitivní</w:t>
            </w:r>
          </w:p>
        </w:tc>
      </w:tr>
      <w:tr w:rsidR="00BD259E" w14:paraId="03CBE860" w14:textId="77777777" w:rsidTr="0003124B">
        <w:trPr>
          <w:trHeight w:val="773"/>
        </w:trPr>
        <w:tc>
          <w:tcPr>
            <w:tcW w:w="586" w:type="pct"/>
            <w:vMerge/>
          </w:tcPr>
          <w:p w14:paraId="2A168337" w14:textId="77777777" w:rsidR="00BD259E" w:rsidRDefault="00BD259E" w:rsidP="00DD0DE9">
            <w:pPr>
              <w:jc w:val="both"/>
            </w:pPr>
          </w:p>
        </w:tc>
        <w:tc>
          <w:tcPr>
            <w:tcW w:w="1837" w:type="pct"/>
            <w:gridSpan w:val="3"/>
            <w:shd w:val="clear" w:color="auto" w:fill="FFC000"/>
            <w:vAlign w:val="center"/>
          </w:tcPr>
          <w:p w14:paraId="0F5F5ABF" w14:textId="6F64BAAC" w:rsidR="00BD259E" w:rsidRDefault="00BD259E" w:rsidP="002F143F">
            <w:pPr>
              <w:rPr>
                <w:b/>
                <w:sz w:val="20"/>
              </w:rPr>
            </w:pPr>
            <w:r w:rsidRPr="00C07F3A">
              <w:rPr>
                <w:b/>
                <w:sz w:val="20"/>
              </w:rPr>
              <w:t>Zaměstnanec odmítne orientační dechové vyšetření nebo nelze vyšetření provést</w:t>
            </w:r>
            <w:r w:rsidR="005278D1">
              <w:rPr>
                <w:b/>
                <w:sz w:val="20"/>
              </w:rPr>
              <w:t xml:space="preserve"> </w:t>
            </w:r>
            <w:r w:rsidRPr="00C07F3A">
              <w:rPr>
                <w:b/>
                <w:sz w:val="20"/>
              </w:rPr>
              <w:t>(navazuje OLV)</w:t>
            </w:r>
          </w:p>
          <w:p w14:paraId="79E8A85D" w14:textId="609759FB" w:rsidR="00693C28" w:rsidRPr="00C07F3A" w:rsidRDefault="00693C28" w:rsidP="002F143F">
            <w:pPr>
              <w:rPr>
                <w:b/>
              </w:rPr>
            </w:pPr>
            <w:r w:rsidRPr="004F29A2">
              <w:rPr>
                <w:b/>
                <w:sz w:val="20"/>
                <w:highlight w:val="red"/>
              </w:rPr>
              <w:t>Odmítne-li zaměstnanec podrobit se orientačnímu či odbornému vyšetření, je na něj dále pohlíženo, jako by byl pod vlivem alkoholu</w:t>
            </w:r>
            <w:r w:rsidR="000D7B5A">
              <w:rPr>
                <w:b/>
                <w:sz w:val="20"/>
                <w:highlight w:val="red"/>
              </w:rPr>
              <w:t xml:space="preserve"> nebo jiných návykových látek</w:t>
            </w:r>
            <w:r w:rsidR="005651C2" w:rsidRPr="005651C2">
              <w:rPr>
                <w:b/>
                <w:sz w:val="20"/>
                <w:highlight w:val="red"/>
              </w:rPr>
              <w:t xml:space="preserve"> *.</w:t>
            </w:r>
          </w:p>
        </w:tc>
        <w:tc>
          <w:tcPr>
            <w:tcW w:w="382" w:type="pct"/>
            <w:vMerge/>
          </w:tcPr>
          <w:p w14:paraId="6D8FF6DC" w14:textId="77777777" w:rsidR="00BD259E" w:rsidRDefault="00BD259E" w:rsidP="00DD0DE9">
            <w:pPr>
              <w:jc w:val="both"/>
            </w:pPr>
          </w:p>
        </w:tc>
        <w:tc>
          <w:tcPr>
            <w:tcW w:w="362" w:type="pct"/>
            <w:vMerge/>
            <w:shd w:val="clear" w:color="auto" w:fill="FFC000"/>
          </w:tcPr>
          <w:p w14:paraId="46FE5886" w14:textId="77777777" w:rsidR="00BD259E" w:rsidRDefault="00BD259E" w:rsidP="00DD0DE9">
            <w:pPr>
              <w:jc w:val="both"/>
            </w:pPr>
          </w:p>
        </w:tc>
        <w:tc>
          <w:tcPr>
            <w:tcW w:w="1833" w:type="pct"/>
            <w:gridSpan w:val="2"/>
            <w:shd w:val="clear" w:color="auto" w:fill="FF0000"/>
            <w:vAlign w:val="center"/>
          </w:tcPr>
          <w:p w14:paraId="2696D73C" w14:textId="2963D5EA" w:rsidR="00BD259E" w:rsidRPr="00C07F3A" w:rsidRDefault="00BD259E" w:rsidP="002F143F">
            <w:pPr>
              <w:rPr>
                <w:b/>
              </w:rPr>
            </w:pPr>
            <w:r w:rsidRPr="00C07F3A">
              <w:rPr>
                <w:b/>
                <w:sz w:val="20"/>
              </w:rPr>
              <w:t>Zaměstnanec odmítne odborné lékařské vyšetření – hledí se na něj jako na osobu pod vlivem</w:t>
            </w:r>
            <w:r w:rsidR="000D7B5A">
              <w:rPr>
                <w:b/>
                <w:sz w:val="20"/>
              </w:rPr>
              <w:t xml:space="preserve"> </w:t>
            </w:r>
            <w:r w:rsidR="000D7B5A" w:rsidRPr="000D7B5A">
              <w:rPr>
                <w:b/>
                <w:sz w:val="20"/>
              </w:rPr>
              <w:t>alkoholu nebo jiných návykových látek</w:t>
            </w:r>
            <w:r w:rsidR="005651C2">
              <w:rPr>
                <w:b/>
                <w:sz w:val="20"/>
              </w:rPr>
              <w:t xml:space="preserve"> *.</w:t>
            </w:r>
          </w:p>
        </w:tc>
      </w:tr>
    </w:tbl>
    <w:p w14:paraId="315789F8" w14:textId="77777777" w:rsidR="004F29A2" w:rsidRDefault="002F143F" w:rsidP="004F29A2">
      <w:pPr>
        <w:spacing w:line="240" w:lineRule="auto"/>
        <w:jc w:val="both"/>
        <w:rPr>
          <w:sz w:val="20"/>
        </w:rPr>
      </w:pPr>
      <w:r w:rsidRPr="002F143F">
        <w:rPr>
          <w:sz w:val="20"/>
        </w:rPr>
        <w:t>* zaměstnanec je odeslán z pracoviště (</w:t>
      </w:r>
      <w:r w:rsidR="00145539">
        <w:rPr>
          <w:sz w:val="20"/>
        </w:rPr>
        <w:t xml:space="preserve">překážka v práci na straně </w:t>
      </w:r>
      <w:proofErr w:type="gramStart"/>
      <w:r w:rsidR="00145539">
        <w:rPr>
          <w:sz w:val="20"/>
        </w:rPr>
        <w:t>zaměstnance - neplacená</w:t>
      </w:r>
      <w:proofErr w:type="gramEnd"/>
      <w:r w:rsidRPr="002F143F">
        <w:rPr>
          <w:sz w:val="20"/>
        </w:rPr>
        <w:t xml:space="preserve">), </w:t>
      </w:r>
      <w:r w:rsidR="00145539">
        <w:rPr>
          <w:sz w:val="20"/>
        </w:rPr>
        <w:t xml:space="preserve">je </w:t>
      </w:r>
      <w:r w:rsidRPr="002F143F">
        <w:rPr>
          <w:sz w:val="20"/>
        </w:rPr>
        <w:t xml:space="preserve">nepřípustné, aby pod vlivem alkoholu </w:t>
      </w:r>
      <w:r w:rsidR="00E71163">
        <w:rPr>
          <w:sz w:val="20"/>
        </w:rPr>
        <w:t xml:space="preserve">a jiných návykových látek </w:t>
      </w:r>
      <w:r w:rsidRPr="002F143F">
        <w:rPr>
          <w:sz w:val="20"/>
        </w:rPr>
        <w:t>setrval na pracovišti</w:t>
      </w:r>
    </w:p>
    <w:p w14:paraId="1606BAD6" w14:textId="3BEA94B4" w:rsidR="00C4589D" w:rsidRPr="002F143F" w:rsidRDefault="00C4589D" w:rsidP="004F29A2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Doporučení: V případě, že po první zkoušce bude u zaměstnance zjištěn alkohol, je vhodné provést dechovou zkoušku rovněž u dalšího zaměstnance (odlišného od svědka), o němž se domníváte, že žádný alkohol nepožil. Tímto postupem se snižuje možnost </w:t>
      </w:r>
      <w:r w:rsidR="005B5B6C">
        <w:rPr>
          <w:sz w:val="20"/>
        </w:rPr>
        <w:t>zaměstnance hájit se poruchou přístroje</w:t>
      </w:r>
      <w:r>
        <w:rPr>
          <w:sz w:val="20"/>
        </w:rPr>
        <w:t xml:space="preserve">. </w:t>
      </w:r>
    </w:p>
    <w:sectPr w:rsidR="00C4589D" w:rsidRPr="002F143F" w:rsidSect="0003124B">
      <w:headerReference w:type="default" r:id="rId8"/>
      <w:pgSz w:w="16838" w:h="11906" w:orient="landscape" w:code="9"/>
      <w:pgMar w:top="851" w:right="851" w:bottom="567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1DF7" w14:textId="77777777" w:rsidR="00A21219" w:rsidRDefault="00A21219" w:rsidP="00801007">
      <w:pPr>
        <w:spacing w:after="0" w:line="240" w:lineRule="auto"/>
      </w:pPr>
      <w:r>
        <w:separator/>
      </w:r>
    </w:p>
  </w:endnote>
  <w:endnote w:type="continuationSeparator" w:id="0">
    <w:p w14:paraId="7B29984D" w14:textId="77777777" w:rsidR="00A21219" w:rsidRDefault="00A21219" w:rsidP="0080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DDB9" w14:textId="77777777" w:rsidR="00A21219" w:rsidRDefault="00A21219" w:rsidP="00801007">
      <w:pPr>
        <w:spacing w:after="0" w:line="240" w:lineRule="auto"/>
      </w:pPr>
      <w:r>
        <w:separator/>
      </w:r>
    </w:p>
  </w:footnote>
  <w:footnote w:type="continuationSeparator" w:id="0">
    <w:p w14:paraId="054D597C" w14:textId="77777777" w:rsidR="00A21219" w:rsidRDefault="00A21219" w:rsidP="0080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5267" w14:textId="1912F44B" w:rsidR="00245E7B" w:rsidRDefault="00245E7B">
    <w:pPr>
      <w:pStyle w:val="Zhlav"/>
    </w:pPr>
    <w:r>
      <w:rPr>
        <w:color w:val="050505"/>
      </w:rPr>
      <w:t>Příloha č. 2</w:t>
    </w:r>
    <w:r w:rsidR="005278D1">
      <w:rPr>
        <w:color w:val="050505"/>
      </w:rPr>
      <w:t>2</w:t>
    </w:r>
    <w:r w:rsidRPr="005865CE">
      <w:rPr>
        <w:color w:val="050505"/>
      </w:rPr>
      <w:t xml:space="preserve"> ke Směrnici vedoucího odboru HSE č. 03/HSE/03/00/2015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58E"/>
    <w:multiLevelType w:val="hybridMultilevel"/>
    <w:tmpl w:val="436AC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658DD"/>
    <w:multiLevelType w:val="hybridMultilevel"/>
    <w:tmpl w:val="C202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E0847"/>
    <w:multiLevelType w:val="hybridMultilevel"/>
    <w:tmpl w:val="0A605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C04EF"/>
    <w:multiLevelType w:val="hybridMultilevel"/>
    <w:tmpl w:val="88443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C1569"/>
    <w:multiLevelType w:val="hybridMultilevel"/>
    <w:tmpl w:val="95D6A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67C83"/>
    <w:multiLevelType w:val="hybridMultilevel"/>
    <w:tmpl w:val="0A605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737539">
    <w:abstractNumId w:val="0"/>
  </w:num>
  <w:num w:numId="2" w16cid:durableId="498159933">
    <w:abstractNumId w:val="5"/>
  </w:num>
  <w:num w:numId="3" w16cid:durableId="1221789482">
    <w:abstractNumId w:val="2"/>
  </w:num>
  <w:num w:numId="4" w16cid:durableId="1321737518">
    <w:abstractNumId w:val="3"/>
  </w:num>
  <w:num w:numId="5" w16cid:durableId="1172530507">
    <w:abstractNumId w:val="4"/>
  </w:num>
  <w:num w:numId="6" w16cid:durableId="91612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15"/>
    <w:rsid w:val="0003124B"/>
    <w:rsid w:val="000D24F3"/>
    <w:rsid w:val="000D7B5A"/>
    <w:rsid w:val="000F5F1A"/>
    <w:rsid w:val="00145539"/>
    <w:rsid w:val="001A5D61"/>
    <w:rsid w:val="001F51BB"/>
    <w:rsid w:val="00204D57"/>
    <w:rsid w:val="00207633"/>
    <w:rsid w:val="00212EBD"/>
    <w:rsid w:val="00245E7B"/>
    <w:rsid w:val="002F143F"/>
    <w:rsid w:val="00393240"/>
    <w:rsid w:val="003A0957"/>
    <w:rsid w:val="003B7AB6"/>
    <w:rsid w:val="0044415B"/>
    <w:rsid w:val="004F29A2"/>
    <w:rsid w:val="005278D1"/>
    <w:rsid w:val="005651C2"/>
    <w:rsid w:val="00571F13"/>
    <w:rsid w:val="005B5B6C"/>
    <w:rsid w:val="006771E2"/>
    <w:rsid w:val="00693C28"/>
    <w:rsid w:val="006F2D19"/>
    <w:rsid w:val="00801007"/>
    <w:rsid w:val="00811AB2"/>
    <w:rsid w:val="00857202"/>
    <w:rsid w:val="009150BA"/>
    <w:rsid w:val="009235DF"/>
    <w:rsid w:val="00941214"/>
    <w:rsid w:val="00951795"/>
    <w:rsid w:val="00991F00"/>
    <w:rsid w:val="00997836"/>
    <w:rsid w:val="009E7A0A"/>
    <w:rsid w:val="00A14513"/>
    <w:rsid w:val="00A21219"/>
    <w:rsid w:val="00B32506"/>
    <w:rsid w:val="00BD259E"/>
    <w:rsid w:val="00BF187A"/>
    <w:rsid w:val="00C07F3A"/>
    <w:rsid w:val="00C4589D"/>
    <w:rsid w:val="00DD0DE9"/>
    <w:rsid w:val="00E0614F"/>
    <w:rsid w:val="00E26DB2"/>
    <w:rsid w:val="00E71163"/>
    <w:rsid w:val="00EA53BA"/>
    <w:rsid w:val="00EF554C"/>
    <w:rsid w:val="00F23E15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65501"/>
  <w15:docId w15:val="{21E5D3F1-B9BA-4586-AB16-62EC3AEF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0BA"/>
    <w:rPr>
      <w:rFonts w:ascii="Franklin Gothic Book" w:hAnsi="Franklin Gothic Boo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3E15"/>
    <w:pPr>
      <w:ind w:left="720"/>
      <w:contextualSpacing/>
    </w:pPr>
  </w:style>
  <w:style w:type="table" w:styleId="Mkatabulky">
    <w:name w:val="Table Grid"/>
    <w:basedOn w:val="Normlntabulka"/>
    <w:uiPriority w:val="59"/>
    <w:rsid w:val="00B3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DE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455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55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55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5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553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179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150B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9150BA"/>
    <w:rPr>
      <w:rFonts w:ascii="Franklin Gothic Book" w:hAnsi="Franklin Gothic Book"/>
      <w:sz w:val="18"/>
    </w:rPr>
  </w:style>
  <w:style w:type="paragraph" w:styleId="Zpat">
    <w:name w:val="footer"/>
    <w:basedOn w:val="Normln"/>
    <w:link w:val="ZpatChar"/>
    <w:uiPriority w:val="99"/>
    <w:unhideWhenUsed/>
    <w:rsid w:val="0024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9C68-0AAC-407B-8135-2C0AB87E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Hršel Jakub</dc:creator>
  <cp:lastModifiedBy>Pelikán Martin</cp:lastModifiedBy>
  <cp:revision>3</cp:revision>
  <dcterms:created xsi:type="dcterms:W3CDTF">2022-10-17T07:44:00Z</dcterms:created>
  <dcterms:modified xsi:type="dcterms:W3CDTF">2022-10-17T08:59:00Z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