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17B5F" w14:textId="77777777" w:rsidR="00412793" w:rsidRDefault="00412793" w:rsidP="005C62C7">
      <w:pPr>
        <w:jc w:val="center"/>
        <w:rPr>
          <w:rFonts w:ascii="Franklin Gothic Book" w:hAnsi="Franklin Gothic Book"/>
          <w:b/>
          <w:sz w:val="32"/>
          <w:szCs w:val="32"/>
          <w:u w:val="single"/>
        </w:rPr>
      </w:pPr>
    </w:p>
    <w:p w14:paraId="1B517B60" w14:textId="77777777" w:rsidR="005C62C7" w:rsidRPr="005C62C7" w:rsidRDefault="005C62C7" w:rsidP="005C62C7">
      <w:pPr>
        <w:jc w:val="center"/>
        <w:rPr>
          <w:rFonts w:ascii="Franklin Gothic Book" w:hAnsi="Franklin Gothic Book"/>
          <w:b/>
          <w:sz w:val="32"/>
          <w:szCs w:val="32"/>
          <w:u w:val="single"/>
        </w:rPr>
      </w:pPr>
      <w:r w:rsidRPr="005C62C7">
        <w:rPr>
          <w:rFonts w:ascii="Franklin Gothic Book" w:hAnsi="Franklin Gothic Book"/>
          <w:b/>
          <w:sz w:val="32"/>
          <w:szCs w:val="32"/>
          <w:u w:val="single"/>
        </w:rPr>
        <w:t>Stanovení zón s nebezpečím výbuchu při větrání nádrží s hořlavými kapalinami I. a II. třídy - příklady</w:t>
      </w:r>
    </w:p>
    <w:p w14:paraId="1B517B61" w14:textId="77777777" w:rsidR="00041645" w:rsidRPr="008A4301" w:rsidRDefault="00041645" w:rsidP="00041645">
      <w:pPr>
        <w:pStyle w:val="Odstavecseseznamem"/>
        <w:ind w:left="1440"/>
        <w:rPr>
          <w:rFonts w:ascii="Franklin Gothic Book" w:hAnsi="Franklin Gothic Book"/>
          <w:sz w:val="24"/>
          <w:szCs w:val="24"/>
        </w:rPr>
      </w:pPr>
    </w:p>
    <w:p w14:paraId="1B517B62" w14:textId="77777777" w:rsidR="001243DB" w:rsidRDefault="001243DB"/>
    <w:p w14:paraId="1B517B63" w14:textId="77777777" w:rsidR="005C62C7" w:rsidRPr="005C62C7" w:rsidRDefault="005C62C7" w:rsidP="005C62C7">
      <w:pPr>
        <w:jc w:val="both"/>
        <w:rPr>
          <w:rFonts w:ascii="Franklin Gothic Book" w:hAnsi="Franklin Gothic Book"/>
        </w:rPr>
      </w:pPr>
      <w:r w:rsidRPr="005C62C7">
        <w:rPr>
          <w:rFonts w:ascii="Franklin Gothic Book" w:hAnsi="Franklin Gothic Book"/>
        </w:rPr>
        <w:t>Pro stanovení zón s nebezpečím výbuchu k</w:t>
      </w:r>
      <w:r w:rsidR="00DE4AB1">
        <w:rPr>
          <w:rFonts w:ascii="Franklin Gothic Book" w:hAnsi="Franklin Gothic Book"/>
        </w:rPr>
        <w:t xml:space="preserve">olem otvorů při větrání nádrží </w:t>
      </w:r>
      <w:r w:rsidRPr="005C62C7">
        <w:rPr>
          <w:rFonts w:ascii="Franklin Gothic Book" w:hAnsi="Franklin Gothic Book"/>
        </w:rPr>
        <w:t xml:space="preserve">se zbytky hořlavých kapalin I. a II. třídy nebezpečnosti a jejich par jsou zpracovány následující rozsahy zón s přihlédnutím k jednotlivým typům nejvíce používaných nádrží. U nádrží jiného konstrukčního typu nebo jiného umístění odvětrávacích otvorů se rozsah zón použije v přiměřeném rozsahu. U výdechů nádrží do uzavřených prostor – manipulační chodby se v celém prostoru těchto prostorů stanovuje zóna 1, na kterou navazuje zóna 2 v okruhu 5 metrů od otvorů. </w:t>
      </w:r>
    </w:p>
    <w:p w14:paraId="1B517B64" w14:textId="77777777" w:rsidR="005C62C7" w:rsidRPr="005C62C7" w:rsidRDefault="005C62C7" w:rsidP="005C62C7">
      <w:pPr>
        <w:jc w:val="both"/>
        <w:rPr>
          <w:rFonts w:ascii="Franklin Gothic Book" w:hAnsi="Franklin Gothic Book"/>
        </w:rPr>
      </w:pPr>
    </w:p>
    <w:p w14:paraId="1B517B65" w14:textId="77777777" w:rsidR="005C62C7" w:rsidRPr="005C62C7" w:rsidRDefault="005C62C7" w:rsidP="005C62C7">
      <w:pPr>
        <w:jc w:val="center"/>
        <w:rPr>
          <w:rFonts w:ascii="Franklin Gothic Book" w:hAnsi="Franklin Gothic Book"/>
        </w:rPr>
      </w:pPr>
      <w:r w:rsidRPr="005C62C7">
        <w:rPr>
          <w:rFonts w:ascii="Franklin Gothic Book" w:hAnsi="Franklin Gothic Book"/>
          <w:noProof/>
        </w:rPr>
        <w:drawing>
          <wp:inline distT="0" distB="0" distL="0" distR="0" wp14:anchorId="1B517B8C" wp14:editId="1B517B8D">
            <wp:extent cx="5417389" cy="2251494"/>
            <wp:effectExtent l="0" t="0" r="0" b="0"/>
            <wp:docPr id="1" name="Obrázek 1" descr="C:\Users\stejskalz\Documents\HPT\Prevence\SMGŘ 06-98-101\příloha zóna při větrání\nádrž6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jskalz\Documents\HPT\Prevence\SMGŘ 06-98-101\příloha zóna při větrání\nádrž6u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67" cy="22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17B66" w14:textId="77777777" w:rsidR="005C62C7" w:rsidRPr="005C62C7" w:rsidRDefault="005C62C7" w:rsidP="005C62C7">
      <w:pPr>
        <w:spacing w:before="120"/>
        <w:jc w:val="center"/>
        <w:rPr>
          <w:rFonts w:ascii="Franklin Gothic Book" w:hAnsi="Franklin Gothic Book"/>
          <w:i/>
        </w:rPr>
      </w:pPr>
      <w:r w:rsidRPr="005C62C7">
        <w:rPr>
          <w:rFonts w:ascii="Franklin Gothic Book" w:hAnsi="Franklin Gothic Book"/>
          <w:i/>
        </w:rPr>
        <w:t>Obr. 1 – ležatá válcová nádrž podzemní zasypaná</w:t>
      </w:r>
    </w:p>
    <w:p w14:paraId="1B517B67" w14:textId="77777777" w:rsidR="005C62C7" w:rsidRPr="005C62C7" w:rsidRDefault="005C62C7" w:rsidP="005C62C7">
      <w:pPr>
        <w:jc w:val="both"/>
        <w:rPr>
          <w:rFonts w:ascii="Franklin Gothic Book" w:hAnsi="Franklin Gothic Book"/>
        </w:rPr>
      </w:pPr>
    </w:p>
    <w:p w14:paraId="1B517B68" w14:textId="77777777" w:rsidR="005C62C7" w:rsidRPr="005C62C7" w:rsidRDefault="005C62C7" w:rsidP="005C62C7">
      <w:pPr>
        <w:jc w:val="both"/>
        <w:rPr>
          <w:rFonts w:ascii="Franklin Gothic Book" w:hAnsi="Franklin Gothic Book"/>
        </w:rPr>
      </w:pPr>
    </w:p>
    <w:p w14:paraId="1B517B69" w14:textId="77777777" w:rsidR="005C62C7" w:rsidRPr="005C62C7" w:rsidRDefault="005C62C7" w:rsidP="005C62C7">
      <w:pPr>
        <w:jc w:val="center"/>
        <w:rPr>
          <w:rFonts w:ascii="Franklin Gothic Book" w:hAnsi="Franklin Gothic Book"/>
        </w:rPr>
      </w:pPr>
      <w:r w:rsidRPr="005C62C7">
        <w:rPr>
          <w:rFonts w:ascii="Franklin Gothic Book" w:hAnsi="Franklin Gothic Book"/>
          <w:noProof/>
        </w:rPr>
        <w:drawing>
          <wp:inline distT="0" distB="0" distL="0" distR="0" wp14:anchorId="1B517B8E" wp14:editId="1B517B8F">
            <wp:extent cx="3476446" cy="3390373"/>
            <wp:effectExtent l="0" t="0" r="0" b="635"/>
            <wp:docPr id="8" name="Obrázek 8" descr="C:\Users\stejskalz\Documents\HPT\Prevence\SMGŘ 06-98-101\příloha zóna při větrání\nádrž5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jskalz\Documents\HPT\Prevence\SMGŘ 06-98-101\příloha zóna při větrání\nádrž5u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35" cy="339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17B6A" w14:textId="77777777" w:rsidR="005C62C7" w:rsidRPr="005C62C7" w:rsidRDefault="005C62C7" w:rsidP="005C62C7">
      <w:pPr>
        <w:spacing w:before="120"/>
        <w:jc w:val="center"/>
        <w:rPr>
          <w:rFonts w:ascii="Franklin Gothic Book" w:hAnsi="Franklin Gothic Book"/>
          <w:i/>
        </w:rPr>
      </w:pPr>
      <w:r w:rsidRPr="005C62C7">
        <w:rPr>
          <w:rFonts w:ascii="Franklin Gothic Book" w:hAnsi="Franklin Gothic Book"/>
          <w:i/>
        </w:rPr>
        <w:t xml:space="preserve">Obr. 2 – ležatá válcová nádrž nadzemní </w:t>
      </w:r>
    </w:p>
    <w:p w14:paraId="1B517B6B" w14:textId="77777777" w:rsidR="005C62C7" w:rsidRPr="005C62C7" w:rsidRDefault="005C62C7" w:rsidP="005C62C7">
      <w:pPr>
        <w:jc w:val="both"/>
        <w:rPr>
          <w:rFonts w:ascii="Franklin Gothic Book" w:hAnsi="Franklin Gothic Book"/>
        </w:rPr>
      </w:pPr>
    </w:p>
    <w:p w14:paraId="1B517B6C" w14:textId="77777777" w:rsidR="005C62C7" w:rsidRDefault="005C62C7" w:rsidP="005C62C7">
      <w:pPr>
        <w:jc w:val="both"/>
        <w:rPr>
          <w:rFonts w:ascii="Franklin Gothic Book" w:hAnsi="Franklin Gothic Book"/>
        </w:rPr>
      </w:pPr>
    </w:p>
    <w:p w14:paraId="1B517B6D" w14:textId="77777777" w:rsidR="00412793" w:rsidRDefault="00412793" w:rsidP="005C62C7">
      <w:pPr>
        <w:jc w:val="both"/>
        <w:rPr>
          <w:rFonts w:ascii="Franklin Gothic Book" w:hAnsi="Franklin Gothic Book"/>
        </w:rPr>
      </w:pPr>
    </w:p>
    <w:p w14:paraId="1B517B6E" w14:textId="77777777" w:rsidR="00412793" w:rsidRDefault="00412793" w:rsidP="005C62C7">
      <w:pPr>
        <w:jc w:val="both"/>
        <w:rPr>
          <w:rFonts w:ascii="Franklin Gothic Book" w:hAnsi="Franklin Gothic Book"/>
        </w:rPr>
      </w:pPr>
    </w:p>
    <w:p w14:paraId="1B517B6F" w14:textId="77777777" w:rsidR="00412793" w:rsidRPr="005C62C7" w:rsidRDefault="00412793" w:rsidP="005C62C7">
      <w:pPr>
        <w:jc w:val="both"/>
        <w:rPr>
          <w:rFonts w:ascii="Franklin Gothic Book" w:hAnsi="Franklin Gothic Book"/>
        </w:rPr>
      </w:pPr>
    </w:p>
    <w:p w14:paraId="1B517B70" w14:textId="77777777" w:rsidR="005C62C7" w:rsidRPr="005C62C7" w:rsidRDefault="005C62C7" w:rsidP="005C62C7">
      <w:pPr>
        <w:jc w:val="center"/>
        <w:rPr>
          <w:rFonts w:ascii="Franklin Gothic Book" w:hAnsi="Franklin Gothic Book"/>
        </w:rPr>
      </w:pPr>
      <w:r w:rsidRPr="005C62C7">
        <w:rPr>
          <w:rFonts w:ascii="Franklin Gothic Book" w:hAnsi="Franklin Gothic Book"/>
          <w:noProof/>
        </w:rPr>
        <w:drawing>
          <wp:inline distT="0" distB="0" distL="0" distR="0" wp14:anchorId="1B517B90" wp14:editId="1B517B91">
            <wp:extent cx="5760720" cy="2035677"/>
            <wp:effectExtent l="0" t="0" r="0" b="3175"/>
            <wp:docPr id="9" name="Obrázek 9" descr="C:\Users\stejskalz\Documents\HPT\Prevence\SMGŘ 06-98-101\příloha zóna při větrání\nádrž4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jskalz\Documents\HPT\Prevence\SMGŘ 06-98-101\příloha zóna při větrání\nádrž4u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17B71" w14:textId="77777777" w:rsidR="005C62C7" w:rsidRPr="005C62C7" w:rsidRDefault="005C62C7" w:rsidP="005C62C7">
      <w:pPr>
        <w:spacing w:before="120"/>
        <w:jc w:val="center"/>
        <w:rPr>
          <w:rFonts w:ascii="Franklin Gothic Book" w:hAnsi="Franklin Gothic Book"/>
          <w:i/>
        </w:rPr>
      </w:pPr>
      <w:r w:rsidRPr="005C62C7">
        <w:rPr>
          <w:rFonts w:ascii="Franklin Gothic Book" w:hAnsi="Franklin Gothic Book"/>
          <w:i/>
        </w:rPr>
        <w:t>Obr. 3 ležatá válcová nádrž v jímce</w:t>
      </w:r>
    </w:p>
    <w:p w14:paraId="1B517B72" w14:textId="77777777" w:rsidR="005C62C7" w:rsidRPr="005C62C7" w:rsidRDefault="005C62C7" w:rsidP="005C62C7">
      <w:pPr>
        <w:jc w:val="both"/>
        <w:rPr>
          <w:rFonts w:ascii="Franklin Gothic Book" w:hAnsi="Franklin Gothic Book"/>
        </w:rPr>
      </w:pPr>
    </w:p>
    <w:p w14:paraId="1B517B73" w14:textId="77777777" w:rsidR="005C62C7" w:rsidRPr="005C62C7" w:rsidRDefault="005C62C7" w:rsidP="005C62C7">
      <w:pPr>
        <w:jc w:val="both"/>
        <w:rPr>
          <w:rFonts w:ascii="Franklin Gothic Book" w:hAnsi="Franklin Gothic Book"/>
        </w:rPr>
      </w:pPr>
    </w:p>
    <w:p w14:paraId="1B517B74" w14:textId="77777777" w:rsidR="005C62C7" w:rsidRPr="005C62C7" w:rsidRDefault="005C62C7" w:rsidP="005C62C7">
      <w:pPr>
        <w:jc w:val="center"/>
        <w:rPr>
          <w:rFonts w:ascii="Franklin Gothic Book" w:hAnsi="Franklin Gothic Book"/>
        </w:rPr>
      </w:pPr>
      <w:r w:rsidRPr="005C62C7">
        <w:rPr>
          <w:rFonts w:ascii="Franklin Gothic Book" w:hAnsi="Franklin Gothic Book"/>
          <w:noProof/>
        </w:rPr>
        <w:drawing>
          <wp:inline distT="0" distB="0" distL="0" distR="0" wp14:anchorId="1B517B92" wp14:editId="1B517B93">
            <wp:extent cx="5753100" cy="3651250"/>
            <wp:effectExtent l="0" t="0" r="0" b="6350"/>
            <wp:docPr id="10" name="Obrázek 10" descr="C:\Users\stejskalz\Documents\HPT\Prevence\SMGŘ 06-98-101\příloha zóna při větrání\nádrž3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jskalz\Documents\HPT\Prevence\SMGŘ 06-98-101\příloha zóna při větrání\nádrž3u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6564" cy="365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17B75" w14:textId="77777777" w:rsidR="005C62C7" w:rsidRPr="005C62C7" w:rsidRDefault="005C62C7" w:rsidP="005C62C7">
      <w:pPr>
        <w:spacing w:before="120"/>
        <w:jc w:val="center"/>
        <w:rPr>
          <w:rFonts w:ascii="Franklin Gothic Book" w:hAnsi="Franklin Gothic Book"/>
          <w:i/>
        </w:rPr>
      </w:pPr>
      <w:r w:rsidRPr="005C62C7">
        <w:rPr>
          <w:rFonts w:ascii="Franklin Gothic Book" w:hAnsi="Franklin Gothic Book"/>
          <w:i/>
        </w:rPr>
        <w:t>Obr. 4 stojatá válcová nádrž v ocelové havarijní jímce (nádrž v nádrži)</w:t>
      </w:r>
    </w:p>
    <w:p w14:paraId="1B517B76" w14:textId="77777777" w:rsidR="005C62C7" w:rsidRPr="005C62C7" w:rsidRDefault="005C62C7" w:rsidP="005C62C7">
      <w:pPr>
        <w:jc w:val="both"/>
        <w:rPr>
          <w:rFonts w:ascii="Franklin Gothic Book" w:hAnsi="Franklin Gothic Book"/>
        </w:rPr>
      </w:pPr>
    </w:p>
    <w:p w14:paraId="1B517B77" w14:textId="77777777" w:rsidR="005C62C7" w:rsidRDefault="005C62C7" w:rsidP="005C62C7">
      <w:pPr>
        <w:jc w:val="both"/>
        <w:rPr>
          <w:rFonts w:ascii="Franklin Gothic Book" w:hAnsi="Franklin Gothic Book"/>
        </w:rPr>
      </w:pPr>
    </w:p>
    <w:p w14:paraId="1B517B78" w14:textId="77777777" w:rsidR="00412793" w:rsidRPr="005C62C7" w:rsidRDefault="00412793" w:rsidP="005C62C7">
      <w:pPr>
        <w:jc w:val="both"/>
        <w:rPr>
          <w:rFonts w:ascii="Franklin Gothic Book" w:hAnsi="Franklin Gothic Book"/>
        </w:rPr>
      </w:pPr>
    </w:p>
    <w:p w14:paraId="1B517B79" w14:textId="77777777" w:rsidR="005C62C7" w:rsidRPr="005C62C7" w:rsidRDefault="005C62C7" w:rsidP="005C62C7">
      <w:pPr>
        <w:jc w:val="both"/>
        <w:rPr>
          <w:rFonts w:ascii="Franklin Gothic Book" w:hAnsi="Franklin Gothic Book"/>
        </w:rPr>
      </w:pPr>
      <w:r w:rsidRPr="005C62C7">
        <w:rPr>
          <w:rFonts w:ascii="Franklin Gothic Book" w:hAnsi="Franklin Gothic Book"/>
          <w:noProof/>
        </w:rPr>
        <w:lastRenderedPageBreak/>
        <w:drawing>
          <wp:inline distT="0" distB="0" distL="0" distR="0" wp14:anchorId="1B517B94" wp14:editId="1B517B95">
            <wp:extent cx="5757354" cy="3619500"/>
            <wp:effectExtent l="0" t="0" r="0" b="0"/>
            <wp:docPr id="11" name="Obrázek 11" descr="C:\Users\stejskalz\Documents\HPT\Prevence\SMGŘ 06-98-101\příloha zóna při větrání\nádrž2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jskalz\Documents\HPT\Prevence\SMGŘ 06-98-101\příloha zóna při větrání\nádrž2u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62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17B7A" w14:textId="77777777" w:rsidR="005C62C7" w:rsidRPr="005C62C7" w:rsidRDefault="005C62C7" w:rsidP="005C62C7">
      <w:pPr>
        <w:spacing w:before="120"/>
        <w:jc w:val="center"/>
        <w:rPr>
          <w:rFonts w:ascii="Franklin Gothic Book" w:hAnsi="Franklin Gothic Book"/>
          <w:i/>
        </w:rPr>
      </w:pPr>
      <w:r w:rsidRPr="005C62C7">
        <w:rPr>
          <w:rFonts w:ascii="Franklin Gothic Book" w:hAnsi="Franklin Gothic Book"/>
          <w:i/>
        </w:rPr>
        <w:t>Obr. 5 stojatá válcová nádrž v betonové havarijní jímce</w:t>
      </w:r>
    </w:p>
    <w:p w14:paraId="1B517B7B" w14:textId="77777777" w:rsidR="005C62C7" w:rsidRPr="005C62C7" w:rsidRDefault="005C62C7" w:rsidP="005C62C7">
      <w:pPr>
        <w:jc w:val="both"/>
        <w:rPr>
          <w:rFonts w:ascii="Franklin Gothic Book" w:hAnsi="Franklin Gothic Book"/>
        </w:rPr>
      </w:pPr>
    </w:p>
    <w:p w14:paraId="1B517B7C" w14:textId="77777777" w:rsidR="005C62C7" w:rsidRPr="005C62C7" w:rsidRDefault="005C62C7" w:rsidP="005C62C7">
      <w:pPr>
        <w:jc w:val="both"/>
        <w:rPr>
          <w:rFonts w:ascii="Franklin Gothic Book" w:hAnsi="Franklin Gothic Book"/>
        </w:rPr>
      </w:pPr>
    </w:p>
    <w:p w14:paraId="1B517B7D" w14:textId="77777777" w:rsidR="005C62C7" w:rsidRPr="005C62C7" w:rsidRDefault="005C62C7" w:rsidP="005C62C7">
      <w:pPr>
        <w:jc w:val="both"/>
        <w:rPr>
          <w:rFonts w:ascii="Franklin Gothic Book" w:hAnsi="Franklin Gothic Book"/>
        </w:rPr>
      </w:pPr>
      <w:r w:rsidRPr="005C62C7">
        <w:rPr>
          <w:rFonts w:ascii="Franklin Gothic Book" w:hAnsi="Franklin Gothic Book"/>
          <w:noProof/>
        </w:rPr>
        <w:drawing>
          <wp:inline distT="0" distB="0" distL="0" distR="0" wp14:anchorId="1B517B96" wp14:editId="1B517B97">
            <wp:extent cx="5760720" cy="3194128"/>
            <wp:effectExtent l="0" t="0" r="0" b="6350"/>
            <wp:docPr id="12" name="Obrázek 12" descr="C:\Users\stejskalz\Documents\HPT\Prevence\SMGŘ 06-98-101\příloha zóna při větrání\nádrž1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jskalz\Documents\HPT\Prevence\SMGŘ 06-98-101\příloha zóna při větrání\nádrž1u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17B7E" w14:textId="77777777" w:rsidR="005C62C7" w:rsidRPr="005C62C7" w:rsidRDefault="005C62C7" w:rsidP="005C62C7">
      <w:pPr>
        <w:spacing w:before="120"/>
        <w:jc w:val="center"/>
        <w:rPr>
          <w:rFonts w:ascii="Franklin Gothic Book" w:hAnsi="Franklin Gothic Book"/>
          <w:i/>
        </w:rPr>
      </w:pPr>
      <w:r w:rsidRPr="005C62C7">
        <w:rPr>
          <w:rFonts w:ascii="Franklin Gothic Book" w:hAnsi="Franklin Gothic Book"/>
          <w:i/>
        </w:rPr>
        <w:t>Obr. 6 stojatá válcová nádrž podzemní (zcela nebo z části zasypaná)</w:t>
      </w:r>
    </w:p>
    <w:p w14:paraId="1B517B7F" w14:textId="77777777" w:rsidR="005C62C7" w:rsidRPr="005C62C7" w:rsidRDefault="005C62C7" w:rsidP="005C62C7">
      <w:pPr>
        <w:jc w:val="both"/>
        <w:rPr>
          <w:rFonts w:ascii="Franklin Gothic Book" w:hAnsi="Franklin Gothic Book"/>
        </w:rPr>
      </w:pPr>
    </w:p>
    <w:p w14:paraId="1B517B80" w14:textId="77777777" w:rsidR="00836511" w:rsidRDefault="00836511" w:rsidP="005C62C7">
      <w:pPr>
        <w:jc w:val="both"/>
        <w:rPr>
          <w:rFonts w:ascii="Franklin Gothic Book" w:hAnsi="Franklin Gothic Book"/>
        </w:rPr>
      </w:pPr>
    </w:p>
    <w:p w14:paraId="1B517B81" w14:textId="77777777" w:rsidR="0084138F" w:rsidRDefault="0084138F" w:rsidP="005C62C7">
      <w:pPr>
        <w:jc w:val="both"/>
        <w:rPr>
          <w:rFonts w:ascii="Franklin Gothic Book" w:hAnsi="Franklin Gothic Book"/>
        </w:rPr>
      </w:pPr>
    </w:p>
    <w:p w14:paraId="1B517B82" w14:textId="77777777" w:rsidR="0084138F" w:rsidRDefault="0084138F" w:rsidP="005C62C7">
      <w:pPr>
        <w:jc w:val="both"/>
        <w:rPr>
          <w:rFonts w:ascii="Franklin Gothic Book" w:hAnsi="Franklin Gothic Book"/>
        </w:rPr>
      </w:pPr>
    </w:p>
    <w:p w14:paraId="1B517B83" w14:textId="77777777" w:rsidR="0084138F" w:rsidRDefault="0084138F" w:rsidP="005C62C7">
      <w:pPr>
        <w:jc w:val="both"/>
        <w:rPr>
          <w:rFonts w:ascii="Franklin Gothic Book" w:hAnsi="Franklin Gothic Book"/>
        </w:rPr>
      </w:pPr>
    </w:p>
    <w:p w14:paraId="1B517B84" w14:textId="77777777" w:rsidR="0084138F" w:rsidRDefault="0084138F" w:rsidP="005C62C7">
      <w:pPr>
        <w:jc w:val="both"/>
        <w:rPr>
          <w:rFonts w:ascii="Franklin Gothic Book" w:hAnsi="Franklin Gothic Book"/>
        </w:rPr>
      </w:pPr>
    </w:p>
    <w:p w14:paraId="1B517B85" w14:textId="77777777" w:rsidR="0084138F" w:rsidRDefault="0084138F" w:rsidP="005C62C7">
      <w:pPr>
        <w:jc w:val="both"/>
        <w:rPr>
          <w:rFonts w:ascii="Franklin Gothic Book" w:hAnsi="Franklin Gothic Book"/>
        </w:rPr>
      </w:pPr>
    </w:p>
    <w:p w14:paraId="1B517B86" w14:textId="77777777" w:rsidR="0084138F" w:rsidRDefault="0084138F" w:rsidP="005C62C7">
      <w:pPr>
        <w:jc w:val="both"/>
        <w:rPr>
          <w:rFonts w:ascii="Franklin Gothic Book" w:hAnsi="Franklin Gothic Book"/>
        </w:rPr>
      </w:pPr>
    </w:p>
    <w:p w14:paraId="1B517B87" w14:textId="77777777" w:rsidR="005710CD" w:rsidRDefault="005710CD" w:rsidP="005C62C7">
      <w:pPr>
        <w:jc w:val="both"/>
        <w:rPr>
          <w:rFonts w:ascii="Franklin Gothic Book" w:hAnsi="Franklin Gothic Book"/>
        </w:rPr>
      </w:pPr>
    </w:p>
    <w:p w14:paraId="1B517B88" w14:textId="77777777" w:rsidR="005710CD" w:rsidRDefault="005710CD" w:rsidP="005C62C7">
      <w:pPr>
        <w:jc w:val="both"/>
        <w:rPr>
          <w:rFonts w:ascii="Franklin Gothic Book" w:hAnsi="Franklin Gothic Book"/>
          <w:b/>
        </w:rPr>
      </w:pPr>
    </w:p>
    <w:p w14:paraId="1B517B89" w14:textId="77777777" w:rsidR="005710CD" w:rsidRDefault="005710CD" w:rsidP="005C62C7">
      <w:pPr>
        <w:jc w:val="both"/>
        <w:rPr>
          <w:rFonts w:ascii="Franklin Gothic Book" w:hAnsi="Franklin Gothic Book"/>
        </w:rPr>
      </w:pPr>
      <w:r w:rsidRPr="0046547C">
        <w:rPr>
          <w:rFonts w:ascii="Franklin Gothic Book" w:hAnsi="Franklin Gothic Book"/>
          <w:b/>
        </w:rPr>
        <w:t>VZOR</w:t>
      </w:r>
      <w:r w:rsidRPr="0046547C">
        <w:rPr>
          <w:rFonts w:ascii="Franklin Gothic Book" w:hAnsi="Franklin Gothic Book"/>
        </w:rPr>
        <w:t xml:space="preserve"> schématu vytypovaných míst skladu pro umístění výdechu par z větrání nádrží po BA</w:t>
      </w:r>
      <w:r w:rsidR="008E016D" w:rsidRPr="0046547C">
        <w:rPr>
          <w:rFonts w:ascii="Franklin Gothic Book" w:hAnsi="Franklin Gothic Book"/>
        </w:rPr>
        <w:t>, nádrží s nezaručeným bodem vzplanutí</w:t>
      </w:r>
      <w:r w:rsidRPr="0046547C">
        <w:rPr>
          <w:rFonts w:ascii="Franklin Gothic Book" w:hAnsi="Franklin Gothic Book"/>
        </w:rPr>
        <w:t xml:space="preserve"> a ETOH mobilním ventilátorem s flexi potrubím před a v průběhu čištění nádrží.</w:t>
      </w:r>
    </w:p>
    <w:p w14:paraId="1B517B8A" w14:textId="77777777" w:rsidR="005B53B7" w:rsidRDefault="005710CD" w:rsidP="005C62C7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 wp14:anchorId="1B517B98" wp14:editId="1B517B99">
            <wp:extent cx="6349042" cy="814333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Y - vytipovaná místa odvětrání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947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7B8B" w14:textId="77777777" w:rsidR="008E016D" w:rsidRPr="008E016D" w:rsidRDefault="008E016D" w:rsidP="008E016D">
      <w:pPr>
        <w:rPr>
          <w:rFonts w:ascii="Franklin Gothic Book" w:hAnsi="Franklin Gothic Book"/>
          <w:color w:val="2F5496"/>
        </w:rPr>
      </w:pPr>
      <w:r w:rsidRPr="0046547C">
        <w:rPr>
          <w:rFonts w:ascii="Franklin Gothic Book" w:hAnsi="Franklin Gothic Book"/>
        </w:rPr>
        <w:t xml:space="preserve">Aktuální schválená schémata skladů a jednotlivých nádrží jsou uloženy na </w:t>
      </w:r>
      <w:hyperlink r:id="rId17" w:history="1">
        <w:r w:rsidRPr="0046547C">
          <w:rPr>
            <w:rStyle w:val="Hypertextovodkaz"/>
            <w:rFonts w:ascii="Franklin Gothic Book" w:hAnsi="Franklin Gothic Book"/>
          </w:rPr>
          <w:t>\\rou-fs-02\PU\Nádrže\VVUÚ\Odvětrání nádrží</w:t>
        </w:r>
      </w:hyperlink>
    </w:p>
    <w:sectPr w:rsidR="008E016D" w:rsidRPr="008E016D" w:rsidSect="005710CD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17B9C" w14:textId="77777777" w:rsidR="00463B5E" w:rsidRDefault="00463B5E" w:rsidP="00041645">
      <w:r>
        <w:separator/>
      </w:r>
    </w:p>
  </w:endnote>
  <w:endnote w:type="continuationSeparator" w:id="0">
    <w:p w14:paraId="1B517B9D" w14:textId="77777777" w:rsidR="00463B5E" w:rsidRDefault="00463B5E" w:rsidP="00041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17B9A" w14:textId="77777777" w:rsidR="00463B5E" w:rsidRDefault="00463B5E" w:rsidP="00041645">
      <w:r>
        <w:separator/>
      </w:r>
    </w:p>
  </w:footnote>
  <w:footnote w:type="continuationSeparator" w:id="0">
    <w:p w14:paraId="1B517B9B" w14:textId="77777777" w:rsidR="00463B5E" w:rsidRDefault="00463B5E" w:rsidP="00041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17B9E" w14:textId="77777777" w:rsidR="005C62C7" w:rsidRPr="005C62C7" w:rsidRDefault="005C62C7" w:rsidP="005C62C7">
    <w:pPr>
      <w:tabs>
        <w:tab w:val="center" w:pos="4536"/>
        <w:tab w:val="right" w:pos="9072"/>
      </w:tabs>
      <w:jc w:val="right"/>
      <w:rPr>
        <w:rFonts w:ascii="Franklin Gothic Book" w:hAnsi="Franklin Gothic Book"/>
      </w:rPr>
    </w:pPr>
    <w:r w:rsidRPr="005C62C7">
      <w:rPr>
        <w:rFonts w:ascii="Franklin Gothic Book" w:hAnsi="Franklin Gothic Book"/>
      </w:rPr>
      <w:t xml:space="preserve">Předpis provozního ředitele  </w:t>
    </w:r>
    <w:r w:rsidR="002E185D">
      <w:rPr>
        <w:rFonts w:ascii="Franklin Gothic Book" w:hAnsi="Franklin Gothic Book"/>
      </w:rPr>
      <w:t>14</w:t>
    </w:r>
    <w:r w:rsidRPr="005C62C7">
      <w:rPr>
        <w:rFonts w:ascii="Franklin Gothic Book" w:hAnsi="Franklin Gothic Book"/>
      </w:rPr>
      <w:t>/P</w:t>
    </w:r>
    <w:r w:rsidR="00E83A36">
      <w:rPr>
        <w:rFonts w:ascii="Franklin Gothic Book" w:hAnsi="Franklin Gothic Book"/>
      </w:rPr>
      <w:t>Ř/10/01/2020 Řízení skladů, V</w:t>
    </w:r>
    <w:r w:rsidR="0084138F">
      <w:rPr>
        <w:rFonts w:ascii="Franklin Gothic Book" w:hAnsi="Franklin Gothic Book"/>
      </w:rPr>
      <w:t>1</w:t>
    </w:r>
    <w:r w:rsidR="00E83A36">
      <w:rPr>
        <w:rFonts w:ascii="Franklin Gothic Book" w:hAnsi="Franklin Gothic Book"/>
      </w:rPr>
      <w:t>R</w:t>
    </w:r>
    <w:r w:rsidR="0084138F" w:rsidRPr="0046547C">
      <w:rPr>
        <w:rFonts w:ascii="Franklin Gothic Book" w:hAnsi="Franklin Gothic Book"/>
      </w:rPr>
      <w:t>1</w:t>
    </w:r>
  </w:p>
  <w:p w14:paraId="1B517B9F" w14:textId="77777777" w:rsidR="005C62C7" w:rsidRPr="005C62C7" w:rsidRDefault="005C62C7" w:rsidP="005C62C7">
    <w:pPr>
      <w:tabs>
        <w:tab w:val="center" w:pos="4536"/>
        <w:tab w:val="right" w:pos="9072"/>
      </w:tabs>
      <w:jc w:val="center"/>
      <w:rPr>
        <w:rFonts w:ascii="Franklin Gothic Book" w:hAnsi="Franklin Gothic Book"/>
        <w:b/>
      </w:rPr>
    </w:pPr>
    <w:r w:rsidRPr="005C62C7">
      <w:rPr>
        <w:rFonts w:ascii="Franklin Gothic Book" w:hAnsi="Franklin Gothic Book"/>
        <w:b/>
      </w:rPr>
      <w:t>Příloha č. 12.6 Stanovení zón s nebezpečím výbuchu při větrání nádrží s hořlavými kapalinami I. a II. třídy - příklady</w:t>
    </w:r>
  </w:p>
  <w:p w14:paraId="1B517BA0" w14:textId="2A138031" w:rsidR="00041645" w:rsidRDefault="005C62C7">
    <w:pPr>
      <w:pStyle w:val="Zhlav"/>
    </w:pPr>
    <w:r>
      <w:rPr>
        <w:rFonts w:ascii="Franklin Gothic Book" w:hAnsi="Franklin Gothic Book"/>
      </w:rPr>
      <w:t xml:space="preserve">                                                                                                                                                           </w:t>
    </w:r>
    <w:r w:rsidR="00F34D2A">
      <w:rPr>
        <w:rFonts w:ascii="Franklin Gothic Book" w:hAnsi="Franklin Gothic Book"/>
      </w:rPr>
      <w:t xml:space="preserve">                  </w:t>
    </w:r>
    <w:r>
      <w:rPr>
        <w:rFonts w:ascii="Franklin Gothic Book" w:hAnsi="Franklin Gothic Book"/>
      </w:rPr>
      <w:t xml:space="preserve">  </w:t>
    </w:r>
    <w:r w:rsidRPr="008E0AB7">
      <w:rPr>
        <w:rFonts w:ascii="Franklin Gothic Book" w:hAnsi="Franklin Gothic Book"/>
      </w:rPr>
      <w:t xml:space="preserve">Stránka </w:t>
    </w:r>
    <w:r w:rsidRPr="008E0AB7">
      <w:rPr>
        <w:rFonts w:ascii="Franklin Gothic Book" w:hAnsi="Franklin Gothic Book"/>
        <w:b/>
      </w:rPr>
      <w:fldChar w:fldCharType="begin"/>
    </w:r>
    <w:r w:rsidRPr="008E0AB7">
      <w:rPr>
        <w:rFonts w:ascii="Franklin Gothic Book" w:hAnsi="Franklin Gothic Book"/>
        <w:b/>
      </w:rPr>
      <w:instrText>PAGE  \* Arabic  \* MERGEFORMAT</w:instrText>
    </w:r>
    <w:r w:rsidRPr="008E0AB7">
      <w:rPr>
        <w:rFonts w:ascii="Franklin Gothic Book" w:hAnsi="Franklin Gothic Book"/>
        <w:b/>
      </w:rPr>
      <w:fldChar w:fldCharType="separate"/>
    </w:r>
    <w:r w:rsidR="00DE4AB1">
      <w:rPr>
        <w:rFonts w:ascii="Franklin Gothic Book" w:hAnsi="Franklin Gothic Book"/>
        <w:b/>
        <w:noProof/>
      </w:rPr>
      <w:t>1</w:t>
    </w:r>
    <w:r w:rsidRPr="008E0AB7">
      <w:rPr>
        <w:rFonts w:ascii="Franklin Gothic Book" w:hAnsi="Franklin Gothic Book"/>
        <w:b/>
      </w:rPr>
      <w:fldChar w:fldCharType="end"/>
    </w:r>
    <w:r w:rsidRPr="008E0AB7">
      <w:rPr>
        <w:rFonts w:ascii="Franklin Gothic Book" w:hAnsi="Franklin Gothic Book"/>
      </w:rPr>
      <w:t xml:space="preserve"> z </w:t>
    </w:r>
    <w:r w:rsidRPr="008E0AB7">
      <w:rPr>
        <w:rFonts w:ascii="Franklin Gothic Book" w:hAnsi="Franklin Gothic Book"/>
        <w:b/>
      </w:rPr>
      <w:fldChar w:fldCharType="begin"/>
    </w:r>
    <w:r w:rsidRPr="008E0AB7">
      <w:rPr>
        <w:rFonts w:ascii="Franklin Gothic Book" w:hAnsi="Franklin Gothic Book"/>
        <w:b/>
      </w:rPr>
      <w:instrText>NUMPAGES  \* Arabic  \* MERGEFORMAT</w:instrText>
    </w:r>
    <w:r w:rsidRPr="008E0AB7">
      <w:rPr>
        <w:rFonts w:ascii="Franklin Gothic Book" w:hAnsi="Franklin Gothic Book"/>
        <w:b/>
      </w:rPr>
      <w:fldChar w:fldCharType="separate"/>
    </w:r>
    <w:r w:rsidR="00DE4AB1">
      <w:rPr>
        <w:rFonts w:ascii="Franklin Gothic Book" w:hAnsi="Franklin Gothic Book"/>
        <w:b/>
        <w:noProof/>
      </w:rPr>
      <w:t>4</w:t>
    </w:r>
    <w:r w:rsidRPr="008E0AB7">
      <w:rPr>
        <w:rFonts w:ascii="Franklin Gothic Book" w:hAnsi="Franklin Gothic Book"/>
        <w:b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11922"/>
    <w:multiLevelType w:val="hybridMultilevel"/>
    <w:tmpl w:val="C2A6E7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1645"/>
    <w:rsid w:val="00007070"/>
    <w:rsid w:val="00041645"/>
    <w:rsid w:val="000B54D5"/>
    <w:rsid w:val="001243DB"/>
    <w:rsid w:val="00257A72"/>
    <w:rsid w:val="00294956"/>
    <w:rsid w:val="002E185D"/>
    <w:rsid w:val="002F1566"/>
    <w:rsid w:val="00336B24"/>
    <w:rsid w:val="00392AB5"/>
    <w:rsid w:val="003A55D2"/>
    <w:rsid w:val="003E3E7B"/>
    <w:rsid w:val="00412793"/>
    <w:rsid w:val="00417E47"/>
    <w:rsid w:val="004326D1"/>
    <w:rsid w:val="00463B5E"/>
    <w:rsid w:val="0046547C"/>
    <w:rsid w:val="005710CD"/>
    <w:rsid w:val="005B53B7"/>
    <w:rsid w:val="005C62C7"/>
    <w:rsid w:val="0060709D"/>
    <w:rsid w:val="006A46A0"/>
    <w:rsid w:val="006A64DE"/>
    <w:rsid w:val="00797E0B"/>
    <w:rsid w:val="00836511"/>
    <w:rsid w:val="0084138F"/>
    <w:rsid w:val="00862EF6"/>
    <w:rsid w:val="008E016D"/>
    <w:rsid w:val="00970D6D"/>
    <w:rsid w:val="0098713F"/>
    <w:rsid w:val="00A847C3"/>
    <w:rsid w:val="00AC0D34"/>
    <w:rsid w:val="00CA4C83"/>
    <w:rsid w:val="00DE4AB1"/>
    <w:rsid w:val="00E83A36"/>
    <w:rsid w:val="00EE69F5"/>
    <w:rsid w:val="00EF4D36"/>
    <w:rsid w:val="00F002CA"/>
    <w:rsid w:val="00F34D2A"/>
    <w:rsid w:val="00F479EA"/>
    <w:rsid w:val="00F7218E"/>
    <w:rsid w:val="00F866D6"/>
    <w:rsid w:val="00FF1D41"/>
    <w:rsid w:val="00FF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B517B5F"/>
  <w15:docId w15:val="{CAB9ED32-3199-4367-AE18-6A0696F5B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16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416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4164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416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4164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04164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3651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651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97E0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97E0B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97E0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97E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97E0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E016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file:///\\rou-fs-02\PU\N&#225;dr&#382;e\VVU&#218;\Odv&#283;tr&#225;n&#237;%20n&#225;dr&#382;&#237;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ED2ED08004F544933C52F53EC4B490" ma:contentTypeVersion="4" ma:contentTypeDescription="Vytvoří nový dokument" ma:contentTypeScope="" ma:versionID="89e73d6d06cd9041657845845077ff8e">
  <xsd:schema xmlns:xsd="http://www.w3.org/2001/XMLSchema" xmlns:xs="http://www.w3.org/2001/XMLSchema" xmlns:p="http://schemas.microsoft.com/office/2006/metadata/properties" xmlns:ns2="558efd2c-6a25-4acc-a798-af7004706fb4" xmlns:ns3="76fe3ca3-4e83-4e81-8a49-7c7f7287c54c" targetNamespace="http://schemas.microsoft.com/office/2006/metadata/properties" ma:root="true" ma:fieldsID="cc566325c63699d1edcfe102f52d5594" ns2:_="" ns3:_="">
    <xsd:import namespace="558efd2c-6a25-4acc-a798-af7004706fb4"/>
    <xsd:import namespace="76fe3ca3-4e83-4e81-8a49-7c7f7287c5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8efd2c-6a25-4acc-a798-af7004706f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e3ca3-4e83-4e81-8a49-7c7f7287c5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B9BF0D-0164-45CE-A5CE-BD03D37DC7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EF153C-A66D-4B7A-AC84-EC851E9162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B69B83A-3FE6-429A-8787-17D80FA9E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8efd2c-6a25-4acc-a798-af7004706fb4"/>
    <ds:schemaRef ds:uri="76fe3ca3-4e83-4e81-8a49-7c7f7287c5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202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Stejskal Zdeněk</dc:creator>
  <cp:lastModifiedBy>Bednář Oldřich</cp:lastModifiedBy>
  <cp:revision>7</cp:revision>
  <cp:lastPrinted>2021-02-22T10:31:00Z</cp:lastPrinted>
  <dcterms:created xsi:type="dcterms:W3CDTF">2021-08-24T10:08:00Z</dcterms:created>
  <dcterms:modified xsi:type="dcterms:W3CDTF">2022-03-08T11:04:00Z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0x01010000ED2ED08004F544933C52F53EC4B490</vt:lpwstr>
  </property>
</Properties>
</file>