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2F" w:rsidRDefault="00CE564D" w:rsidP="003C282F">
      <w:pPr>
        <w:spacing w:line="320" w:lineRule="exac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Tabulka max. doby pobytu v prostředí par uhlovodíků, oxidu uhelnatého a limitní obsah kyslíku při práci v uzavřených nádobách a prostorech</w:t>
      </w:r>
    </w:p>
    <w:p w:rsidR="00CE564D" w:rsidRDefault="00CE564D" w:rsidP="003C282F">
      <w:pPr>
        <w:spacing w:line="320" w:lineRule="exact"/>
        <w:jc w:val="center"/>
        <w:rPr>
          <w:szCs w:val="24"/>
        </w:rPr>
      </w:pPr>
      <w:r>
        <w:rPr>
          <w:szCs w:val="24"/>
        </w:rPr>
        <w:t>Při měření zařízením k detekci hořlavých plynů a par, oxidu uhelnatého a kyslíku</w:t>
      </w:r>
    </w:p>
    <w:p w:rsidR="00CE564D" w:rsidRPr="00E36EFD" w:rsidRDefault="00CE564D" w:rsidP="00E36EFD"/>
    <w:p w:rsidR="00302BAF" w:rsidRPr="00E36EFD" w:rsidRDefault="00302BAF" w:rsidP="00E36EFD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1262"/>
        <w:gridCol w:w="1262"/>
        <w:gridCol w:w="1262"/>
        <w:gridCol w:w="1262"/>
        <w:gridCol w:w="1258"/>
      </w:tblGrid>
      <w:tr w:rsidR="00E36EFD" w:rsidRPr="00E36EFD" w:rsidTr="00A046C3">
        <w:trPr>
          <w:trHeight w:val="73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27E21" w:rsidRPr="00E36EFD" w:rsidRDefault="00627E21" w:rsidP="00627E21">
            <w:pPr>
              <w:spacing w:before="0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6EFD" w:rsidRDefault="00627E21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mg.m</w:t>
            </w:r>
            <w:r w:rsidRPr="00E36EFD">
              <w:rPr>
                <w:rFonts w:eastAsia="Times New Roman" w:cs="Calibri"/>
                <w:color w:val="000000"/>
                <w:sz w:val="20"/>
                <w:szCs w:val="20"/>
                <w:vertAlign w:val="superscript"/>
                <w:lang w:eastAsia="cs-CZ"/>
              </w:rPr>
              <w:t>-3</w:t>
            </w: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627E21" w:rsidRPr="00E36EFD" w:rsidRDefault="00627E21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(dle NV 361/2007 Sb.)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7E21" w:rsidRPr="00E36EFD" w:rsidRDefault="00627E21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% </w:t>
            </w:r>
            <w:proofErr w:type="spellStart"/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obj</w:t>
            </w:r>
            <w:proofErr w:type="spellEnd"/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7E21" w:rsidRPr="00E36EFD" w:rsidRDefault="00627E21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% DMV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6EFD" w:rsidRDefault="00627E21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mg.m</w:t>
            </w:r>
            <w:r w:rsidRPr="00E36EFD">
              <w:rPr>
                <w:rFonts w:eastAsia="Times New Roman" w:cs="Calibri"/>
                <w:color w:val="000000"/>
                <w:sz w:val="20"/>
                <w:szCs w:val="20"/>
                <w:vertAlign w:val="superscript"/>
                <w:lang w:eastAsia="cs-CZ"/>
              </w:rPr>
              <w:t>-3</w:t>
            </w: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627E21" w:rsidRPr="00E36EFD" w:rsidRDefault="00627E21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(dle NV 361/2007 Sb.)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7E21" w:rsidRPr="00E36EFD" w:rsidRDefault="00627E21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ppm</w:t>
            </w:r>
            <w:proofErr w:type="spellEnd"/>
          </w:p>
        </w:tc>
      </w:tr>
      <w:tr w:rsidR="00E36EFD" w:rsidRPr="00E36EFD" w:rsidTr="00E36EFD">
        <w:trPr>
          <w:trHeight w:val="737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6EFD" w:rsidRPr="00E36EFD" w:rsidRDefault="00E36EFD" w:rsidP="00627E21">
            <w:pPr>
              <w:spacing w:before="0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Max. doba pobytu</w:t>
            </w:r>
          </w:p>
        </w:tc>
        <w:tc>
          <w:tcPr>
            <w:tcW w:w="205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6EFD" w:rsidRPr="00E36EFD" w:rsidRDefault="00E36EFD" w:rsidP="00627E21">
            <w:pPr>
              <w:spacing w:before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Uhlovodíkové páry</w:t>
            </w:r>
          </w:p>
        </w:tc>
        <w:tc>
          <w:tcPr>
            <w:tcW w:w="136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6EFD" w:rsidRPr="00E36EFD" w:rsidRDefault="00E36EFD" w:rsidP="00627E21">
            <w:pPr>
              <w:spacing w:before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Oxid uhelnatý (CO)</w:t>
            </w:r>
          </w:p>
        </w:tc>
      </w:tr>
      <w:tr w:rsidR="00E36EFD" w:rsidRPr="00E36EFD" w:rsidTr="00A046C3">
        <w:trPr>
          <w:trHeight w:val="737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E21" w:rsidRPr="00E36EFD" w:rsidRDefault="00627E21" w:rsidP="00627E21">
            <w:pPr>
              <w:spacing w:before="0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 hodin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E21" w:rsidRPr="00E36EFD" w:rsidRDefault="00627E21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&lt;</w:t>
            </w: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400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E21" w:rsidRPr="00E36EFD" w:rsidRDefault="00627E21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0,01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E21" w:rsidRPr="00E36EFD" w:rsidRDefault="00627E21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E21" w:rsidRPr="00E36EFD" w:rsidRDefault="00627E21" w:rsidP="00E36EFD">
            <w:pPr>
              <w:jc w:val="center"/>
              <w:rPr>
                <w:sz w:val="20"/>
                <w:szCs w:val="20"/>
              </w:rPr>
            </w:pPr>
            <w:r w:rsidRPr="00A046C3">
              <w:rPr>
                <w:sz w:val="20"/>
                <w:szCs w:val="20"/>
              </w:rPr>
              <w:t xml:space="preserve">&lt; </w:t>
            </w:r>
            <w:r w:rsidRPr="00E36EFD">
              <w:rPr>
                <w:sz w:val="20"/>
                <w:szCs w:val="20"/>
              </w:rPr>
              <w:t>23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E21" w:rsidRPr="00E36EFD" w:rsidRDefault="00627E21" w:rsidP="00E36EFD">
            <w:pPr>
              <w:jc w:val="center"/>
              <w:rPr>
                <w:sz w:val="20"/>
                <w:szCs w:val="20"/>
              </w:rPr>
            </w:pPr>
            <w:r w:rsidRPr="00A046C3">
              <w:rPr>
                <w:sz w:val="20"/>
                <w:szCs w:val="20"/>
              </w:rPr>
              <w:t xml:space="preserve">&lt; </w:t>
            </w:r>
            <w:r w:rsidRPr="00E36EFD">
              <w:rPr>
                <w:sz w:val="20"/>
                <w:szCs w:val="20"/>
              </w:rPr>
              <w:t>20</w:t>
            </w:r>
          </w:p>
        </w:tc>
      </w:tr>
      <w:tr w:rsidR="00E36EFD" w:rsidRPr="00E36EFD" w:rsidTr="00A046C3">
        <w:trPr>
          <w:trHeight w:val="765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FD" w:rsidRPr="00E36EFD" w:rsidRDefault="00E36EFD" w:rsidP="00E36EFD">
            <w:pPr>
              <w:spacing w:before="0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 hodina (maximální doba pobytu po dobu 8 hodin rozdělená do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čtyř</w:t>
            </w: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15 min. úseků s hodinovou přestávkou</w:t>
            </w:r>
            <w:r w:rsidR="00540DEE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mezi nimi</w:t>
            </w: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EFD" w:rsidRPr="00E36EFD" w:rsidRDefault="00E36EFD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401 - 1000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EFD" w:rsidRPr="00E36EFD" w:rsidRDefault="00E36EFD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0,01 - 0,029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EFD" w:rsidRPr="00E36EFD" w:rsidRDefault="00E36EFD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2 - 4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EFD" w:rsidRPr="00E36EFD" w:rsidRDefault="00E36EFD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24 – 117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EFD" w:rsidRPr="00E36EFD" w:rsidRDefault="00E36EFD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 – 100</w:t>
            </w:r>
          </w:p>
        </w:tc>
      </w:tr>
      <w:tr w:rsidR="00E36EFD" w:rsidRPr="00E36EFD" w:rsidTr="00A046C3">
        <w:trPr>
          <w:trHeight w:val="737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FD" w:rsidRPr="00E36EFD" w:rsidRDefault="00E36EFD" w:rsidP="00627E21">
            <w:pPr>
              <w:spacing w:before="0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Jen v dýchací technice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EFD" w:rsidRPr="00E36EFD" w:rsidRDefault="00E36EFD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1001 - 4999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EFD" w:rsidRPr="00E36EFD" w:rsidRDefault="00E36EFD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0,03 - 0,184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EFD" w:rsidRPr="00E36EFD" w:rsidRDefault="00E36EFD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5 - 24</w:t>
            </w:r>
          </w:p>
        </w:tc>
        <w:tc>
          <w:tcPr>
            <w:tcW w:w="6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EFD" w:rsidRPr="00E36EFD" w:rsidRDefault="00E36EFD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EFD" w:rsidRPr="00E36EFD" w:rsidRDefault="00E36EFD" w:rsidP="00627E21">
            <w:pPr>
              <w:spacing w:before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6EFD" w:rsidRPr="00E36EFD" w:rsidTr="00E36EFD">
        <w:trPr>
          <w:trHeight w:val="737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E21" w:rsidRPr="00E36EFD" w:rsidRDefault="00627E21" w:rsidP="00627E21">
            <w:pPr>
              <w:spacing w:before="0"/>
              <w:jc w:val="left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  <w:t>Zákaz vstupu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E21" w:rsidRPr="00E36EFD" w:rsidRDefault="00627E21" w:rsidP="00627E21">
            <w:pPr>
              <w:spacing w:before="0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  <w:t>5000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E21" w:rsidRPr="00E36EFD" w:rsidRDefault="00627E21" w:rsidP="00627E21">
            <w:pPr>
              <w:spacing w:before="0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  <w:t>0,185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E21" w:rsidRPr="00E36EFD" w:rsidRDefault="00627E21" w:rsidP="00627E21">
            <w:pPr>
              <w:spacing w:before="0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E21" w:rsidRPr="00E36EFD" w:rsidRDefault="00302BAF" w:rsidP="00627E21">
            <w:pPr>
              <w:spacing w:before="0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E21" w:rsidRPr="00E36EFD" w:rsidRDefault="00302BAF" w:rsidP="00627E21">
            <w:pPr>
              <w:spacing w:before="0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E36EFD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cs-CZ"/>
              </w:rPr>
              <w:t>101</w:t>
            </w:r>
          </w:p>
        </w:tc>
      </w:tr>
    </w:tbl>
    <w:p w:rsidR="00CE564D" w:rsidRDefault="00CE564D" w:rsidP="00CE564D">
      <w:pPr>
        <w:spacing w:line="320" w:lineRule="exact"/>
        <w:jc w:val="left"/>
        <w:rPr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1"/>
      </w:tblGrid>
      <w:tr w:rsidR="000035BD" w:rsidTr="00E36EFD">
        <w:tc>
          <w:tcPr>
            <w:tcW w:w="2501" w:type="pct"/>
          </w:tcPr>
          <w:p w:rsidR="000035BD" w:rsidRDefault="000035BD" w:rsidP="000035BD">
            <w:pPr>
              <w:spacing w:line="240" w:lineRule="atLeast"/>
            </w:pPr>
            <w:r>
              <w:t>Doba pobytu pro uhlovodíkové plyny a páry</w:t>
            </w:r>
            <w:r w:rsidR="00E36EFD">
              <w:t>:</w:t>
            </w:r>
          </w:p>
        </w:tc>
        <w:tc>
          <w:tcPr>
            <w:tcW w:w="2499" w:type="pct"/>
          </w:tcPr>
          <w:p w:rsidR="000035BD" w:rsidRDefault="000035BD" w:rsidP="000035BD">
            <w:pPr>
              <w:spacing w:line="240" w:lineRule="atLeast"/>
            </w:pPr>
            <w:r w:rsidRPr="009B55FC">
              <w:t xml:space="preserve">0-4 % </w:t>
            </w:r>
            <w:proofErr w:type="spellStart"/>
            <w:r w:rsidRPr="009B55FC">
              <w:t>obj</w:t>
            </w:r>
            <w:proofErr w:type="spellEnd"/>
            <w:r w:rsidRPr="009B55FC">
              <w:t>. DMV pro uvedené doby pobytu</w:t>
            </w:r>
          </w:p>
        </w:tc>
      </w:tr>
      <w:tr w:rsidR="000035BD" w:rsidTr="00E36EFD">
        <w:tc>
          <w:tcPr>
            <w:tcW w:w="2501" w:type="pct"/>
          </w:tcPr>
          <w:p w:rsidR="000035BD" w:rsidRDefault="000035BD" w:rsidP="000035BD">
            <w:pPr>
              <w:spacing w:line="240" w:lineRule="atLeast"/>
            </w:pPr>
          </w:p>
        </w:tc>
        <w:tc>
          <w:tcPr>
            <w:tcW w:w="2499" w:type="pct"/>
          </w:tcPr>
          <w:p w:rsidR="000035BD" w:rsidRDefault="000035BD" w:rsidP="000035BD">
            <w:pPr>
              <w:spacing w:line="240" w:lineRule="atLeast"/>
            </w:pPr>
            <w:r>
              <w:t>5-24</w:t>
            </w:r>
            <w:r w:rsidRPr="009B55FC">
              <w:t xml:space="preserve"> % </w:t>
            </w:r>
            <w:proofErr w:type="spellStart"/>
            <w:r w:rsidRPr="009B55FC">
              <w:t>obj</w:t>
            </w:r>
            <w:proofErr w:type="spellEnd"/>
            <w:r w:rsidRPr="009B55FC">
              <w:t>. DMV při použití dýchacího přístroje</w:t>
            </w:r>
          </w:p>
        </w:tc>
      </w:tr>
      <w:tr w:rsidR="000035BD" w:rsidTr="00E36EFD">
        <w:tc>
          <w:tcPr>
            <w:tcW w:w="2501" w:type="pct"/>
          </w:tcPr>
          <w:p w:rsidR="000035BD" w:rsidRDefault="000035BD" w:rsidP="000035BD">
            <w:pPr>
              <w:spacing w:line="240" w:lineRule="atLeast"/>
            </w:pPr>
          </w:p>
        </w:tc>
        <w:tc>
          <w:tcPr>
            <w:tcW w:w="2499" w:type="pct"/>
          </w:tcPr>
          <w:p w:rsidR="000035BD" w:rsidRDefault="000035BD" w:rsidP="000035BD">
            <w:pPr>
              <w:spacing w:line="240" w:lineRule="atLeast"/>
            </w:pPr>
            <w:r w:rsidRPr="009B55FC">
              <w:t xml:space="preserve">nad 25 % </w:t>
            </w:r>
            <w:proofErr w:type="spellStart"/>
            <w:r w:rsidRPr="009B55FC">
              <w:t>obj</w:t>
            </w:r>
            <w:proofErr w:type="spellEnd"/>
            <w:r w:rsidRPr="009B55FC">
              <w:t>. DMV - zákaz vstupu</w:t>
            </w:r>
          </w:p>
        </w:tc>
      </w:tr>
    </w:tbl>
    <w:p w:rsidR="000035BD" w:rsidRDefault="000035BD" w:rsidP="000035BD">
      <w:pPr>
        <w:spacing w:line="240" w:lineRule="atLeast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1"/>
      </w:tblGrid>
      <w:tr w:rsidR="000035BD" w:rsidTr="00E36EFD">
        <w:tc>
          <w:tcPr>
            <w:tcW w:w="2501" w:type="pct"/>
          </w:tcPr>
          <w:p w:rsidR="000035BD" w:rsidRDefault="000035BD" w:rsidP="00DC4117">
            <w:pPr>
              <w:spacing w:line="240" w:lineRule="atLeast"/>
            </w:pPr>
            <w:r>
              <w:rPr>
                <w:bCs/>
              </w:rPr>
              <w:t>Doba pobytu pro oxid uhelnatý (CO)</w:t>
            </w:r>
            <w:r w:rsidR="00E36EFD">
              <w:rPr>
                <w:bCs/>
              </w:rPr>
              <w:t>:</w:t>
            </w:r>
          </w:p>
        </w:tc>
        <w:tc>
          <w:tcPr>
            <w:tcW w:w="2499" w:type="pct"/>
          </w:tcPr>
          <w:p w:rsidR="000035BD" w:rsidRDefault="000035BD" w:rsidP="000035BD">
            <w:pPr>
              <w:spacing w:line="240" w:lineRule="atLeast"/>
            </w:pPr>
            <w:r>
              <w:t>0 - 20</w:t>
            </w:r>
            <w:r w:rsidRPr="009B55FC">
              <w:t xml:space="preserve"> </w:t>
            </w:r>
            <w:proofErr w:type="spellStart"/>
            <w:r>
              <w:t>ppm</w:t>
            </w:r>
            <w:proofErr w:type="spellEnd"/>
            <w:r>
              <w:t xml:space="preserve"> – bezpečný pobyt bez omezení</w:t>
            </w:r>
          </w:p>
        </w:tc>
      </w:tr>
      <w:tr w:rsidR="000035BD" w:rsidTr="00E36EFD">
        <w:tc>
          <w:tcPr>
            <w:tcW w:w="2501" w:type="pct"/>
          </w:tcPr>
          <w:p w:rsidR="000035BD" w:rsidRDefault="000035BD" w:rsidP="00DC4117">
            <w:pPr>
              <w:spacing w:line="240" w:lineRule="atLeast"/>
            </w:pPr>
          </w:p>
        </w:tc>
        <w:tc>
          <w:tcPr>
            <w:tcW w:w="2499" w:type="pct"/>
          </w:tcPr>
          <w:p w:rsidR="000035BD" w:rsidRDefault="000035BD" w:rsidP="00E36EFD">
            <w:pPr>
              <w:spacing w:line="240" w:lineRule="atLeast"/>
            </w:pPr>
            <w:r>
              <w:t xml:space="preserve">21 </w:t>
            </w:r>
            <w:r w:rsidRPr="009B55FC">
              <w:t>-</w:t>
            </w:r>
            <w:r w:rsidR="00302BAF">
              <w:t xml:space="preserve"> 100</w:t>
            </w:r>
            <w:r w:rsidRPr="009B55FC">
              <w:t xml:space="preserve"> </w:t>
            </w:r>
            <w:proofErr w:type="spellStart"/>
            <w:r>
              <w:t>ppm</w:t>
            </w:r>
            <w:proofErr w:type="spellEnd"/>
            <w:r>
              <w:t xml:space="preserve"> – nutno přijmout opatření spočívající v odvětrání pracoviště, omezení doby pobytu na pracovišti na max</w:t>
            </w:r>
            <w:r w:rsidR="00E36EFD">
              <w:t>.</w:t>
            </w:r>
            <w:r>
              <w:t xml:space="preserve"> 15 minut nebo použití </w:t>
            </w:r>
            <w:r w:rsidR="00E36EFD">
              <w:t>dýchací techniky</w:t>
            </w:r>
          </w:p>
        </w:tc>
      </w:tr>
      <w:tr w:rsidR="000035BD" w:rsidTr="00E36EFD">
        <w:tc>
          <w:tcPr>
            <w:tcW w:w="2501" w:type="pct"/>
          </w:tcPr>
          <w:p w:rsidR="000035BD" w:rsidRDefault="000035BD" w:rsidP="00DC4117">
            <w:pPr>
              <w:spacing w:line="240" w:lineRule="atLeast"/>
            </w:pPr>
          </w:p>
        </w:tc>
        <w:tc>
          <w:tcPr>
            <w:tcW w:w="2499" w:type="pct"/>
          </w:tcPr>
          <w:p w:rsidR="000035BD" w:rsidRDefault="00302BAF" w:rsidP="00DC4117">
            <w:pPr>
              <w:spacing w:line="240" w:lineRule="atLeast"/>
            </w:pPr>
            <w:r>
              <w:t>nad 101</w:t>
            </w:r>
            <w:r w:rsidR="000035BD">
              <w:t xml:space="preserve"> </w:t>
            </w:r>
            <w:proofErr w:type="spellStart"/>
            <w:r w:rsidR="000035BD">
              <w:t>ppm</w:t>
            </w:r>
            <w:proofErr w:type="spellEnd"/>
            <w:r w:rsidR="000035BD" w:rsidRPr="009B55FC">
              <w:t xml:space="preserve"> </w:t>
            </w:r>
            <w:r w:rsidR="00E36EFD">
              <w:t>–</w:t>
            </w:r>
            <w:r w:rsidR="000035BD" w:rsidRPr="009B55FC">
              <w:t xml:space="preserve"> zákaz vstupu</w:t>
            </w:r>
          </w:p>
        </w:tc>
      </w:tr>
    </w:tbl>
    <w:p w:rsidR="000035BD" w:rsidRDefault="000035BD" w:rsidP="000035BD">
      <w:pPr>
        <w:rPr>
          <w:bCs/>
        </w:rPr>
      </w:pPr>
    </w:p>
    <w:p w:rsidR="000035BD" w:rsidRDefault="000035BD" w:rsidP="000035BD">
      <w:pPr>
        <w:rPr>
          <w:bCs/>
        </w:rPr>
      </w:pPr>
      <w:r w:rsidRPr="008A0AAE">
        <w:rPr>
          <w:bCs/>
        </w:rPr>
        <w:t>P</w:t>
      </w:r>
      <w:r>
        <w:rPr>
          <w:bCs/>
        </w:rPr>
        <w:t xml:space="preserve">ři provádění </w:t>
      </w:r>
      <w:r w:rsidRPr="008A0AAE">
        <w:rPr>
          <w:bCs/>
        </w:rPr>
        <w:t>měření koncentrace kyslíku</w:t>
      </w:r>
      <w:r>
        <w:rPr>
          <w:bCs/>
        </w:rPr>
        <w:t xml:space="preserve"> (O</w:t>
      </w:r>
      <w:r>
        <w:rPr>
          <w:bCs/>
          <w:vertAlign w:val="subscript"/>
        </w:rPr>
        <w:t>2</w:t>
      </w:r>
      <w:r>
        <w:rPr>
          <w:bCs/>
        </w:rPr>
        <w:t>)</w:t>
      </w:r>
      <w:r w:rsidRPr="008A0AAE">
        <w:rPr>
          <w:bCs/>
        </w:rPr>
        <w:t xml:space="preserve"> v</w:t>
      </w:r>
      <w:r>
        <w:rPr>
          <w:bCs/>
        </w:rPr>
        <w:t> </w:t>
      </w:r>
      <w:r w:rsidRPr="008A0AAE">
        <w:rPr>
          <w:bCs/>
        </w:rPr>
        <w:t>ovzduší</w:t>
      </w:r>
      <w:r>
        <w:rPr>
          <w:bCs/>
        </w:rPr>
        <w:t xml:space="preserve">, je nejméně přípustná koncentrace kyslíku v ovzduší 20,0 % </w:t>
      </w:r>
      <w:proofErr w:type="spellStart"/>
      <w:r>
        <w:rPr>
          <w:bCs/>
        </w:rPr>
        <w:t>obj</w:t>
      </w:r>
      <w:proofErr w:type="spellEnd"/>
      <w:r>
        <w:rPr>
          <w:bCs/>
        </w:rPr>
        <w:t>.</w:t>
      </w:r>
      <w:r w:rsidR="00302BAF">
        <w:rPr>
          <w:bCs/>
        </w:rPr>
        <w:t xml:space="preserve"> Pod tuto hodnotu platí zákaz vstupu bez použití dýchací techniky.</w:t>
      </w:r>
    </w:p>
    <w:p w:rsidR="003A7117" w:rsidRDefault="003A7117" w:rsidP="00E36EFD"/>
    <w:p w:rsidR="00E36EFD" w:rsidRDefault="00E36EFD" w:rsidP="00E36EFD"/>
    <w:p w:rsidR="00E36EFD" w:rsidRPr="00A046C3" w:rsidRDefault="00E36EFD" w:rsidP="00E36EFD">
      <w:pPr>
        <w:rPr>
          <w:sz w:val="20"/>
          <w:szCs w:val="20"/>
        </w:rPr>
      </w:pPr>
      <w:r w:rsidRPr="00A046C3">
        <w:rPr>
          <w:sz w:val="20"/>
          <w:szCs w:val="20"/>
        </w:rPr>
        <w:t>Vysvětlivky:</w:t>
      </w:r>
    </w:p>
    <w:p w:rsidR="00E36EFD" w:rsidRPr="00A046C3" w:rsidRDefault="00E36EFD" w:rsidP="00E36EFD">
      <w:pPr>
        <w:rPr>
          <w:sz w:val="20"/>
          <w:szCs w:val="20"/>
        </w:rPr>
      </w:pPr>
      <w:r w:rsidRPr="00A046C3">
        <w:rPr>
          <w:sz w:val="20"/>
          <w:szCs w:val="20"/>
        </w:rPr>
        <w:t>DMV – dolní mez výbušnosti</w:t>
      </w:r>
    </w:p>
    <w:sectPr w:rsidR="00E36EFD" w:rsidRPr="00A046C3" w:rsidSect="003A7117">
      <w:headerReference w:type="default" r:id="rId8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250" w:rsidRDefault="00BA4250" w:rsidP="002A5D3F">
      <w:r>
        <w:separator/>
      </w:r>
    </w:p>
  </w:endnote>
  <w:endnote w:type="continuationSeparator" w:id="0">
    <w:p w:rsidR="00BA4250" w:rsidRDefault="00BA4250" w:rsidP="002A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250" w:rsidRDefault="00BA4250" w:rsidP="002A5D3F">
      <w:r>
        <w:separator/>
      </w:r>
    </w:p>
  </w:footnote>
  <w:footnote w:type="continuationSeparator" w:id="0">
    <w:p w:rsidR="00BA4250" w:rsidRDefault="00BA4250" w:rsidP="002A5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3F" w:rsidRPr="005865CE" w:rsidRDefault="00627E21" w:rsidP="000069E4">
    <w:pPr>
      <w:pStyle w:val="Zhlav"/>
      <w:rPr>
        <w:color w:val="050505"/>
      </w:rPr>
    </w:pPr>
    <w:r>
      <w:rPr>
        <w:color w:val="050505"/>
      </w:rPr>
      <w:t>Příloha č. 2</w:t>
    </w:r>
    <w:r w:rsidR="00500AA9">
      <w:rPr>
        <w:color w:val="050505"/>
      </w:rPr>
      <w:t>1</w:t>
    </w:r>
    <w:r w:rsidR="002A5D3F" w:rsidRPr="005865CE">
      <w:rPr>
        <w:color w:val="050505"/>
      </w:rPr>
      <w:t xml:space="preserve"> ke Směrnici vedoucího odboru HSE č. 03/HSE/03/00/2015</w:t>
    </w:r>
  </w:p>
  <w:p w:rsidR="002A5D3F" w:rsidRDefault="002A5D3F" w:rsidP="000069E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B91"/>
    <w:multiLevelType w:val="hybridMultilevel"/>
    <w:tmpl w:val="D6ECB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440E3"/>
    <w:multiLevelType w:val="hybridMultilevel"/>
    <w:tmpl w:val="2DD4A690"/>
    <w:lvl w:ilvl="0" w:tplc="C09A9000">
      <w:start w:val="6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45C8C"/>
    <w:multiLevelType w:val="hybridMultilevel"/>
    <w:tmpl w:val="8050F01A"/>
    <w:lvl w:ilvl="0" w:tplc="C09A9000">
      <w:start w:val="6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73BBA"/>
    <w:multiLevelType w:val="hybridMultilevel"/>
    <w:tmpl w:val="C3B0B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45922"/>
    <w:multiLevelType w:val="hybridMultilevel"/>
    <w:tmpl w:val="E94CB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B7051"/>
    <w:multiLevelType w:val="hybridMultilevel"/>
    <w:tmpl w:val="EAE289F0"/>
    <w:lvl w:ilvl="0" w:tplc="BB7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98"/>
    <w:rsid w:val="000035BD"/>
    <w:rsid w:val="00003886"/>
    <w:rsid w:val="000069E4"/>
    <w:rsid w:val="00052384"/>
    <w:rsid w:val="000A5889"/>
    <w:rsid w:val="000C233D"/>
    <w:rsid w:val="001239E9"/>
    <w:rsid w:val="00156EDD"/>
    <w:rsid w:val="001B3FFC"/>
    <w:rsid w:val="002A5D3F"/>
    <w:rsid w:val="002E6BB2"/>
    <w:rsid w:val="00302BAF"/>
    <w:rsid w:val="003A7117"/>
    <w:rsid w:val="003B3EB6"/>
    <w:rsid w:val="003C282F"/>
    <w:rsid w:val="003D3DCB"/>
    <w:rsid w:val="003E5091"/>
    <w:rsid w:val="003E78E9"/>
    <w:rsid w:val="004A6177"/>
    <w:rsid w:val="00500AA9"/>
    <w:rsid w:val="005335E4"/>
    <w:rsid w:val="00540DEE"/>
    <w:rsid w:val="005D7820"/>
    <w:rsid w:val="00627E21"/>
    <w:rsid w:val="00701217"/>
    <w:rsid w:val="00705881"/>
    <w:rsid w:val="00730BEE"/>
    <w:rsid w:val="0073270E"/>
    <w:rsid w:val="00736B28"/>
    <w:rsid w:val="007E7110"/>
    <w:rsid w:val="00805301"/>
    <w:rsid w:val="00825AA7"/>
    <w:rsid w:val="00826CC9"/>
    <w:rsid w:val="00890B4D"/>
    <w:rsid w:val="008A625B"/>
    <w:rsid w:val="008B4732"/>
    <w:rsid w:val="009136F2"/>
    <w:rsid w:val="00923486"/>
    <w:rsid w:val="00936BB0"/>
    <w:rsid w:val="00994345"/>
    <w:rsid w:val="009F2FCF"/>
    <w:rsid w:val="009F6135"/>
    <w:rsid w:val="00A046C3"/>
    <w:rsid w:val="00A26BE8"/>
    <w:rsid w:val="00A36458"/>
    <w:rsid w:val="00A7571B"/>
    <w:rsid w:val="00A87B44"/>
    <w:rsid w:val="00AA7DFA"/>
    <w:rsid w:val="00AC5D10"/>
    <w:rsid w:val="00B75CDA"/>
    <w:rsid w:val="00BA4250"/>
    <w:rsid w:val="00BB08E6"/>
    <w:rsid w:val="00BD58E3"/>
    <w:rsid w:val="00C13257"/>
    <w:rsid w:val="00CC1DAE"/>
    <w:rsid w:val="00CC578D"/>
    <w:rsid w:val="00CE564D"/>
    <w:rsid w:val="00CF36D1"/>
    <w:rsid w:val="00D35B24"/>
    <w:rsid w:val="00D85C77"/>
    <w:rsid w:val="00DD0099"/>
    <w:rsid w:val="00E36EFD"/>
    <w:rsid w:val="00E85816"/>
    <w:rsid w:val="00EC6398"/>
    <w:rsid w:val="00F04B5D"/>
    <w:rsid w:val="00F4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9E4"/>
    <w:pPr>
      <w:spacing w:before="120" w:after="0" w:line="240" w:lineRule="auto"/>
      <w:jc w:val="both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858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069E4"/>
    <w:pPr>
      <w:tabs>
        <w:tab w:val="center" w:pos="4536"/>
        <w:tab w:val="right" w:pos="9072"/>
      </w:tabs>
      <w:spacing w:before="0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0069E4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2A5D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D3F"/>
  </w:style>
  <w:style w:type="character" w:styleId="Hypertextovodkaz">
    <w:name w:val="Hyperlink"/>
    <w:basedOn w:val="Standardnpsmoodstavce"/>
    <w:uiPriority w:val="99"/>
    <w:rsid w:val="003B3EB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9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9E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C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A7117"/>
    <w:rPr>
      <w:rFonts w:ascii="Franklin Gothic Book" w:hAnsi="Franklin Gothic Book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36E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6E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EFD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E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EFD"/>
    <w:rPr>
      <w:rFonts w:ascii="Franklin Gothic Book" w:hAnsi="Franklin Gothic Book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9E4"/>
    <w:pPr>
      <w:spacing w:before="120" w:after="0" w:line="240" w:lineRule="auto"/>
      <w:jc w:val="both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858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069E4"/>
    <w:pPr>
      <w:tabs>
        <w:tab w:val="center" w:pos="4536"/>
        <w:tab w:val="right" w:pos="9072"/>
      </w:tabs>
      <w:spacing w:before="0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0069E4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2A5D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D3F"/>
  </w:style>
  <w:style w:type="character" w:styleId="Hypertextovodkaz">
    <w:name w:val="Hyperlink"/>
    <w:basedOn w:val="Standardnpsmoodstavce"/>
    <w:uiPriority w:val="99"/>
    <w:rsid w:val="003B3EB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9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9E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C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A7117"/>
    <w:rPr>
      <w:rFonts w:ascii="Franklin Gothic Book" w:hAnsi="Franklin Gothic Book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36E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6E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EFD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E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EFD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Pelikán</dc:creator>
  <cp:lastModifiedBy>Šonková Jitka</cp:lastModifiedBy>
  <cp:revision>2</cp:revision>
  <cp:lastPrinted>2020-04-03T08:14:00Z</cp:lastPrinted>
  <dcterms:created xsi:type="dcterms:W3CDTF">2020-09-21T08:50:00Z</dcterms:created>
  <dcterms:modified xsi:type="dcterms:W3CDTF">2020-09-21T08:50:00Z</dcterms:modified>
</cp:coreProperties>
</file>