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88B9" w14:textId="77777777" w:rsidR="00532888" w:rsidRPr="00435799" w:rsidRDefault="00532888" w:rsidP="00532888">
      <w:pPr>
        <w:rPr>
          <w:b/>
          <w:i/>
        </w:rPr>
      </w:pPr>
      <w:r w:rsidRPr="00435799">
        <w:rPr>
          <w:b/>
          <w:i/>
        </w:rPr>
        <w:t>Matice přijatelnosti rizik v ČEPRO, a.s.:</w:t>
      </w:r>
    </w:p>
    <w:p w14:paraId="65ACD85A" w14:textId="77777777" w:rsidR="00532888" w:rsidRDefault="00532888" w:rsidP="00532888"/>
    <w:p w14:paraId="32F4E8E9" w14:textId="77777777" w:rsidR="00672A10" w:rsidRDefault="00672A10" w:rsidP="00E12505">
      <w:pPr>
        <w:tabs>
          <w:tab w:val="left" w:pos="4103"/>
          <w:tab w:val="left" w:pos="6120"/>
          <w:tab w:val="left" w:pos="8137"/>
          <w:tab w:val="left" w:pos="10154"/>
          <w:tab w:val="left" w:pos="12171"/>
        </w:tabs>
        <w:rPr>
          <w:b/>
        </w:rPr>
      </w:pPr>
      <w:r w:rsidRPr="00672A10">
        <w:rPr>
          <w:b/>
        </w:rPr>
        <w:t>Stupeň rizika: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994"/>
        <w:gridCol w:w="1994"/>
        <w:gridCol w:w="1994"/>
        <w:gridCol w:w="1994"/>
        <w:gridCol w:w="1949"/>
      </w:tblGrid>
      <w:tr w:rsidR="00E12505" w:rsidRPr="00E12505" w14:paraId="08BC523A" w14:textId="77777777" w:rsidTr="00E12505">
        <w:trPr>
          <w:trHeight w:val="552"/>
        </w:trPr>
        <w:tc>
          <w:tcPr>
            <w:tcW w:w="1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01E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Následek →</w:t>
            </w: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Pst výskytu ↓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4F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3B9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0D61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0EA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741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E12505" w:rsidRPr="00E12505" w14:paraId="0A869E45" w14:textId="77777777" w:rsidTr="00E12505">
        <w:trPr>
          <w:trHeight w:val="276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391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E619DE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7B2B7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3F81E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6800B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2F05F5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1C31FE79" w14:textId="77777777" w:rsidTr="00E12505">
        <w:trPr>
          <w:trHeight w:val="276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4B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F54EE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E1B2E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9891AB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1939D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6CCDC7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64F7C0F9" w14:textId="77777777" w:rsidTr="00E12505">
        <w:trPr>
          <w:trHeight w:val="276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181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9E188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1F8B2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02ADD32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774823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BB40A31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622274F5" w14:textId="77777777" w:rsidTr="00E12505">
        <w:trPr>
          <w:trHeight w:val="276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07B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C05C9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AC4E9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14FD2DE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E596A95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75AD17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71F9EF05" w14:textId="77777777" w:rsidTr="00E12505">
        <w:trPr>
          <w:trHeight w:val="288"/>
        </w:trPr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B3B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0147614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02CE1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2A9D0C7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7BB3C82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50D1560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Vysoké</w:t>
            </w:r>
          </w:p>
        </w:tc>
      </w:tr>
    </w:tbl>
    <w:p w14:paraId="1C538948" w14:textId="77777777" w:rsidR="00E12505" w:rsidRPr="00672A10" w:rsidRDefault="00E12505" w:rsidP="00672A10"/>
    <w:p w14:paraId="4BC64960" w14:textId="77777777" w:rsidR="00672A10" w:rsidRDefault="00672A10" w:rsidP="00E12505">
      <w:pPr>
        <w:tabs>
          <w:tab w:val="left" w:pos="4038"/>
          <w:tab w:val="left" w:pos="6165"/>
          <w:tab w:val="left" w:pos="8151"/>
          <w:tab w:val="left" w:pos="10134"/>
          <w:tab w:val="left" w:pos="12120"/>
        </w:tabs>
        <w:rPr>
          <w:b/>
        </w:rPr>
      </w:pPr>
      <w:r w:rsidRPr="00672A10">
        <w:rPr>
          <w:b/>
        </w:rPr>
        <w:t>Stupeň compliance rizika: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2103"/>
        <w:gridCol w:w="1963"/>
        <w:gridCol w:w="1960"/>
        <w:gridCol w:w="1963"/>
        <w:gridCol w:w="1999"/>
      </w:tblGrid>
      <w:tr w:rsidR="00E12505" w:rsidRPr="00E12505" w14:paraId="66466DD9" w14:textId="77777777" w:rsidTr="00E12505">
        <w:trPr>
          <w:trHeight w:val="552"/>
        </w:trPr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6E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Následek →</w:t>
            </w: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Pst výskytu ↓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23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B0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A2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28F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B7F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E12505" w:rsidRPr="00E12505" w14:paraId="636E558B" w14:textId="77777777" w:rsidTr="00E12505">
        <w:trPr>
          <w:trHeight w:val="276"/>
        </w:trPr>
        <w:tc>
          <w:tcPr>
            <w:tcW w:w="14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05F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7F5A74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BE0009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1448B0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356599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7877A5F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12D3F718" w14:textId="77777777" w:rsidTr="00E12505">
        <w:trPr>
          <w:trHeight w:val="276"/>
        </w:trPr>
        <w:tc>
          <w:tcPr>
            <w:tcW w:w="14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96D5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AB1AFB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36F27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008C8E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A1D0ECF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7CDF244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4E5F1931" w14:textId="77777777" w:rsidTr="00E12505">
        <w:trPr>
          <w:trHeight w:val="276"/>
        </w:trPr>
        <w:tc>
          <w:tcPr>
            <w:tcW w:w="14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05C5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D93D4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Nízké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114135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6FF7BB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23A5083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22F5F12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4003BC29" w14:textId="77777777" w:rsidTr="00E12505">
        <w:trPr>
          <w:trHeight w:val="276"/>
        </w:trPr>
        <w:tc>
          <w:tcPr>
            <w:tcW w:w="14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CF8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396CB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B0C5B10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40E193A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EAAA8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49DAD07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</w:tr>
      <w:tr w:rsidR="00E12505" w:rsidRPr="00E12505" w14:paraId="09AC12C1" w14:textId="77777777" w:rsidTr="00E12505">
        <w:trPr>
          <w:trHeight w:val="288"/>
        </w:trPr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9D5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B5B6186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BB90FCB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59FCED7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ECEDDC1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11E122C" w14:textId="77777777" w:rsidR="00E12505" w:rsidRPr="00E12505" w:rsidRDefault="00E12505" w:rsidP="00E1250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12505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Vysoké</w:t>
            </w:r>
          </w:p>
        </w:tc>
      </w:tr>
    </w:tbl>
    <w:p w14:paraId="295837C1" w14:textId="77777777" w:rsidR="0075112E" w:rsidRPr="00672A10" w:rsidRDefault="0075112E" w:rsidP="00672A10"/>
    <w:p w14:paraId="385F9F16" w14:textId="77777777" w:rsidR="00672A10" w:rsidRDefault="00672A10">
      <w:r>
        <w:br w:type="page"/>
      </w:r>
    </w:p>
    <w:p w14:paraId="4766DCC5" w14:textId="77777777" w:rsidR="00672A10" w:rsidRPr="0075112E" w:rsidRDefault="00672A10" w:rsidP="0075112E">
      <w:pPr>
        <w:tabs>
          <w:tab w:val="left" w:pos="4464"/>
          <w:tab w:val="left" w:pos="6885"/>
          <w:tab w:val="left" w:pos="9306"/>
          <w:tab w:val="left" w:pos="11727"/>
        </w:tabs>
        <w:rPr>
          <w:rFonts w:eastAsia="Times New Roman" w:cs="Times New Roman"/>
          <w:b/>
          <w:bCs/>
          <w:color w:val="000000"/>
          <w:sz w:val="24"/>
          <w:szCs w:val="24"/>
          <w:lang w:eastAsia="cs-CZ"/>
        </w:rPr>
      </w:pPr>
      <w:r w:rsidRPr="00672A10">
        <w:rPr>
          <w:b/>
        </w:rPr>
        <w:lastRenderedPageBreak/>
        <w:t>Následek (odhad závažnosti dopadu) rizika: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2022"/>
        <w:gridCol w:w="1983"/>
        <w:gridCol w:w="2408"/>
        <w:gridCol w:w="1985"/>
        <w:gridCol w:w="1980"/>
        <w:gridCol w:w="1980"/>
      </w:tblGrid>
      <w:tr w:rsidR="00215851" w:rsidRPr="0075112E" w14:paraId="266C150B" w14:textId="51FD5F38" w:rsidTr="00215851">
        <w:trPr>
          <w:trHeight w:val="276"/>
          <w:tblHeader/>
        </w:trPr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03039DF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Stupeň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52904B7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Finanční dopad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1A6BF1D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Dopad na obchodní činnost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4FEA530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Dopad na životní prostředí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813DA68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Dopad na zdraví osob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CAEBBEC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Dopad z hlediska compliance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003AC562" w14:textId="551B8C3F" w:rsidR="00215851" w:rsidRPr="0075112E" w:rsidRDefault="00215851" w:rsidP="0021585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Dopad z hlediska ESG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*</w:t>
            </w:r>
          </w:p>
        </w:tc>
      </w:tr>
      <w:tr w:rsidR="00215851" w:rsidRPr="0075112E" w14:paraId="18E2A476" w14:textId="69B2F280" w:rsidTr="00215851">
        <w:trPr>
          <w:trHeight w:val="1932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0557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2E1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 – 100 000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506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Bez dopadu na obchodní činnost nebo vznik drobné pohledávky.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Bez ztráty obchodních partnerů.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Bez ztráty Povolení k provozování daňového skladu.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155D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Nevýznamný dopad na ŽP: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Nedochází k havarijnímu úniku nebo je havarijní únik zcela zachycen instalovaným </w:t>
            </w:r>
            <w:proofErr w:type="spellStart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protihavarijním</w:t>
            </w:r>
            <w:proofErr w:type="spellEnd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/kontrolním systémem skladu, ČS, produktovodu nebo AC, nedochází k ohrožení ŽP.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6FD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Žádný úraz nebo úraz bez pracovní neschopnosti.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9874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Žádný nebo nevýznamný dopad z hlediska compliance.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Nemá dopad z hlediska TOPO.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E17A8" w14:textId="644DC52D" w:rsidR="00215851" w:rsidRPr="0075112E" w:rsidRDefault="00215851" w:rsidP="00215851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Žádný nebo nevýznamný dopad z hlediska ESG.</w:t>
            </w:r>
          </w:p>
        </w:tc>
      </w:tr>
      <w:tr w:rsidR="00215851" w:rsidRPr="0075112E" w14:paraId="2195AF8E" w14:textId="64AE5342" w:rsidTr="00215851">
        <w:trPr>
          <w:trHeight w:val="2760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255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AF3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100 001 – 1 000 000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1E79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Vznik pohledávky malého rozsahu.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Ztráta menších obchodních partnerů.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Bez ztráty Povolení k provozování daňového skladu.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BC3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Potenciálně významný dopad na ŽP: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Havarijní únik je zcela zachycen, dochází částečně k úniku mimo instalovaný </w:t>
            </w:r>
            <w:proofErr w:type="spellStart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protihavarijní</w:t>
            </w:r>
            <w:proofErr w:type="spellEnd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systém a zasažení vnitřních objektů nebo zařízení skladu, ČS, produktovodu nebo AC (je zasažena zaolejovaná nebo dešťová kanalizace nebo jiný vnitřní objekt mimo </w:t>
            </w:r>
            <w:proofErr w:type="spellStart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protihavarijní</w:t>
            </w:r>
            <w:proofErr w:type="spellEnd"/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systém), vnější objekty nejsou zasaženy.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F95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Absenční úraz (s pracovní neschopností)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7580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Potenciálně významný dopad z hlediska compliance.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Dopad z hlediska TOPO, nejhůře: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g) zákaz přijímání dotací a subvencí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h) uveřejnění rozsudku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CF2E8" w14:textId="7FC696FA" w:rsidR="00215851" w:rsidRPr="0075112E" w:rsidRDefault="00215851" w:rsidP="00215851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Potenciálně významný dopad z hlediska ESG.</w:t>
            </w:r>
          </w:p>
        </w:tc>
      </w:tr>
      <w:tr w:rsidR="00215851" w:rsidRPr="0075112E" w14:paraId="62B7997F" w14:textId="01BF5F4A" w:rsidTr="00215851">
        <w:trPr>
          <w:trHeight w:val="2208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E66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714A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1 000 001 – 10 mil.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39B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Vznik pohledávky středního rozsahu.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Ztráta obchodních partnerů.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Bez ztráty Povolení k provozování daňového skladu.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E30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Významný dopad na ŽP: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Havarijním únikem jsou částečně zasaženy nejbližší vnější objekty nebo zařízení areálu skladu, ČS, produktovodu nebo AC (povrchové vody, zdroje podzemní vody, budovy, pozemky včetně porostů, společenstva rostlin a živočichů, jiné vnější objekty).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012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Vážnější úraz vyžadující krátkodobou hospitalizaci.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9D77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Významný dopad z hlediska compliance.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Dopad z hlediska TOPO, nejhůře: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f) zákaz plnění veřejných zakázek nebo účasti ve veřejné soutěži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7456B" w14:textId="0E9AF84F" w:rsidR="00215851" w:rsidRPr="0075112E" w:rsidRDefault="00215851" w:rsidP="00215851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Významný dopad z hlediska ESG.</w:t>
            </w:r>
          </w:p>
        </w:tc>
      </w:tr>
      <w:tr w:rsidR="00215851" w:rsidRPr="0075112E" w14:paraId="6ED43C54" w14:textId="02EEE1CF" w:rsidTr="00215851">
        <w:trPr>
          <w:trHeight w:val="2208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0FA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99D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10 mil. – 100 mil.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113A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Vznik pohledávky většího rozsahu, negativní dopad vývoje stavu zásob.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Ztráta klíčových obchodních partnerů.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Hrozící ztráta Povolení k provozování daňového skladu.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4D8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Kritický dopad na ŽP: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Masivním havarijním únikem jsou zasaženy nejbližší vnější objekty areálu skladu a dochází k dalšímu šíření havárie na vnější objekty nebo zařízení mimo areál skladu, ČS, produktovod nebo AC (může být zároveň spojeno se způsobením škody na cizím majetku).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3D6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Těžký úraz s dlouhodobou hospitalizací a úraz s trvalými následky.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62FC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Kritický dopad z hlediska compliance.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Dopad z hlediska TOPO, nejhůře: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c) peněžitý trest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d) propadnutí věci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e) zákaz činnosti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974B4" w14:textId="65E1A35F" w:rsidR="00215851" w:rsidRPr="0075112E" w:rsidRDefault="00215851" w:rsidP="00215851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Kritický dopad z hlediska ESG.</w:t>
            </w:r>
          </w:p>
        </w:tc>
      </w:tr>
      <w:tr w:rsidR="00215851" w:rsidRPr="0075112E" w14:paraId="43414458" w14:textId="7FDEE133" w:rsidTr="00215851">
        <w:trPr>
          <w:trHeight w:val="2496"/>
        </w:trPr>
        <w:tc>
          <w:tcPr>
            <w:tcW w:w="5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A19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D64" w14:textId="77777777" w:rsidR="00215851" w:rsidRPr="0075112E" w:rsidRDefault="00215851" w:rsidP="0075112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nad 100 mil. Kč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5EA" w14:textId="77777777" w:rsidR="00215851" w:rsidRPr="0075112E" w:rsidRDefault="00215851" w:rsidP="0075112E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sz w:val="20"/>
                <w:szCs w:val="20"/>
                <w:lang w:eastAsia="cs-CZ"/>
              </w:rPr>
              <w:t>Organizovaný kriminální útok.</w:t>
            </w:r>
            <w:r w:rsidRPr="0075112E">
              <w:rPr>
                <w:rFonts w:eastAsia="Times New Roman" w:cs="Times New Roman"/>
                <w:sz w:val="20"/>
                <w:szCs w:val="20"/>
                <w:lang w:eastAsia="cs-CZ"/>
              </w:rPr>
              <w:br/>
              <w:t>Ztráta Povolení k provozování daňového skladu.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1E1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Nepřípustný dopad na ŽP: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Masivní havarijní únik. Dochází k plošnému zasažení vnějších objektů nebo zařízení mimo areál skladu, ČS, produktovod nebo AC, a k dalšímu nekontrolovanému šíření havarijního úniku spojenému se vznikem ekologické újmy nebo ohrožením životů a zdraví osob.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F8F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Smrtelný úraz.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4AFA" w14:textId="77777777" w:rsidR="00215851" w:rsidRPr="0075112E" w:rsidRDefault="00215851" w:rsidP="0075112E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Nepřípustný dopad z hlediska compliance.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Dopad z hlediska TOPO, nejhůře: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a) zrušení právnické osoby</w:t>
            </w:r>
            <w:r w:rsidRPr="0075112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b) propadnutí majetku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26122" w14:textId="319ED65E" w:rsidR="00215851" w:rsidRPr="0075112E" w:rsidRDefault="00215851" w:rsidP="00215851">
            <w:pP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215851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Nepřípustný dopad z hlediska ESG.</w:t>
            </w:r>
          </w:p>
        </w:tc>
      </w:tr>
    </w:tbl>
    <w:p w14:paraId="39E7B08C" w14:textId="77777777" w:rsidR="00E12505" w:rsidRPr="00672A10" w:rsidRDefault="00E12505" w:rsidP="00672A10">
      <w:pPr>
        <w:pStyle w:val="10b"/>
      </w:pPr>
    </w:p>
    <w:p w14:paraId="086CB6C4" w14:textId="77777777" w:rsidR="00CA6200" w:rsidRDefault="00CA6200" w:rsidP="00CA6200">
      <w:pPr>
        <w:pStyle w:val="10b"/>
      </w:pPr>
      <w:r w:rsidRPr="00580C9A">
        <w:t>Pozn.:</w:t>
      </w:r>
      <w:r>
        <w:t xml:space="preserve"> </w:t>
      </w:r>
    </w:p>
    <w:p w14:paraId="4DAC30C1" w14:textId="77777777" w:rsidR="00CA6200" w:rsidRDefault="00CA6200" w:rsidP="00CA6200">
      <w:pPr>
        <w:pStyle w:val="10b"/>
        <w:numPr>
          <w:ilvl w:val="0"/>
          <w:numId w:val="1"/>
        </w:numPr>
      </w:pPr>
      <w:proofErr w:type="spellStart"/>
      <w:r>
        <w:t>p</w:t>
      </w:r>
      <w:r w:rsidRPr="00572D1C">
        <w:t>rotihavarijní</w:t>
      </w:r>
      <w:proofErr w:type="spellEnd"/>
      <w:r w:rsidRPr="00572D1C">
        <w:t xml:space="preserve"> systém – systém</w:t>
      </w:r>
      <w:r>
        <w:t>,</w:t>
      </w:r>
      <w:r w:rsidRPr="00572D1C">
        <w:t xml:space="preserve"> který slouží k zachycení havarijního úniku látky závadné vodám (ve smyslu zákona o vodách)</w:t>
      </w:r>
    </w:p>
    <w:p w14:paraId="61D734C0" w14:textId="77777777" w:rsidR="00CA6200" w:rsidRDefault="00CA6200" w:rsidP="00CA6200">
      <w:pPr>
        <w:pStyle w:val="10b"/>
        <w:numPr>
          <w:ilvl w:val="0"/>
          <w:numId w:val="1"/>
        </w:numPr>
      </w:pPr>
      <w:r w:rsidRPr="00580C9A">
        <w:t xml:space="preserve">vnitřní objekt </w:t>
      </w:r>
      <w:r>
        <w:t>–</w:t>
      </w:r>
      <w:r w:rsidRPr="00580C9A">
        <w:t xml:space="preserve"> </w:t>
      </w:r>
      <w:r w:rsidRPr="00572D1C">
        <w:t>objekt ČEPRO,</w:t>
      </w:r>
      <w:r>
        <w:t xml:space="preserve"> a.s.,</w:t>
      </w:r>
      <w:r w:rsidRPr="00572D1C">
        <w:t xml:space="preserve"> ve kterém se nakládá </w:t>
      </w:r>
      <w:r>
        <w:t xml:space="preserve">se </w:t>
      </w:r>
      <w:r w:rsidRPr="00572D1C">
        <w:t xml:space="preserve">závadnou látkou (skladované zboží, odpadní voda, odpad) a který není </w:t>
      </w:r>
      <w:proofErr w:type="spellStart"/>
      <w:r w:rsidRPr="00572D1C">
        <w:t>protihavarijním</w:t>
      </w:r>
      <w:proofErr w:type="spellEnd"/>
      <w:r w:rsidRPr="00572D1C">
        <w:t xml:space="preserve"> systémem</w:t>
      </w:r>
      <w:r w:rsidRPr="00580C9A">
        <w:t xml:space="preserve"> </w:t>
      </w:r>
    </w:p>
    <w:p w14:paraId="180FA562" w14:textId="1CE03F88" w:rsidR="00CA6200" w:rsidRDefault="00CA6200" w:rsidP="00CA6200">
      <w:pPr>
        <w:pStyle w:val="10b"/>
        <w:numPr>
          <w:ilvl w:val="0"/>
          <w:numId w:val="1"/>
        </w:numPr>
      </w:pPr>
      <w:r w:rsidRPr="00580C9A">
        <w:t xml:space="preserve">vnější objekt </w:t>
      </w:r>
      <w:r>
        <w:t>–</w:t>
      </w:r>
      <w:r w:rsidRPr="00580C9A">
        <w:t xml:space="preserve"> </w:t>
      </w:r>
      <w:r w:rsidRPr="00572D1C">
        <w:t>objekt, který není vnitřním objektem ČEPRO,</w:t>
      </w:r>
      <w:r>
        <w:t xml:space="preserve"> a.s.</w:t>
      </w:r>
      <w:r w:rsidRPr="00572D1C">
        <w:t xml:space="preserve"> ani jeho součástí. Může se jednat o</w:t>
      </w:r>
      <w:r>
        <w:t> </w:t>
      </w:r>
      <w:r w:rsidRPr="00572D1C">
        <w:t>povrchové vody a horninové prostředí (</w:t>
      </w:r>
      <w:r>
        <w:t xml:space="preserve">vč. </w:t>
      </w:r>
      <w:r w:rsidRPr="00572D1C">
        <w:t>podzemní</w:t>
      </w:r>
      <w:r>
        <w:t>ch vod</w:t>
      </w:r>
      <w:r w:rsidRPr="00572D1C">
        <w:t>), cizí i vlastní budovy a pozemky, porosty, hospodářská zvířata, společenstva rostlin a živočichů, n</w:t>
      </w:r>
      <w:r>
        <w:t>ebo</w:t>
      </w:r>
      <w:r w:rsidRPr="00572D1C">
        <w:t xml:space="preserve"> jiné vnější objekty. Vnější objekt se může nacházet zcela nebo částečně v areálu skladu</w:t>
      </w:r>
      <w:r>
        <w:t xml:space="preserve">, </w:t>
      </w:r>
      <w:r w:rsidRPr="009728A1">
        <w:t>produktovodu, ČS</w:t>
      </w:r>
      <w:r w:rsidRPr="00572D1C">
        <w:t xml:space="preserve"> nebo mimo něj.</w:t>
      </w:r>
    </w:p>
    <w:p w14:paraId="61F1F46F" w14:textId="3A989C05" w:rsidR="00215851" w:rsidRDefault="00215851" w:rsidP="00215851">
      <w:pPr>
        <w:pStyle w:val="10b"/>
      </w:pPr>
      <w:r>
        <w:t>*Hodnocení environmentálních (E), sociálních (S) a governance (G) dopadů</w:t>
      </w:r>
    </w:p>
    <w:p w14:paraId="2B486F34" w14:textId="77777777" w:rsidR="00E12505" w:rsidRPr="00532888" w:rsidRDefault="00E12505" w:rsidP="00532888"/>
    <w:sectPr w:rsidR="00E12505" w:rsidRPr="00532888" w:rsidSect="00CA6200">
      <w:headerReference w:type="default" r:id="rId10"/>
      <w:footerReference w:type="defaul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17A7" w14:textId="77777777" w:rsidR="00BC3D59" w:rsidRDefault="00BC3D59" w:rsidP="00345AA9">
      <w:r>
        <w:separator/>
      </w:r>
    </w:p>
  </w:endnote>
  <w:endnote w:type="continuationSeparator" w:id="0">
    <w:p w14:paraId="1AFBC536" w14:textId="77777777" w:rsidR="00BC3D59" w:rsidRDefault="00BC3D59" w:rsidP="0034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569934"/>
      <w:docPartObj>
        <w:docPartGallery w:val="Page Numbers (Bottom of Page)"/>
        <w:docPartUnique/>
      </w:docPartObj>
    </w:sdtPr>
    <w:sdtEndPr/>
    <w:sdtContent>
      <w:p w14:paraId="233D6CF9" w14:textId="77777777" w:rsidR="00672A10" w:rsidRDefault="00672A10" w:rsidP="00672A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D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E620" w14:textId="77777777" w:rsidR="00BC3D59" w:rsidRDefault="00BC3D59" w:rsidP="00345AA9">
      <w:r>
        <w:separator/>
      </w:r>
    </w:p>
  </w:footnote>
  <w:footnote w:type="continuationSeparator" w:id="0">
    <w:p w14:paraId="16ABE965" w14:textId="77777777" w:rsidR="00BC3D59" w:rsidRDefault="00BC3D59" w:rsidP="0034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668B" w14:textId="77777777" w:rsidR="00345AA9" w:rsidRPr="00345AA9" w:rsidRDefault="00345AA9" w:rsidP="00345AA9">
    <w:pPr>
      <w:pStyle w:val="Zhlav"/>
    </w:pPr>
    <w:r w:rsidRPr="00345AA9">
      <w:t>příloha č. 1 Zprávy o přezkoumání IMS</w:t>
    </w:r>
  </w:p>
  <w:p w14:paraId="6B989F43" w14:textId="77777777" w:rsidR="00345AA9" w:rsidRDefault="00345A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1499"/>
    <w:multiLevelType w:val="multilevel"/>
    <w:tmpl w:val="F98AE9A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62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88"/>
    <w:rsid w:val="00187028"/>
    <w:rsid w:val="001E4487"/>
    <w:rsid w:val="00215851"/>
    <w:rsid w:val="002619D7"/>
    <w:rsid w:val="00345AA9"/>
    <w:rsid w:val="0038655D"/>
    <w:rsid w:val="003D6518"/>
    <w:rsid w:val="00435799"/>
    <w:rsid w:val="00490B89"/>
    <w:rsid w:val="0051798F"/>
    <w:rsid w:val="00532888"/>
    <w:rsid w:val="00567419"/>
    <w:rsid w:val="00660C02"/>
    <w:rsid w:val="00672A10"/>
    <w:rsid w:val="00674334"/>
    <w:rsid w:val="0075112E"/>
    <w:rsid w:val="008215A1"/>
    <w:rsid w:val="008B253C"/>
    <w:rsid w:val="00954A8F"/>
    <w:rsid w:val="009B1005"/>
    <w:rsid w:val="009C5609"/>
    <w:rsid w:val="00B3391B"/>
    <w:rsid w:val="00BA6A58"/>
    <w:rsid w:val="00BC3D59"/>
    <w:rsid w:val="00C46DD5"/>
    <w:rsid w:val="00CA6200"/>
    <w:rsid w:val="00D9065F"/>
    <w:rsid w:val="00E12505"/>
    <w:rsid w:val="00E83166"/>
    <w:rsid w:val="00E95805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3FBF75"/>
  <w15:docId w15:val="{436282B0-7262-4876-9C29-9FDE49B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888"/>
    <w:pPr>
      <w:spacing w:after="0" w:line="240" w:lineRule="auto"/>
    </w:pPr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qFormat/>
    <w:rsid w:val="00532888"/>
    <w:rPr>
      <w:rFonts w:eastAsiaTheme="minorEastAsia"/>
      <w:sz w:val="20"/>
      <w:szCs w:val="20"/>
      <w:lang w:eastAsia="cs-CZ"/>
    </w:rPr>
  </w:style>
  <w:style w:type="paragraph" w:customStyle="1" w:styleId="10b">
    <w:name w:val="10 b."/>
    <w:basedOn w:val="Normln"/>
    <w:qFormat/>
    <w:rsid w:val="00CA6200"/>
    <w:pPr>
      <w:jc w:val="both"/>
    </w:pPr>
    <w:rPr>
      <w:rFonts w:eastAsiaTheme="minorEastAsia"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5AA9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345AA9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672A10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72A10"/>
    <w:rPr>
      <w:rFonts w:ascii="Franklin Gothic Book" w:hAnsi="Franklin Gothic Book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B2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53C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53C"/>
    <w:rPr>
      <w:rFonts w:ascii="Franklin Gothic Book" w:hAnsi="Franklin Gothic Book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2981B-E193-4597-879A-22FE6011E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86E60-0697-4F3E-802E-80028E8B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2AAD2-5494-4AB9-B2BE-EE92892F0E3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b221be-a2c8-4874-9f3d-136822e0640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2</cp:revision>
  <dcterms:created xsi:type="dcterms:W3CDTF">2024-09-12T09:55:00Z</dcterms:created>
  <dcterms:modified xsi:type="dcterms:W3CDTF">2024-09-12T09:55:00Z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