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9957" w14:textId="77777777" w:rsidR="00CA79C9" w:rsidRPr="00C4549E" w:rsidRDefault="00BC4CC6" w:rsidP="00C4549E">
      <w:pPr>
        <w:rPr>
          <w:b/>
        </w:rPr>
      </w:pPr>
      <w:r w:rsidRPr="00C4549E">
        <w:rPr>
          <w:b/>
        </w:rPr>
        <w:t>Obsah Zprávy o přezkoumání IMS</w:t>
      </w:r>
    </w:p>
    <w:p w14:paraId="6D388CAC" w14:textId="77777777" w:rsidR="00BC4CC6" w:rsidRPr="00C4549E" w:rsidRDefault="00BC4CC6" w:rsidP="00C4549E"/>
    <w:p w14:paraId="2D799C3F" w14:textId="77777777" w:rsidR="00BC4CC6" w:rsidRPr="00C4549E" w:rsidRDefault="00931A1F" w:rsidP="00C4549E">
      <w:pPr>
        <w:pStyle w:val="Odstavecseseznamem"/>
        <w:numPr>
          <w:ilvl w:val="0"/>
          <w:numId w:val="9"/>
        </w:numPr>
      </w:pPr>
      <w:bookmarkStart w:id="0" w:name="OLE_LINK1"/>
      <w:r>
        <w:t>P</w:t>
      </w:r>
      <w:r w:rsidR="00BC4CC6" w:rsidRPr="00C4549E">
        <w:t>olitika</w:t>
      </w:r>
      <w:r w:rsidR="000E1C53">
        <w:t xml:space="preserve"> IMS</w:t>
      </w:r>
    </w:p>
    <w:p w14:paraId="2D6BD6CF" w14:textId="77777777" w:rsidR="00BC4CC6" w:rsidRDefault="00931A1F" w:rsidP="00C4549E">
      <w:pPr>
        <w:pStyle w:val="Odstavecseseznamem"/>
        <w:numPr>
          <w:ilvl w:val="0"/>
          <w:numId w:val="9"/>
        </w:numPr>
      </w:pPr>
      <w:r>
        <w:t>C</w:t>
      </w:r>
      <w:r w:rsidR="00BC4CC6" w:rsidRPr="00C4549E">
        <w:t>íle</w:t>
      </w:r>
      <w:r>
        <w:t xml:space="preserve"> společnosti</w:t>
      </w:r>
      <w:r w:rsidR="00BC4CC6" w:rsidRPr="00C4549E">
        <w:t xml:space="preserve">, </w:t>
      </w:r>
      <w:r>
        <w:t>projekty</w:t>
      </w:r>
    </w:p>
    <w:p w14:paraId="1D1C8656" w14:textId="77777777" w:rsidR="006F0B74" w:rsidRPr="00C4549E" w:rsidRDefault="00931A1F" w:rsidP="00513F66">
      <w:pPr>
        <w:pStyle w:val="Odstavecseseznamem"/>
        <w:numPr>
          <w:ilvl w:val="0"/>
          <w:numId w:val="9"/>
        </w:numPr>
      </w:pPr>
      <w:r>
        <w:t>Ú</w:t>
      </w:r>
      <w:r w:rsidR="006F0B74">
        <w:t xml:space="preserve">roveň řízení rizik ve </w:t>
      </w:r>
      <w:r w:rsidR="006F0B74" w:rsidRPr="00CB5538">
        <w:t>společnosti</w:t>
      </w:r>
      <w:r w:rsidR="00FA69ED" w:rsidRPr="00CB5538">
        <w:t xml:space="preserve"> </w:t>
      </w:r>
      <w:r w:rsidR="00FA69ED" w:rsidRPr="003B2BC9">
        <w:t>(změny interních a externích aspektů)</w:t>
      </w:r>
      <w:r w:rsidR="00513F66" w:rsidRPr="00CB5538">
        <w:t xml:space="preserve"> </w:t>
      </w:r>
      <w:r w:rsidR="00FA69ED">
        <w:br/>
        <w:t xml:space="preserve">(tj. </w:t>
      </w:r>
      <w:r w:rsidR="00513F66">
        <w:t>vč. přezkoumání změn interních a externích aspektů, které jsou relevantní pro systém IMS</w:t>
      </w:r>
      <w:r w:rsidR="00FA69ED">
        <w:t>)</w:t>
      </w:r>
      <w:r w:rsidR="007E2B5D">
        <w:t xml:space="preserve"> </w:t>
      </w:r>
      <w:r w:rsidR="007E2B5D" w:rsidRPr="00B037C8">
        <w:t xml:space="preserve">vč. přezkoumání Business </w:t>
      </w:r>
      <w:proofErr w:type="spellStart"/>
      <w:r w:rsidR="007E2B5D" w:rsidRPr="00B037C8">
        <w:t>Continuity</w:t>
      </w:r>
      <w:proofErr w:type="spellEnd"/>
      <w:r w:rsidR="007E2B5D" w:rsidRPr="00B037C8">
        <w:t xml:space="preserve"> Management</w:t>
      </w:r>
    </w:p>
    <w:p w14:paraId="6A5A617D" w14:textId="77777777" w:rsidR="00FA69ED" w:rsidRPr="00FA69ED" w:rsidRDefault="00931A1F" w:rsidP="00C4549E">
      <w:pPr>
        <w:pStyle w:val="Odstavecseseznamem"/>
        <w:numPr>
          <w:ilvl w:val="0"/>
          <w:numId w:val="9"/>
        </w:numPr>
      </w:pPr>
      <w:r>
        <w:t>V</w:t>
      </w:r>
      <w:r w:rsidR="00BC4CC6" w:rsidRPr="00C4549E">
        <w:t>ýsledky auditů</w:t>
      </w:r>
      <w:r>
        <w:t>,</w:t>
      </w:r>
      <w:r w:rsidR="00BC4CC6" w:rsidRPr="00C4549E">
        <w:t xml:space="preserve"> vyhodnocení shody s právními a dalšími požadavky, kterým </w:t>
      </w:r>
      <w:r>
        <w:t>společnost</w:t>
      </w:r>
      <w:r w:rsidRPr="00C4549E">
        <w:t xml:space="preserve"> </w:t>
      </w:r>
      <w:r w:rsidR="00BC4CC6" w:rsidRPr="00C4549E">
        <w:t>podléhá</w:t>
      </w:r>
    </w:p>
    <w:p w14:paraId="285AE6DB" w14:textId="77777777" w:rsidR="00BC4CC6" w:rsidRPr="00CB5538" w:rsidRDefault="00FA69ED" w:rsidP="003B2BC9">
      <w:pPr>
        <w:pStyle w:val="Odstavecseseznamem"/>
        <w:numPr>
          <w:ilvl w:val="0"/>
          <w:numId w:val="9"/>
        </w:numPr>
        <w:shd w:val="clear" w:color="auto" w:fill="FFFFFF" w:themeFill="background1"/>
      </w:pPr>
      <w:r w:rsidRPr="003B2BC9">
        <w:t>Ú</w:t>
      </w:r>
      <w:r w:rsidR="00D55F2C" w:rsidRPr="003B2BC9">
        <w:t>roveň plnění</w:t>
      </w:r>
      <w:r w:rsidR="00EE6E4A" w:rsidRPr="003B2BC9">
        <w:t xml:space="preserve"> programu </w:t>
      </w:r>
      <w:proofErr w:type="spellStart"/>
      <w:r w:rsidR="00EE6E4A" w:rsidRPr="003B2BC9">
        <w:t>Compliance</w:t>
      </w:r>
      <w:proofErr w:type="spellEnd"/>
      <w:r w:rsidR="00BC4CC6" w:rsidRPr="003B2BC9">
        <w:t xml:space="preserve"> </w:t>
      </w:r>
      <w:r w:rsidR="00D55F2C" w:rsidRPr="003B2BC9">
        <w:t>ve společnosti</w:t>
      </w:r>
      <w:r w:rsidR="00D55F2C" w:rsidRPr="00CB5538">
        <w:rPr>
          <w:shd w:val="clear" w:color="auto" w:fill="D6E3BC" w:themeFill="accent3" w:themeFillTint="66"/>
        </w:rPr>
        <w:t xml:space="preserve"> </w:t>
      </w:r>
    </w:p>
    <w:p w14:paraId="42572F5B" w14:textId="77777777" w:rsidR="00BC4CC6" w:rsidRPr="00C4549E" w:rsidRDefault="00931A1F" w:rsidP="00513F66">
      <w:pPr>
        <w:pStyle w:val="Odstavecseseznamem"/>
        <w:numPr>
          <w:ilvl w:val="0"/>
          <w:numId w:val="9"/>
        </w:numPr>
      </w:pPr>
      <w:r>
        <w:t>K</w:t>
      </w:r>
      <w:r w:rsidRPr="00C4549E">
        <w:t>omunikace s vnějšími zainteresovanými stranami</w:t>
      </w:r>
      <w:r>
        <w:t xml:space="preserve"> vč.</w:t>
      </w:r>
      <w:r w:rsidRPr="00C4549E">
        <w:t xml:space="preserve"> stížnost</w:t>
      </w:r>
      <w:r>
        <w:t>í, z</w:t>
      </w:r>
      <w:r w:rsidR="00BC4CC6" w:rsidRPr="00C4549E">
        <w:t>pětn</w:t>
      </w:r>
      <w:r>
        <w:t>á</w:t>
      </w:r>
      <w:r w:rsidR="00BC4CC6" w:rsidRPr="00C4549E">
        <w:t xml:space="preserve"> vazb</w:t>
      </w:r>
      <w:r>
        <w:t>a</w:t>
      </w:r>
      <w:r w:rsidR="00BC4CC6" w:rsidRPr="00C4549E">
        <w:t xml:space="preserve"> od zákazníka</w:t>
      </w:r>
      <w:r w:rsidR="00513F66">
        <w:t xml:space="preserve"> </w:t>
      </w:r>
      <w:r w:rsidR="00513F66" w:rsidRPr="00513F66">
        <w:t>a od relevantn</w:t>
      </w:r>
      <w:r w:rsidR="00513F66" w:rsidRPr="00513F66">
        <w:rPr>
          <w:rFonts w:hint="eastAsia"/>
        </w:rPr>
        <w:t>í</w:t>
      </w:r>
      <w:r w:rsidR="00513F66" w:rsidRPr="00513F66">
        <w:t>ch</w:t>
      </w:r>
      <w:r w:rsidR="00513F66">
        <w:t xml:space="preserve"> </w:t>
      </w:r>
      <w:r w:rsidR="00513F66" w:rsidRPr="00513F66">
        <w:t>zainteresovan</w:t>
      </w:r>
      <w:r w:rsidR="00513F66" w:rsidRPr="00513F66">
        <w:rPr>
          <w:rFonts w:hint="eastAsia"/>
        </w:rPr>
        <w:t>ý</w:t>
      </w:r>
      <w:r w:rsidR="00513F66" w:rsidRPr="00513F66">
        <w:t>ch stran</w:t>
      </w:r>
      <w:r>
        <w:br/>
        <w:t>(tj. postupy komunikace se smluvními partnery a návštěvníky, reakce na významné podněty od externích zainteresovaných stran apod.)</w:t>
      </w:r>
    </w:p>
    <w:p w14:paraId="25C0A10F" w14:textId="77777777" w:rsidR="00BC4CC6" w:rsidRPr="00C4549E" w:rsidRDefault="00931A1F" w:rsidP="00C4549E">
      <w:pPr>
        <w:pStyle w:val="Odstavecseseznamem"/>
        <w:numPr>
          <w:ilvl w:val="0"/>
          <w:numId w:val="9"/>
        </w:numPr>
      </w:pPr>
      <w:r>
        <w:t>Spoluúčast</w:t>
      </w:r>
      <w:r w:rsidR="00FA69ED">
        <w:t>,</w:t>
      </w:r>
      <w:r>
        <w:t xml:space="preserve"> </w:t>
      </w:r>
      <w:r w:rsidR="00FA69ED" w:rsidRPr="003B2BC9">
        <w:t>komunikace s vnitřními zainteresovanými stranami vč. stížností, zpětná vazba</w:t>
      </w:r>
      <w:r>
        <w:br/>
        <w:t xml:space="preserve">(tj. zapojení zaměstnanců do posuzování rizik, vyšetřování </w:t>
      </w:r>
      <w:r w:rsidR="009B49D0">
        <w:t xml:space="preserve">mimořádných událostí, havarijních stavů a </w:t>
      </w:r>
      <w:proofErr w:type="spellStart"/>
      <w:r w:rsidR="009B49D0">
        <w:t>skoronehod</w:t>
      </w:r>
      <w:proofErr w:type="spellEnd"/>
      <w:r w:rsidR="009B49D0">
        <w:t xml:space="preserve"> (</w:t>
      </w:r>
      <w:r>
        <w:t>incidentů</w:t>
      </w:r>
      <w:r w:rsidR="009B49D0">
        <w:t>)</w:t>
      </w:r>
      <w:r>
        <w:t>, přezkoumání, konzultování změn s vlivem na BOZP, PO, OŽP</w:t>
      </w:r>
      <w:r w:rsidR="00620BC4">
        <w:t>, PZH; a rovněž, j</w:t>
      </w:r>
      <w:r w:rsidR="00B27640">
        <w:t>e</w:t>
      </w:r>
      <w:r w:rsidR="00620BC4">
        <w:t>-li to vhodné, konzultace se smluvními partnery v případě změn, které ovlivňují jejich BOZP a OŽP)</w:t>
      </w:r>
    </w:p>
    <w:p w14:paraId="69EF7E9C" w14:textId="40D62783" w:rsidR="00BC4CC6" w:rsidRPr="00C4549E" w:rsidRDefault="00E8304A" w:rsidP="00C4549E">
      <w:pPr>
        <w:pStyle w:val="Odstavecseseznamem"/>
        <w:numPr>
          <w:ilvl w:val="0"/>
          <w:numId w:val="9"/>
        </w:numPr>
      </w:pPr>
      <w:r w:rsidRPr="00B037C8">
        <w:rPr>
          <w:highlight w:val="yellow"/>
        </w:rPr>
        <w:t>ESG ukazatele</w:t>
      </w:r>
      <w:r w:rsidR="008301FA" w:rsidRPr="00B037C8">
        <w:rPr>
          <w:highlight w:val="yellow"/>
        </w:rPr>
        <w:t xml:space="preserve"> společnosti</w:t>
      </w:r>
      <w:r w:rsidR="00620BC4">
        <w:br/>
      </w:r>
      <w:r w:rsidR="00BC4CC6" w:rsidRPr="00C4549E">
        <w:t>(</w:t>
      </w:r>
      <w:r w:rsidR="00620BC4">
        <w:t xml:space="preserve">tj. </w:t>
      </w:r>
      <w:r w:rsidR="00BC4CC6" w:rsidRPr="00C4549E">
        <w:t xml:space="preserve">výkonnost, úroveň činností, chování </w:t>
      </w:r>
      <w:r w:rsidR="008E393D">
        <w:t>společnosti</w:t>
      </w:r>
      <w:r w:rsidR="00BC4CC6" w:rsidRPr="00C4549E">
        <w:t>)</w:t>
      </w:r>
    </w:p>
    <w:p w14:paraId="23D90F6C" w14:textId="77777777" w:rsidR="00BC4CC6" w:rsidRDefault="00620BC4" w:rsidP="00C4549E">
      <w:pPr>
        <w:pStyle w:val="Odstavecseseznamem"/>
        <w:numPr>
          <w:ilvl w:val="0"/>
          <w:numId w:val="9"/>
        </w:numPr>
      </w:pPr>
      <w:r>
        <w:t>V</w:t>
      </w:r>
      <w:r w:rsidR="00BC4CC6" w:rsidRPr="00C4549E">
        <w:t xml:space="preserve">ýkonnost </w:t>
      </w:r>
      <w:r>
        <w:t>společnosti v oblasti BOZP</w:t>
      </w:r>
    </w:p>
    <w:p w14:paraId="59317986" w14:textId="77777777" w:rsidR="00620BC4" w:rsidRPr="00C4549E" w:rsidRDefault="00620BC4" w:rsidP="00C4549E">
      <w:pPr>
        <w:pStyle w:val="Odstavecseseznamem"/>
        <w:numPr>
          <w:ilvl w:val="0"/>
          <w:numId w:val="9"/>
        </w:numPr>
      </w:pPr>
      <w:r>
        <w:t>Výkonnost společnosti v oblasti QMS</w:t>
      </w:r>
      <w:r>
        <w:br/>
        <w:t>(tj. výkonnost procesů, shoda produktu)</w:t>
      </w:r>
    </w:p>
    <w:p w14:paraId="5A0FFAF8" w14:textId="77777777" w:rsidR="00620BC4" w:rsidRDefault="00620BC4" w:rsidP="00C4549E">
      <w:pPr>
        <w:pStyle w:val="Odstavecseseznamem"/>
        <w:numPr>
          <w:ilvl w:val="0"/>
          <w:numId w:val="9"/>
        </w:numPr>
      </w:pPr>
      <w:r>
        <w:t>Rozsah splnění cílů</w:t>
      </w:r>
      <w:r w:rsidR="00880353">
        <w:t xml:space="preserve"> a n</w:t>
      </w:r>
      <w:r w:rsidR="00880353" w:rsidRPr="00C4549E">
        <w:t>ásledná opatření z předchozích přezkoumávání</w:t>
      </w:r>
    </w:p>
    <w:p w14:paraId="321BEE83" w14:textId="77777777" w:rsidR="00BC4CC6" w:rsidRPr="00C4549E" w:rsidRDefault="00931A1F" w:rsidP="00C4549E">
      <w:pPr>
        <w:pStyle w:val="Odstavecseseznamem"/>
        <w:numPr>
          <w:ilvl w:val="0"/>
          <w:numId w:val="9"/>
        </w:numPr>
      </w:pPr>
      <w:r>
        <w:t>S</w:t>
      </w:r>
      <w:r w:rsidR="00BC4CC6" w:rsidRPr="00C4549E">
        <w:t xml:space="preserve">tav </w:t>
      </w:r>
      <w:r w:rsidR="00620BC4" w:rsidRPr="00C4549E">
        <w:t xml:space="preserve">vyšetřování </w:t>
      </w:r>
      <w:r w:rsidR="00880353">
        <w:t xml:space="preserve">mimořádných událostí, havarijních stavů a </w:t>
      </w:r>
      <w:proofErr w:type="spellStart"/>
      <w:r w:rsidR="00880353">
        <w:t>skoronehod</w:t>
      </w:r>
      <w:proofErr w:type="spellEnd"/>
      <w:r w:rsidR="00880353">
        <w:t xml:space="preserve"> (incidentů)</w:t>
      </w:r>
      <w:r w:rsidR="00620BC4">
        <w:t>, nápravných a</w:t>
      </w:r>
      <w:r w:rsidR="00620BC4" w:rsidRPr="00C4549E">
        <w:t xml:space="preserve"> </w:t>
      </w:r>
      <w:r w:rsidR="00BC4CC6" w:rsidRPr="00C4549E">
        <w:t xml:space="preserve">preventivních opatření </w:t>
      </w:r>
    </w:p>
    <w:p w14:paraId="7499D913" w14:textId="77777777" w:rsidR="00BC4CC6" w:rsidRPr="00C4549E" w:rsidRDefault="00620BC4" w:rsidP="00C4549E">
      <w:pPr>
        <w:pStyle w:val="Odstavecseseznamem"/>
        <w:numPr>
          <w:ilvl w:val="0"/>
          <w:numId w:val="9"/>
        </w:numPr>
      </w:pPr>
      <w:r>
        <w:t>Z</w:t>
      </w:r>
      <w:r w:rsidR="00BC4CC6" w:rsidRPr="00C4549E">
        <w:t xml:space="preserve">měněné okolnosti včetně vývoje </w:t>
      </w:r>
      <w:r w:rsidRPr="00C4549E">
        <w:t xml:space="preserve">požadavků </w:t>
      </w:r>
      <w:r w:rsidR="00BC4CC6" w:rsidRPr="00C4549E">
        <w:t xml:space="preserve">právních a </w:t>
      </w:r>
      <w:r>
        <w:t>ostatních předpisů souvisejících s činností společnosti,</w:t>
      </w:r>
      <w:r w:rsidRPr="00C4549E">
        <w:t xml:space="preserve"> </w:t>
      </w:r>
      <w:r>
        <w:t xml:space="preserve">změny </w:t>
      </w:r>
      <w:r w:rsidR="00BC4CC6" w:rsidRPr="00C4549E">
        <w:t xml:space="preserve">týkající se environmentálních aspektů </w:t>
      </w:r>
      <w:r>
        <w:t>společnosti</w:t>
      </w:r>
    </w:p>
    <w:p w14:paraId="4D29A4AA" w14:textId="77777777" w:rsidR="00BC4CC6" w:rsidRPr="00C4549E" w:rsidRDefault="00931A1F" w:rsidP="00C4549E">
      <w:pPr>
        <w:pStyle w:val="Odstavecseseznamem"/>
        <w:numPr>
          <w:ilvl w:val="0"/>
          <w:numId w:val="9"/>
        </w:numPr>
      </w:pPr>
      <w:r>
        <w:t>D</w:t>
      </w:r>
      <w:r w:rsidR="00BC4CC6" w:rsidRPr="00C4549E">
        <w:t>oporučení pro zlepšování</w:t>
      </w:r>
      <w:bookmarkEnd w:id="0"/>
      <w:r w:rsidR="00620BC4">
        <w:t xml:space="preserve"> </w:t>
      </w:r>
      <w:r w:rsidR="000C78CE">
        <w:t>– cíle pro následující období</w:t>
      </w:r>
    </w:p>
    <w:p w14:paraId="519EE3DA" w14:textId="77777777" w:rsidR="00BC4CC6" w:rsidRPr="00C4549E" w:rsidRDefault="00BC4CC6" w:rsidP="00C4549E"/>
    <w:p w14:paraId="5797F0B8" w14:textId="77777777" w:rsidR="00CA79C9" w:rsidRPr="00BC4CC6" w:rsidRDefault="00CA79C9" w:rsidP="00BC4CC6"/>
    <w:p w14:paraId="7AFAAA77" w14:textId="77777777" w:rsidR="00CA79C9" w:rsidRPr="00563FC6" w:rsidRDefault="00CA79C9" w:rsidP="00BC4CC6">
      <w:pPr>
        <w:rPr>
          <w:b/>
        </w:rPr>
      </w:pPr>
      <w:r w:rsidRPr="00563FC6">
        <w:rPr>
          <w:b/>
        </w:rPr>
        <w:t>Výstup:</w:t>
      </w:r>
    </w:p>
    <w:p w14:paraId="7D6A9F72" w14:textId="77777777" w:rsidR="00CA79C9" w:rsidRPr="00C4549E" w:rsidRDefault="00CA79C9" w:rsidP="00C4549E">
      <w:r w:rsidRPr="00C4549E">
        <w:t xml:space="preserve">Výstup z přezkoumání </w:t>
      </w:r>
      <w:r w:rsidR="000E1C53">
        <w:t>IMS</w:t>
      </w:r>
      <w:r w:rsidR="000E1C53" w:rsidRPr="00C4549E">
        <w:t xml:space="preserve"> </w:t>
      </w:r>
      <w:r w:rsidRPr="00C4549E">
        <w:t>musí zahrnovat jakákoli r</w:t>
      </w:r>
      <w:r w:rsidR="00563FC6" w:rsidRPr="00C4549E">
        <w:t xml:space="preserve">ozhodnutí a opatření vztahující </w:t>
      </w:r>
      <w:r w:rsidRPr="00C4549E">
        <w:t>se</w:t>
      </w:r>
      <w:r w:rsidR="00563FC6" w:rsidRPr="00C4549E">
        <w:t>:</w:t>
      </w:r>
    </w:p>
    <w:p w14:paraId="7E73E14E" w14:textId="77777777" w:rsidR="006F0B74" w:rsidRDefault="006F0B74" w:rsidP="00C4549E">
      <w:pPr>
        <w:pStyle w:val="Odstavecseseznamem"/>
        <w:numPr>
          <w:ilvl w:val="0"/>
          <w:numId w:val="13"/>
        </w:numPr>
      </w:pPr>
      <w:r>
        <w:t xml:space="preserve">k </w:t>
      </w:r>
      <w:r w:rsidR="00880353">
        <w:t>omezení</w:t>
      </w:r>
      <w:r>
        <w:t xml:space="preserve"> rizik,</w:t>
      </w:r>
    </w:p>
    <w:p w14:paraId="3E976825" w14:textId="77777777" w:rsidR="006B7E32" w:rsidRPr="00B037C8" w:rsidRDefault="006B7E32" w:rsidP="00C4549E">
      <w:pPr>
        <w:pStyle w:val="Odstavecseseznamem"/>
        <w:numPr>
          <w:ilvl w:val="0"/>
          <w:numId w:val="13"/>
        </w:numPr>
      </w:pPr>
      <w:r w:rsidRPr="00B037C8">
        <w:t xml:space="preserve">ke zlepšování procesu Business </w:t>
      </w:r>
      <w:proofErr w:type="spellStart"/>
      <w:r w:rsidRPr="00B037C8">
        <w:t>Continuity</w:t>
      </w:r>
      <w:proofErr w:type="spellEnd"/>
      <w:r w:rsidRPr="00B037C8">
        <w:t xml:space="preserve"> Management</w:t>
      </w:r>
    </w:p>
    <w:p w14:paraId="51832231" w14:textId="77777777" w:rsidR="00FA69ED" w:rsidRDefault="00FA69ED" w:rsidP="00C4549E">
      <w:pPr>
        <w:pStyle w:val="Odstavecseseznamem"/>
        <w:numPr>
          <w:ilvl w:val="0"/>
          <w:numId w:val="13"/>
        </w:numPr>
      </w:pPr>
      <w:r w:rsidRPr="003B2BC9">
        <w:t xml:space="preserve">ke zlepšování programu </w:t>
      </w:r>
      <w:proofErr w:type="spellStart"/>
      <w:r w:rsidRPr="003B2BC9">
        <w:t>Compliance</w:t>
      </w:r>
      <w:proofErr w:type="spellEnd"/>
      <w:r>
        <w:t>,</w:t>
      </w:r>
    </w:p>
    <w:p w14:paraId="2EC387F8" w14:textId="77777777" w:rsidR="00CA79C9" w:rsidRPr="00C4549E" w:rsidRDefault="00CA79C9" w:rsidP="00C4549E">
      <w:pPr>
        <w:pStyle w:val="Odstavecseseznamem"/>
        <w:numPr>
          <w:ilvl w:val="0"/>
          <w:numId w:val="13"/>
        </w:numPr>
      </w:pPr>
      <w:r w:rsidRPr="00C4549E">
        <w:t xml:space="preserve">ke zlepšování efektivnosti systému </w:t>
      </w:r>
      <w:r w:rsidR="000E1C53">
        <w:t>řízení</w:t>
      </w:r>
      <w:r w:rsidRPr="00C4549E">
        <w:t xml:space="preserve"> a jeho procesů,</w:t>
      </w:r>
    </w:p>
    <w:p w14:paraId="1E440A97" w14:textId="77777777" w:rsidR="00BC0012" w:rsidRDefault="00CA79C9" w:rsidP="00C4549E">
      <w:pPr>
        <w:pStyle w:val="Odstavecseseznamem"/>
        <w:numPr>
          <w:ilvl w:val="0"/>
          <w:numId w:val="13"/>
        </w:numPr>
      </w:pPr>
      <w:r w:rsidRPr="00C4549E">
        <w:t>ke zlepšování produktu ve vztahu k požadavkům zákazníka</w:t>
      </w:r>
      <w:r w:rsidR="00EE6E4A">
        <w:t xml:space="preserve">, </w:t>
      </w:r>
      <w:r w:rsidR="00EE6E4A" w:rsidRPr="003B2BC9">
        <w:t>případně dalších zainteresovaných stran</w:t>
      </w:r>
      <w:r w:rsidR="00BC0012">
        <w:t>,</w:t>
      </w:r>
    </w:p>
    <w:p w14:paraId="33570000" w14:textId="77777777" w:rsidR="00BC4CC6" w:rsidRPr="00C4549E" w:rsidRDefault="00BC0012" w:rsidP="00C4549E">
      <w:pPr>
        <w:pStyle w:val="Odstavecseseznamem"/>
        <w:numPr>
          <w:ilvl w:val="0"/>
          <w:numId w:val="13"/>
        </w:numPr>
      </w:pPr>
      <w:r>
        <w:t xml:space="preserve">ke zvyšování úrovně ochrany zdraví a bezpečnosti zaměstnanců i veřejnosti a </w:t>
      </w:r>
      <w:r w:rsidR="000E1C53">
        <w:t xml:space="preserve">ke zvyšování úrovně </w:t>
      </w:r>
      <w:r>
        <w:t>ochran</w:t>
      </w:r>
      <w:r w:rsidR="000E1C53">
        <w:t>y</w:t>
      </w:r>
      <w:r>
        <w:t xml:space="preserve"> </w:t>
      </w:r>
      <w:r w:rsidR="000E1C53">
        <w:t>životního prostředí,</w:t>
      </w:r>
    </w:p>
    <w:p w14:paraId="2BA7BBDF" w14:textId="77777777" w:rsidR="00CA79C9" w:rsidRPr="00C4549E" w:rsidRDefault="00CA79C9" w:rsidP="00C4549E">
      <w:pPr>
        <w:pStyle w:val="Odstavecseseznamem"/>
        <w:numPr>
          <w:ilvl w:val="0"/>
          <w:numId w:val="13"/>
        </w:numPr>
      </w:pPr>
      <w:r w:rsidRPr="00C4549E">
        <w:t>k potřebám zdrojů.</w:t>
      </w:r>
    </w:p>
    <w:p w14:paraId="5CDF1282" w14:textId="77777777" w:rsidR="00CA79C9" w:rsidRPr="00C4549E" w:rsidRDefault="00CA79C9" w:rsidP="00C4549E"/>
    <w:p w14:paraId="74D5DD6A" w14:textId="77777777" w:rsidR="00CA79C9" w:rsidRPr="00C4549E" w:rsidRDefault="00CA79C9" w:rsidP="00C4549E">
      <w:r w:rsidRPr="00C4549E">
        <w:t>Výstupy jsou shrnuty v následujících dokumentech</w:t>
      </w:r>
      <w:r w:rsidR="000E1C53">
        <w:t>:</w:t>
      </w:r>
    </w:p>
    <w:p w14:paraId="4B9C23B1" w14:textId="77777777" w:rsidR="000E1C53" w:rsidRDefault="000E1C53" w:rsidP="00C4549E">
      <w:pPr>
        <w:pStyle w:val="Odstavecseseznamem"/>
        <w:numPr>
          <w:ilvl w:val="0"/>
          <w:numId w:val="14"/>
        </w:numPr>
      </w:pPr>
      <w:r>
        <w:t>plán obchodní činnosti</w:t>
      </w:r>
    </w:p>
    <w:p w14:paraId="401224A1" w14:textId="77777777" w:rsidR="00CA79C9" w:rsidRPr="00C4549E" w:rsidRDefault="00CA79C9" w:rsidP="00C4549E">
      <w:pPr>
        <w:pStyle w:val="Odstavecseseznamem"/>
        <w:numPr>
          <w:ilvl w:val="0"/>
          <w:numId w:val="14"/>
        </w:numPr>
      </w:pPr>
      <w:r w:rsidRPr="00C4549E">
        <w:t>plán investic</w:t>
      </w:r>
    </w:p>
    <w:p w14:paraId="1313FA79" w14:textId="77777777" w:rsidR="00CA79C9" w:rsidRPr="00C4549E" w:rsidRDefault="000E1C53" w:rsidP="00C4549E">
      <w:pPr>
        <w:pStyle w:val="Odstavecseseznamem"/>
        <w:numPr>
          <w:ilvl w:val="0"/>
          <w:numId w:val="14"/>
        </w:numPr>
      </w:pPr>
      <w:r>
        <w:t>p</w:t>
      </w:r>
      <w:r w:rsidR="00CA79C9" w:rsidRPr="00C4549E">
        <w:t xml:space="preserve">lán </w:t>
      </w:r>
      <w:r>
        <w:t>oprav a údržby</w:t>
      </w:r>
    </w:p>
    <w:p w14:paraId="007CC077" w14:textId="77777777" w:rsidR="00B5173F" w:rsidRPr="00C4549E" w:rsidRDefault="000E1C53" w:rsidP="00C4549E">
      <w:pPr>
        <w:pStyle w:val="Odstavecseseznamem"/>
        <w:numPr>
          <w:ilvl w:val="0"/>
          <w:numId w:val="14"/>
        </w:numPr>
      </w:pPr>
      <w:r>
        <w:t>p</w:t>
      </w:r>
      <w:r w:rsidR="00CA79C9" w:rsidRPr="00C4549E">
        <w:t>lán školení</w:t>
      </w:r>
    </w:p>
    <w:sectPr w:rsidR="00B5173F" w:rsidRPr="00C454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BB2D" w14:textId="77777777" w:rsidR="00482AE0" w:rsidRDefault="00482AE0" w:rsidP="00261D6A">
      <w:r>
        <w:separator/>
      </w:r>
    </w:p>
  </w:endnote>
  <w:endnote w:type="continuationSeparator" w:id="0">
    <w:p w14:paraId="126CE5A6" w14:textId="77777777" w:rsidR="00482AE0" w:rsidRDefault="00482AE0" w:rsidP="0026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2119" w14:textId="4E17A2BC" w:rsidR="006C5A8E" w:rsidRPr="00DD315B" w:rsidRDefault="00B037C8" w:rsidP="006C5A8E">
    <w:pPr>
      <w:pStyle w:val="Zpat"/>
      <w:jc w:val="right"/>
      <w:rPr>
        <w:sz w:val="20"/>
        <w:szCs w:val="20"/>
      </w:rPr>
    </w:pPr>
    <w:sdt>
      <w:sdtPr>
        <w:rPr>
          <w:sz w:val="20"/>
          <w:szCs w:val="20"/>
        </w:rPr>
        <w:id w:val="-1026636679"/>
        <w:docPartObj>
          <w:docPartGallery w:val="Page Numbers (Bottom of Page)"/>
          <w:docPartUnique/>
        </w:docPartObj>
      </w:sdtPr>
      <w:sdtEndPr/>
      <w:sdtContent>
        <w:r w:rsidR="006C5A8E" w:rsidRPr="00DD315B">
          <w:rPr>
            <w:sz w:val="20"/>
            <w:szCs w:val="20"/>
          </w:rPr>
          <w:fldChar w:fldCharType="begin"/>
        </w:r>
        <w:r w:rsidR="006C5A8E" w:rsidRPr="00DD315B">
          <w:rPr>
            <w:sz w:val="20"/>
            <w:szCs w:val="20"/>
          </w:rPr>
          <w:instrText>PAGE   \* MERGEFORMAT</w:instrText>
        </w:r>
        <w:r w:rsidR="006C5A8E" w:rsidRPr="00DD315B">
          <w:rPr>
            <w:sz w:val="20"/>
            <w:szCs w:val="20"/>
          </w:rPr>
          <w:fldChar w:fldCharType="separate"/>
        </w:r>
        <w:r w:rsidR="00A14B8E">
          <w:rPr>
            <w:noProof/>
            <w:sz w:val="20"/>
            <w:szCs w:val="20"/>
          </w:rPr>
          <w:t>1</w:t>
        </w:r>
        <w:r w:rsidR="006C5A8E" w:rsidRPr="00DD315B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54DE" w14:textId="77777777" w:rsidR="00482AE0" w:rsidRDefault="00482AE0" w:rsidP="00261D6A">
      <w:r>
        <w:separator/>
      </w:r>
    </w:p>
  </w:footnote>
  <w:footnote w:type="continuationSeparator" w:id="0">
    <w:p w14:paraId="38B6F2ED" w14:textId="77777777" w:rsidR="00482AE0" w:rsidRDefault="00482AE0" w:rsidP="00261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97C2A" w14:textId="77777777" w:rsidR="00261D6A" w:rsidRPr="00DD315B" w:rsidRDefault="00261D6A" w:rsidP="00C4549E">
    <w:pPr>
      <w:jc w:val="right"/>
      <w:rPr>
        <w:sz w:val="20"/>
        <w:szCs w:val="20"/>
      </w:rPr>
    </w:pPr>
    <w:r w:rsidRPr="00DD315B">
      <w:rPr>
        <w:sz w:val="20"/>
        <w:szCs w:val="20"/>
      </w:rPr>
      <w:t xml:space="preserve">Příloha č. 6 ke </w:t>
    </w:r>
    <w:r w:rsidR="00F42E0D">
      <w:rPr>
        <w:sz w:val="20"/>
        <w:szCs w:val="20"/>
      </w:rPr>
      <w:t>směrnici</w:t>
    </w:r>
    <w:r w:rsidRPr="00DD315B">
      <w:rPr>
        <w:sz w:val="20"/>
        <w:szCs w:val="20"/>
      </w:rPr>
      <w:t xml:space="preserve"> č. </w:t>
    </w:r>
    <w:r w:rsidR="00F42E0D" w:rsidRPr="00F42E0D">
      <w:rPr>
        <w:sz w:val="20"/>
        <w:szCs w:val="20"/>
      </w:rPr>
      <w:t>09/PAS/00/00/2018</w:t>
    </w:r>
  </w:p>
  <w:p w14:paraId="153D378B" w14:textId="77777777" w:rsidR="00261D6A" w:rsidRPr="00C4549E" w:rsidRDefault="00261D6A" w:rsidP="00C454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F6F4C"/>
    <w:multiLevelType w:val="hybridMultilevel"/>
    <w:tmpl w:val="DA9C47D8"/>
    <w:lvl w:ilvl="0" w:tplc="89CE24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2443"/>
    <w:multiLevelType w:val="hybridMultilevel"/>
    <w:tmpl w:val="A03C8D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58FA"/>
    <w:multiLevelType w:val="multilevel"/>
    <w:tmpl w:val="2E48E29C"/>
    <w:lvl w:ilvl="0">
      <w:start w:val="1"/>
      <w:numFmt w:val="upperRoman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1BC748C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9914AB3"/>
    <w:multiLevelType w:val="hybridMultilevel"/>
    <w:tmpl w:val="0BE47B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970592"/>
    <w:multiLevelType w:val="hybridMultilevel"/>
    <w:tmpl w:val="AB0A43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94A9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521D5960"/>
    <w:multiLevelType w:val="hybridMultilevel"/>
    <w:tmpl w:val="E940EE5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B60C6"/>
    <w:multiLevelType w:val="hybridMultilevel"/>
    <w:tmpl w:val="B18AA8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80045"/>
    <w:multiLevelType w:val="hybridMultilevel"/>
    <w:tmpl w:val="2E48ED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E12E2"/>
    <w:multiLevelType w:val="hybridMultilevel"/>
    <w:tmpl w:val="588A24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801DD"/>
    <w:multiLevelType w:val="singleLevel"/>
    <w:tmpl w:val="861A08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527352F"/>
    <w:multiLevelType w:val="hybridMultilevel"/>
    <w:tmpl w:val="28640B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16393">
    <w:abstractNumId w:val="11"/>
  </w:num>
  <w:num w:numId="2" w16cid:durableId="1773622359">
    <w:abstractNumId w:val="6"/>
    <w:lvlOverride w:ilvl="0">
      <w:startOverride w:val="1"/>
    </w:lvlOverride>
  </w:num>
  <w:num w:numId="3" w16cid:durableId="141427429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4645936">
    <w:abstractNumId w:val="3"/>
    <w:lvlOverride w:ilvl="0">
      <w:startOverride w:val="1"/>
    </w:lvlOverride>
  </w:num>
  <w:num w:numId="5" w16cid:durableId="652487717">
    <w:abstractNumId w:val="0"/>
  </w:num>
  <w:num w:numId="6" w16cid:durableId="986015782">
    <w:abstractNumId w:val="4"/>
  </w:num>
  <w:num w:numId="7" w16cid:durableId="81221903">
    <w:abstractNumId w:val="10"/>
  </w:num>
  <w:num w:numId="8" w16cid:durableId="1442722498">
    <w:abstractNumId w:val="7"/>
  </w:num>
  <w:num w:numId="9" w16cid:durableId="226654305">
    <w:abstractNumId w:val="2"/>
  </w:num>
  <w:num w:numId="10" w16cid:durableId="583029413">
    <w:abstractNumId w:val="8"/>
  </w:num>
  <w:num w:numId="11" w16cid:durableId="112289775">
    <w:abstractNumId w:val="12"/>
  </w:num>
  <w:num w:numId="12" w16cid:durableId="1160775525">
    <w:abstractNumId w:val="9"/>
  </w:num>
  <w:num w:numId="13" w16cid:durableId="1181966699">
    <w:abstractNumId w:val="1"/>
  </w:num>
  <w:num w:numId="14" w16cid:durableId="1527214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C9"/>
    <w:rsid w:val="00082FE3"/>
    <w:rsid w:val="00086CA5"/>
    <w:rsid w:val="000C78CE"/>
    <w:rsid w:val="000E1C53"/>
    <w:rsid w:val="00114B76"/>
    <w:rsid w:val="00145E9D"/>
    <w:rsid w:val="001634E1"/>
    <w:rsid w:val="00175F44"/>
    <w:rsid w:val="001E70C8"/>
    <w:rsid w:val="00207C66"/>
    <w:rsid w:val="00250AF9"/>
    <w:rsid w:val="00261D6A"/>
    <w:rsid w:val="00292F4B"/>
    <w:rsid w:val="00310E84"/>
    <w:rsid w:val="00336649"/>
    <w:rsid w:val="003565B7"/>
    <w:rsid w:val="003A7AF0"/>
    <w:rsid w:val="003B143D"/>
    <w:rsid w:val="003B2BC9"/>
    <w:rsid w:val="003C2E9F"/>
    <w:rsid w:val="003E6FE3"/>
    <w:rsid w:val="00407454"/>
    <w:rsid w:val="00444537"/>
    <w:rsid w:val="004773BD"/>
    <w:rsid w:val="00482AE0"/>
    <w:rsid w:val="004B1BCA"/>
    <w:rsid w:val="004E7B0F"/>
    <w:rsid w:val="004F0136"/>
    <w:rsid w:val="00513F66"/>
    <w:rsid w:val="00563FC6"/>
    <w:rsid w:val="005D0C56"/>
    <w:rsid w:val="00601554"/>
    <w:rsid w:val="00620BC4"/>
    <w:rsid w:val="00632145"/>
    <w:rsid w:val="006B7E32"/>
    <w:rsid w:val="006C5A8E"/>
    <w:rsid w:val="006E411F"/>
    <w:rsid w:val="006E5941"/>
    <w:rsid w:val="006F0B74"/>
    <w:rsid w:val="007468CA"/>
    <w:rsid w:val="007746E1"/>
    <w:rsid w:val="00781868"/>
    <w:rsid w:val="007B2369"/>
    <w:rsid w:val="007C0547"/>
    <w:rsid w:val="007E2B5D"/>
    <w:rsid w:val="00806EFD"/>
    <w:rsid w:val="008301FA"/>
    <w:rsid w:val="00860C6A"/>
    <w:rsid w:val="00880353"/>
    <w:rsid w:val="00893328"/>
    <w:rsid w:val="008C26F8"/>
    <w:rsid w:val="008D0B8D"/>
    <w:rsid w:val="008E393D"/>
    <w:rsid w:val="009221D2"/>
    <w:rsid w:val="00931A1F"/>
    <w:rsid w:val="009717FD"/>
    <w:rsid w:val="009B49D0"/>
    <w:rsid w:val="009C7BEE"/>
    <w:rsid w:val="00A00504"/>
    <w:rsid w:val="00A14B8E"/>
    <w:rsid w:val="00AA15F2"/>
    <w:rsid w:val="00AA398F"/>
    <w:rsid w:val="00B037C8"/>
    <w:rsid w:val="00B27640"/>
    <w:rsid w:val="00B4579C"/>
    <w:rsid w:val="00B5173F"/>
    <w:rsid w:val="00BC0012"/>
    <w:rsid w:val="00BC4CC6"/>
    <w:rsid w:val="00BE1562"/>
    <w:rsid w:val="00BE69BD"/>
    <w:rsid w:val="00C02A94"/>
    <w:rsid w:val="00C25987"/>
    <w:rsid w:val="00C4549E"/>
    <w:rsid w:val="00CA79C9"/>
    <w:rsid w:val="00CB5538"/>
    <w:rsid w:val="00CC03DE"/>
    <w:rsid w:val="00D55F2C"/>
    <w:rsid w:val="00DA5CE5"/>
    <w:rsid w:val="00DD315B"/>
    <w:rsid w:val="00DE3892"/>
    <w:rsid w:val="00DF1F9D"/>
    <w:rsid w:val="00E5378B"/>
    <w:rsid w:val="00E8304A"/>
    <w:rsid w:val="00EE6E4A"/>
    <w:rsid w:val="00F24184"/>
    <w:rsid w:val="00F37DCB"/>
    <w:rsid w:val="00F42E0D"/>
    <w:rsid w:val="00F55A6C"/>
    <w:rsid w:val="00F83A35"/>
    <w:rsid w:val="00FA69ED"/>
    <w:rsid w:val="00F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B0F9"/>
  <w15:docId w15:val="{D8C7F1B4-042C-4506-97B7-8E3BB2DB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49E"/>
    <w:pPr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CA79C9"/>
    <w:rPr>
      <w:rFonts w:ascii="Arial" w:hAnsi="Arial"/>
      <w:sz w:val="1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A79C9"/>
    <w:rPr>
      <w:rFonts w:ascii="Arial" w:eastAsia="Times New Roman" w:hAnsi="Arial" w:cs="Times New Roman"/>
      <w:sz w:val="18"/>
      <w:szCs w:val="20"/>
      <w:lang w:eastAsia="cs-CZ"/>
    </w:rPr>
  </w:style>
  <w:style w:type="paragraph" w:customStyle="1" w:styleId="Textnormy">
    <w:name w:val="Text normy"/>
    <w:autoRedefine/>
    <w:rsid w:val="00563FC6"/>
    <w:pPr>
      <w:widowControl w:val="0"/>
      <w:tabs>
        <w:tab w:val="left" w:pos="708"/>
      </w:tabs>
      <w:overflowPunct w:val="0"/>
      <w:autoSpaceDE w:val="0"/>
      <w:autoSpaceDN w:val="0"/>
      <w:adjustRightInd w:val="0"/>
      <w:snapToGrid w:val="0"/>
      <w:spacing w:after="0" w:line="240" w:lineRule="auto"/>
      <w:ind w:left="360" w:hanging="360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C4CC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1D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1D6A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261D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1D6A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31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1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14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4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143D"/>
    <w:rPr>
      <w:rFonts w:ascii="Franklin Gothic Book" w:eastAsia="Times New Roman" w:hAnsi="Franklin Gothic Book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4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43D"/>
    <w:rPr>
      <w:rFonts w:ascii="Franklin Gothic Book" w:eastAsia="Times New Roman" w:hAnsi="Franklin Gothic Book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02A94"/>
    <w:pPr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Petráňová Jana</cp:lastModifiedBy>
  <cp:revision>4</cp:revision>
  <dcterms:created xsi:type="dcterms:W3CDTF">2023-02-17T14:44:00Z</dcterms:created>
  <dcterms:modified xsi:type="dcterms:W3CDTF">2023-03-14T09:08:00Z</dcterms:modified>
</cp:coreProperties>
</file>