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8E5" w14:textId="77777777" w:rsidR="00904F76" w:rsidRPr="000123DB" w:rsidRDefault="000123DB" w:rsidP="000123DB">
      <w:pPr>
        <w:rPr>
          <w:sz w:val="28"/>
          <w:szCs w:val="28"/>
        </w:rPr>
      </w:pPr>
      <w:r w:rsidRPr="000123DB">
        <w:rPr>
          <w:color w:val="FF0000"/>
          <w:sz w:val="28"/>
          <w:szCs w:val="28"/>
        </w:rPr>
        <w:t>POSKYTNUTÍ PRVNÍ POMOCI PŘI NEHODĚ</w:t>
      </w:r>
    </w:p>
    <w:p w14:paraId="62368A7E" w14:textId="77777777" w:rsidR="00904F76" w:rsidRPr="00313471" w:rsidRDefault="00904F76" w:rsidP="00904F76">
      <w:pPr>
        <w:numPr>
          <w:ilvl w:val="0"/>
          <w:numId w:val="2"/>
        </w:numPr>
        <w:spacing w:before="180" w:after="180" w:line="240" w:lineRule="auto"/>
        <w:ind w:left="384"/>
        <w:jc w:val="left"/>
        <w:rPr>
          <w:rFonts w:cs="Times New Roman"/>
          <w:color w:val="000000"/>
          <w:sz w:val="22"/>
        </w:rPr>
      </w:pPr>
      <w:r w:rsidRPr="00313471">
        <w:rPr>
          <w:rFonts w:cs="Times New Roman"/>
          <w:color w:val="000000"/>
          <w:sz w:val="22"/>
        </w:rPr>
        <w:t>Nejdříve je potřeba zajistit místo havárie, a to oblečením reflexní vesty, označení nehody varovným křížem a puštěním výstražných světel. Vlastní bezpečnost je vždy na prvním místě.</w:t>
      </w:r>
    </w:p>
    <w:p w14:paraId="616BF18B" w14:textId="77777777" w:rsidR="00904F76" w:rsidRPr="00313471" w:rsidRDefault="00904F76" w:rsidP="00904F76">
      <w:pPr>
        <w:numPr>
          <w:ilvl w:val="0"/>
          <w:numId w:val="2"/>
        </w:numPr>
        <w:spacing w:before="180" w:after="180" w:line="240" w:lineRule="auto"/>
        <w:ind w:left="384"/>
        <w:jc w:val="left"/>
        <w:rPr>
          <w:rFonts w:cs="Times New Roman"/>
          <w:color w:val="000000"/>
          <w:sz w:val="22"/>
        </w:rPr>
      </w:pPr>
      <w:r w:rsidRPr="00313471">
        <w:rPr>
          <w:rFonts w:cs="Times New Roman"/>
          <w:color w:val="000000"/>
          <w:sz w:val="22"/>
        </w:rPr>
        <w:t>Pokud je zraněný v bezvědomí, musíme nejdříve zjistit, zda dýchá. To uděláme tak, že se podíváme, zda se hrudník zvedá a klesá, poslechem u úst postiženého a sledováním, zda ucítíme na své tváři proud vydechovaného vzduchu.</w:t>
      </w:r>
    </w:p>
    <w:p w14:paraId="051E5650" w14:textId="77777777" w:rsidR="00904F76" w:rsidRPr="00313471" w:rsidRDefault="00904F76" w:rsidP="00904F76">
      <w:pPr>
        <w:numPr>
          <w:ilvl w:val="0"/>
          <w:numId w:val="2"/>
        </w:numPr>
        <w:spacing w:before="180" w:after="180" w:line="240" w:lineRule="auto"/>
        <w:ind w:left="384"/>
        <w:jc w:val="left"/>
        <w:rPr>
          <w:rFonts w:cs="Times New Roman"/>
          <w:color w:val="000000"/>
          <w:sz w:val="22"/>
        </w:rPr>
      </w:pPr>
      <w:r w:rsidRPr="00313471">
        <w:rPr>
          <w:rFonts w:cs="Times New Roman"/>
          <w:color w:val="000000"/>
          <w:sz w:val="22"/>
        </w:rPr>
        <w:t>Zavoláme na tísňovou linku 155 nebo 112, kde uvedeme co nejpřesněji místo kde se nacházíme, popis nehody, počet obětí, jejich stav, naše celé jméno a telefonní číslo ze kterého voláme.</w:t>
      </w:r>
    </w:p>
    <w:p w14:paraId="77E1F55B" w14:textId="77777777" w:rsidR="00904F76" w:rsidRPr="00313471" w:rsidRDefault="00904F76" w:rsidP="00904F76">
      <w:pPr>
        <w:numPr>
          <w:ilvl w:val="0"/>
          <w:numId w:val="2"/>
        </w:numPr>
        <w:spacing w:before="180" w:after="180" w:line="240" w:lineRule="auto"/>
        <w:ind w:left="384"/>
        <w:jc w:val="left"/>
        <w:rPr>
          <w:rFonts w:cs="Times New Roman"/>
          <w:color w:val="000000"/>
          <w:sz w:val="22"/>
        </w:rPr>
      </w:pPr>
      <w:r w:rsidRPr="00313471">
        <w:rPr>
          <w:rFonts w:cs="Times New Roman"/>
          <w:color w:val="000000"/>
          <w:sz w:val="22"/>
        </w:rPr>
        <w:t xml:space="preserve">Pokud si nejsme jisti, zda postižený správně dýchá, budeme se chovat jako by nedýchal. </w:t>
      </w:r>
    </w:p>
    <w:p w14:paraId="328E8A0A" w14:textId="77777777" w:rsidR="001E6B15" w:rsidRDefault="001E6B15" w:rsidP="00092D28">
      <w:pPr>
        <w:rPr>
          <w:sz w:val="22"/>
        </w:rPr>
      </w:pPr>
    </w:p>
    <w:p w14:paraId="21525D5A" w14:textId="77777777" w:rsidR="001E6B15" w:rsidRDefault="001E6B15" w:rsidP="00092D28">
      <w:pPr>
        <w:rPr>
          <w:sz w:val="22"/>
        </w:rPr>
      </w:pPr>
    </w:p>
    <w:p w14:paraId="6FD4169E" w14:textId="77777777" w:rsidR="00092D28" w:rsidRDefault="00E94A9D" w:rsidP="00092D28">
      <w:pPr>
        <w:rPr>
          <w:sz w:val="22"/>
        </w:rPr>
      </w:pPr>
      <w:r w:rsidRPr="000123DB">
        <w:rPr>
          <w:color w:val="00B050"/>
          <w:sz w:val="22"/>
        </w:rPr>
        <w:t xml:space="preserve"> </w:t>
      </w:r>
      <w:r w:rsidR="00092D28" w:rsidRPr="000123DB">
        <w:rPr>
          <w:b/>
          <w:color w:val="00B050"/>
          <w:sz w:val="22"/>
        </w:rPr>
        <w:t xml:space="preserve">POSTUP ŘIDIČE PŘI </w:t>
      </w:r>
      <w:r w:rsidR="000123DB" w:rsidRPr="000123DB">
        <w:rPr>
          <w:b/>
          <w:color w:val="00B050"/>
          <w:sz w:val="22"/>
        </w:rPr>
        <w:t xml:space="preserve">NEHODĚ, </w:t>
      </w:r>
      <w:r w:rsidR="00092D28" w:rsidRPr="000123DB">
        <w:rPr>
          <w:b/>
          <w:color w:val="00B050"/>
          <w:sz w:val="22"/>
        </w:rPr>
        <w:t>ŠKODNÍ UDÁLOSTI</w:t>
      </w:r>
      <w:r w:rsidR="00904F76">
        <w:rPr>
          <w:sz w:val="22"/>
        </w:rPr>
        <w:t xml:space="preserve"> </w:t>
      </w:r>
      <w:r w:rsidR="000123DB">
        <w:rPr>
          <w:sz w:val="22"/>
        </w:rPr>
        <w:t>–</w:t>
      </w:r>
      <w:r w:rsidR="00904F76">
        <w:rPr>
          <w:sz w:val="22"/>
        </w:rPr>
        <w:t xml:space="preserve"> </w:t>
      </w:r>
      <w:r w:rsidR="000123DB">
        <w:rPr>
          <w:sz w:val="22"/>
        </w:rPr>
        <w:t>(</w:t>
      </w:r>
      <w:r w:rsidR="00904F76">
        <w:rPr>
          <w:sz w:val="22"/>
        </w:rPr>
        <w:t>výňatek ze Směrnice Správa a provozování vozového parku</w:t>
      </w:r>
      <w:r w:rsidR="000123DB">
        <w:rPr>
          <w:sz w:val="22"/>
        </w:rPr>
        <w:t>)</w:t>
      </w:r>
    </w:p>
    <w:p w14:paraId="36748BD5" w14:textId="77777777" w:rsidR="000123DB" w:rsidRDefault="000123DB" w:rsidP="00092D28">
      <w:pPr>
        <w:rPr>
          <w:sz w:val="22"/>
        </w:rPr>
      </w:pPr>
    </w:p>
    <w:p w14:paraId="30253B87" w14:textId="77777777" w:rsidR="00092D28" w:rsidRDefault="00092D28" w:rsidP="00092D28">
      <w:pPr>
        <w:rPr>
          <w:sz w:val="22"/>
        </w:rPr>
      </w:pPr>
      <w:r>
        <w:rPr>
          <w:sz w:val="22"/>
        </w:rPr>
        <w:t>Řidič je při vzniku škodní události v silničním provozu povinen především zajistit bezpečnost svoji i posádky, označit vozidlo dle požadavků platných předpisů, tvoří-li překážku v silničním provozu a vždy neprodleně kontaktovat technika OD centrály společnosti.</w:t>
      </w:r>
    </w:p>
    <w:p w14:paraId="1F697905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 Kmenový řidič, resp. správce, je povinen vždy přivolat Policii ČR a žádat sepsání Potvrzení o účasti na dopravní nehodě, zároveň je povinen vyplnit Evropský záznam o nehodě a neprodleně kontaktovat technika OD centrály společnosti:</w:t>
      </w:r>
    </w:p>
    <w:p w14:paraId="2C547987" w14:textId="77777777" w:rsidR="00092D28" w:rsidRDefault="00092D28" w:rsidP="00092D28">
      <w:pPr>
        <w:rPr>
          <w:sz w:val="22"/>
        </w:rPr>
      </w:pPr>
      <w:r>
        <w:rPr>
          <w:sz w:val="22"/>
        </w:rPr>
        <w:t>- při dopravní nehodě se zraněním, vandalismu, odcizení vozidla, poškození živlem</w:t>
      </w:r>
    </w:p>
    <w:p w14:paraId="3FC6F92C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- při nejasnosti o viníkovi nehody, </w:t>
      </w:r>
    </w:p>
    <w:p w14:paraId="4F51F19D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- při podezření na užití alkoholu a návykových látek účastníky nehody, </w:t>
      </w:r>
    </w:p>
    <w:p w14:paraId="15AEEBB4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- při srážce se zvířetem nebo zvěří, </w:t>
      </w:r>
    </w:p>
    <w:p w14:paraId="72951FCB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- při nehodě s únikem provozních kapalin, </w:t>
      </w:r>
    </w:p>
    <w:p w14:paraId="5DF1B2EB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- při poškození vozidla nebo věci třetí osobě (vyjma předmětu leasingu) </w:t>
      </w:r>
    </w:p>
    <w:p w14:paraId="1C69CB19" w14:textId="77777777" w:rsidR="00092D28" w:rsidRDefault="00092D28" w:rsidP="00092D28">
      <w:pPr>
        <w:rPr>
          <w:sz w:val="22"/>
        </w:rPr>
      </w:pPr>
      <w:r>
        <w:rPr>
          <w:sz w:val="22"/>
        </w:rPr>
        <w:t>Pokud se nejedná o typ škodní události definované ve výše uvedených bodech, je přivolání PČR na rozhodnutí technika OD centrály společnosti</w:t>
      </w:r>
    </w:p>
    <w:p w14:paraId="21A13CE0" w14:textId="25073778" w:rsidR="00092D28" w:rsidRPr="004B590F" w:rsidRDefault="00092D28" w:rsidP="00092D28">
      <w:pPr>
        <w:rPr>
          <w:rFonts w:cs="Times New Roman"/>
          <w:b/>
          <w:color w:val="FF0000"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Kontakty na technika OD centrály společnosti jsou uvedeny na intranetu. (Telefonní seznam-Pozice-Technik odboru dopravy centrála). Ti jsou oprávněni přijímat informace týkající se </w:t>
      </w:r>
      <w:r w:rsidRPr="004B590F">
        <w:rPr>
          <w:rFonts w:cs="Times New Roman"/>
          <w:b/>
          <w:sz w:val="22"/>
        </w:rPr>
        <w:t xml:space="preserve">poruch vozidel i škodních událostí. </w:t>
      </w:r>
      <w:r w:rsidR="00313471" w:rsidRPr="004B590F">
        <w:rPr>
          <w:rFonts w:cs="Times New Roman"/>
          <w:b/>
          <w:color w:val="FF0000"/>
          <w:sz w:val="22"/>
        </w:rPr>
        <w:t xml:space="preserve">(Jan Bartásek 604 119 991, </w:t>
      </w:r>
      <w:r w:rsidR="00716648">
        <w:rPr>
          <w:rFonts w:cs="Times New Roman"/>
          <w:b/>
          <w:color w:val="FF0000"/>
          <w:sz w:val="22"/>
        </w:rPr>
        <w:t>David Konečný 775 930 376, Martin Bognár 739 241 140</w:t>
      </w:r>
      <w:r w:rsidR="00313471" w:rsidRPr="004B590F">
        <w:rPr>
          <w:rFonts w:cs="Times New Roman"/>
          <w:b/>
          <w:color w:val="FF0000"/>
          <w:sz w:val="22"/>
        </w:rPr>
        <w:t>)</w:t>
      </w:r>
      <w:r w:rsidR="004B590F" w:rsidRPr="004B590F">
        <w:rPr>
          <w:rFonts w:cs="Times New Roman"/>
          <w:b/>
          <w:color w:val="FF0000"/>
          <w:sz w:val="22"/>
        </w:rPr>
        <w:t>.</w:t>
      </w:r>
    </w:p>
    <w:p w14:paraId="41A91918" w14:textId="77777777" w:rsidR="004B590F" w:rsidRPr="004B590F" w:rsidRDefault="004B590F" w:rsidP="00092D28">
      <w:pPr>
        <w:rPr>
          <w:rFonts w:cs="Times New Roman"/>
          <w:b/>
          <w:sz w:val="22"/>
        </w:rPr>
      </w:pPr>
      <w:r>
        <w:rPr>
          <w:rFonts w:cs="Times New Roman"/>
          <w:color w:val="010101"/>
          <w:sz w:val="22"/>
          <w:shd w:val="clear" w:color="auto" w:fill="FFFFFF"/>
        </w:rPr>
        <w:t>P</w:t>
      </w:r>
      <w:r w:rsidRPr="004B590F">
        <w:rPr>
          <w:rFonts w:cs="Times New Roman"/>
          <w:color w:val="010101"/>
          <w:sz w:val="22"/>
          <w:shd w:val="clear" w:color="auto" w:fill="FFFFFF"/>
        </w:rPr>
        <w:t>ro všechny mimořádné případy související s provozem automobilů v mimopracovní době (např. auto</w:t>
      </w:r>
      <w:r>
        <w:rPr>
          <w:rFonts w:cs="Times New Roman"/>
          <w:color w:val="010101"/>
          <w:sz w:val="22"/>
          <w:shd w:val="clear" w:color="auto" w:fill="FFFFFF"/>
        </w:rPr>
        <w:t>nehody, poruchy provozu</w:t>
      </w:r>
      <w:r w:rsidRPr="004B590F">
        <w:rPr>
          <w:rFonts w:cs="Times New Roman"/>
          <w:color w:val="010101"/>
          <w:sz w:val="22"/>
          <w:shd w:val="clear" w:color="auto" w:fill="FFFFFF"/>
        </w:rPr>
        <w:t>)</w:t>
      </w:r>
      <w:r>
        <w:rPr>
          <w:rFonts w:cs="Times New Roman"/>
          <w:color w:val="010101"/>
          <w:sz w:val="22"/>
          <w:shd w:val="clear" w:color="auto" w:fill="FFFFFF"/>
        </w:rPr>
        <w:t xml:space="preserve"> je</w:t>
      </w:r>
      <w:r w:rsidRPr="004B590F">
        <w:rPr>
          <w:rFonts w:cs="Times New Roman"/>
          <w:color w:val="010101"/>
          <w:sz w:val="22"/>
          <w:shd w:val="clear" w:color="auto" w:fill="FFFFFF"/>
        </w:rPr>
        <w:t xml:space="preserve"> v provozu telefonická podpora odboru dopravy – telefonní linka č.</w:t>
      </w:r>
      <w:r w:rsidRPr="004B590F">
        <w:rPr>
          <w:rStyle w:val="apple-converted-space"/>
          <w:rFonts w:cs="Times New Roman"/>
          <w:color w:val="010101"/>
          <w:sz w:val="22"/>
          <w:shd w:val="clear" w:color="auto" w:fill="FFFFFF"/>
        </w:rPr>
        <w:t> </w:t>
      </w:r>
      <w:r w:rsidRPr="004B590F">
        <w:rPr>
          <w:rFonts w:cs="Times New Roman"/>
          <w:b/>
          <w:bCs/>
          <w:color w:val="010101"/>
          <w:sz w:val="22"/>
          <w:shd w:val="clear" w:color="auto" w:fill="FFFFFF"/>
        </w:rPr>
        <w:t>739 240 820</w:t>
      </w:r>
      <w:r w:rsidRPr="004B590F">
        <w:rPr>
          <w:rFonts w:cs="Times New Roman"/>
          <w:color w:val="010101"/>
          <w:sz w:val="22"/>
          <w:shd w:val="clear" w:color="auto" w:fill="FFFFFF"/>
        </w:rPr>
        <w:t>.</w:t>
      </w:r>
    </w:p>
    <w:p w14:paraId="0F347EA5" w14:textId="77777777" w:rsidR="00092D28" w:rsidRDefault="00092D28" w:rsidP="00092D28">
      <w:pPr>
        <w:rPr>
          <w:b/>
          <w:sz w:val="22"/>
        </w:rPr>
      </w:pPr>
      <w:r>
        <w:rPr>
          <w:b/>
          <w:sz w:val="22"/>
        </w:rPr>
        <w:t xml:space="preserve"> Absence Potvrzení o účasti na dopravní nehodě (příloha č.5) a Evropského záznamu o nehodě (příloha č.4) může mít za následek požadavek zaměstnavatele na úhradu vzniklé škody zaměstnancem.  </w:t>
      </w:r>
    </w:p>
    <w:p w14:paraId="6BEB3A02" w14:textId="77777777" w:rsidR="00092D28" w:rsidRDefault="00092D28" w:rsidP="00092D28">
      <w:pPr>
        <w:rPr>
          <w:sz w:val="22"/>
        </w:rPr>
      </w:pPr>
      <w:r>
        <w:rPr>
          <w:sz w:val="22"/>
        </w:rPr>
        <w:t>Další zásady postupu při škodní události:</w:t>
      </w:r>
    </w:p>
    <w:p w14:paraId="3A1D562A" w14:textId="77777777" w:rsidR="00092D28" w:rsidRDefault="00092D28" w:rsidP="00092D28">
      <w:pPr>
        <w:rPr>
          <w:sz w:val="22"/>
        </w:rPr>
      </w:pPr>
      <w:r>
        <w:rPr>
          <w:sz w:val="22"/>
        </w:rPr>
        <w:t xml:space="preserve">- písemné ohlášení škodní události pojišťovně zajišťuje výhradně technik OD centrály společnosti </w:t>
      </w:r>
    </w:p>
    <w:p w14:paraId="127F516B" w14:textId="77777777" w:rsidR="00092D28" w:rsidRDefault="00092D28" w:rsidP="00092D28">
      <w:pPr>
        <w:rPr>
          <w:sz w:val="22"/>
        </w:rPr>
      </w:pPr>
      <w:r>
        <w:rPr>
          <w:sz w:val="22"/>
        </w:rPr>
        <w:t>- využití asistenční služby zajišťuje výhradně technik OD centrály společnosti</w:t>
      </w:r>
    </w:p>
    <w:p w14:paraId="39632647" w14:textId="77777777" w:rsidR="00092D28" w:rsidRDefault="00092D28" w:rsidP="00092D28">
      <w:pPr>
        <w:rPr>
          <w:sz w:val="22"/>
        </w:rPr>
      </w:pPr>
      <w:r>
        <w:rPr>
          <w:sz w:val="22"/>
        </w:rPr>
        <w:t>- jiné, než smluvní asistenční služby schválené technikem OD centrály společnosti, nejsou povoleny</w:t>
      </w:r>
    </w:p>
    <w:p w14:paraId="2BC0324F" w14:textId="77777777" w:rsidR="000123DB" w:rsidRDefault="00092D28" w:rsidP="00092D28">
      <w:pPr>
        <w:rPr>
          <w:sz w:val="22"/>
        </w:rPr>
      </w:pPr>
      <w:r>
        <w:rPr>
          <w:sz w:val="22"/>
        </w:rPr>
        <w:lastRenderedPageBreak/>
        <w:t>- technik OD centrály společnosti zajišťuje prostřednictvím smluvních servisů jednotlivých vlastníků vozidel způsob odstranění závady, místo opravy, náhradní vozidlo, službu pick-up, doklady a informace potřebné k likvidaci pojistné události v součinnosti s kmenovým řidičem vozidla, resp. správcem</w:t>
      </w:r>
    </w:p>
    <w:p w14:paraId="0756C33D" w14:textId="77777777" w:rsidR="00092D28" w:rsidRDefault="00092D28" w:rsidP="00092D28">
      <w:pPr>
        <w:rPr>
          <w:sz w:val="22"/>
        </w:rPr>
      </w:pPr>
      <w:r>
        <w:rPr>
          <w:sz w:val="22"/>
        </w:rPr>
        <w:t>- všechna ostatní poškození vozidla (například čelní okno a světlomety poškozené úletem kamínků, defekt, průraz pneumatik a další) neodkladně hlásí technikovi OD centrály společnosti kmenový řidič, resp. správce. Technik OD centrály společnosti posoudí rozsah poškození a stanoví další postup.</w:t>
      </w:r>
    </w:p>
    <w:p w14:paraId="268CBA07" w14:textId="77777777" w:rsidR="00092D28" w:rsidRDefault="00092D28" w:rsidP="00092D28">
      <w:pPr>
        <w:rPr>
          <w:sz w:val="22"/>
        </w:rPr>
      </w:pPr>
    </w:p>
    <w:p w14:paraId="7FC9613A" w14:textId="77777777" w:rsidR="00092D28" w:rsidRPr="00313471" w:rsidRDefault="00092D28" w:rsidP="000123DB">
      <w:pPr>
        <w:pStyle w:val="Nadpis3"/>
        <w:numPr>
          <w:ilvl w:val="0"/>
          <w:numId w:val="0"/>
        </w:numPr>
        <w:spacing w:line="360" w:lineRule="auto"/>
        <w:ind w:left="720" w:hanging="720"/>
        <w:rPr>
          <w:rFonts w:ascii="Arial" w:hAnsi="Arial" w:cs="Arial"/>
          <w:i w:val="0"/>
          <w:color w:val="00B050"/>
        </w:rPr>
      </w:pPr>
      <w:bookmarkStart w:id="0" w:name="_Toc405545965"/>
      <w:r w:rsidRPr="00313471">
        <w:rPr>
          <w:rFonts w:ascii="Arial" w:hAnsi="Arial" w:cs="Arial"/>
          <w:i w:val="0"/>
          <w:color w:val="00B050"/>
        </w:rPr>
        <w:t>Postup při poruše služebního vozidla</w:t>
      </w:r>
      <w:bookmarkEnd w:id="0"/>
    </w:p>
    <w:p w14:paraId="6BA3E13C" w14:textId="77777777" w:rsidR="00092D28" w:rsidRDefault="00092D28" w:rsidP="00092D28">
      <w:pPr>
        <w:rPr>
          <w:sz w:val="22"/>
        </w:rPr>
      </w:pPr>
      <w:r>
        <w:t xml:space="preserve"> </w:t>
      </w:r>
      <w:r>
        <w:rPr>
          <w:sz w:val="22"/>
        </w:rPr>
        <w:t>Řidič je při poruše vozidla v silničním provozu povinen především zajistit bezpečnost svoji i posádky, označit vozidlo dle požadavků platných předpisů, tvoří-li překážku v silničním provozu a vždy neprodleně kontaktovat technika OD centrály společnosti.</w:t>
      </w:r>
    </w:p>
    <w:p w14:paraId="09049BAF" w14:textId="77777777" w:rsidR="000123DB" w:rsidRDefault="000123DB" w:rsidP="00092D28">
      <w:pPr>
        <w:rPr>
          <w:sz w:val="22"/>
        </w:rPr>
      </w:pPr>
    </w:p>
    <w:p w14:paraId="10D536CF" w14:textId="77777777" w:rsidR="000123DB" w:rsidRPr="00313471" w:rsidRDefault="000123DB" w:rsidP="00092D28">
      <w:pPr>
        <w:rPr>
          <w:rFonts w:ascii="Arial" w:hAnsi="Arial" w:cs="Arial"/>
          <w:b/>
          <w:color w:val="00B050"/>
          <w:szCs w:val="24"/>
        </w:rPr>
      </w:pPr>
      <w:r w:rsidRPr="00313471">
        <w:rPr>
          <w:rFonts w:ascii="Arial" w:hAnsi="Arial" w:cs="Arial"/>
          <w:b/>
          <w:color w:val="00B050"/>
          <w:szCs w:val="24"/>
        </w:rPr>
        <w:t>Kontakty na techniky odboru dopravy centrály společnosti:</w:t>
      </w:r>
    </w:p>
    <w:p w14:paraId="5EA45972" w14:textId="77777777" w:rsidR="000123DB" w:rsidRDefault="000123DB" w:rsidP="00092D28">
      <w:pPr>
        <w:rPr>
          <w:sz w:val="22"/>
        </w:rPr>
      </w:pPr>
      <w:r>
        <w:rPr>
          <w:sz w:val="22"/>
        </w:rPr>
        <w:t>Jan Bartásek, tel. 604 119 991</w:t>
      </w:r>
    </w:p>
    <w:p w14:paraId="751AA1A8" w14:textId="50885C05" w:rsidR="001924EC" w:rsidRDefault="00716648">
      <w:pPr>
        <w:rPr>
          <w:sz w:val="22"/>
        </w:rPr>
      </w:pPr>
      <w:r>
        <w:rPr>
          <w:sz w:val="22"/>
        </w:rPr>
        <w:t>David Konečný, tel. 775 930 376</w:t>
      </w:r>
    </w:p>
    <w:p w14:paraId="736DF5EF" w14:textId="4AE58552" w:rsidR="00716648" w:rsidRDefault="00716648">
      <w:r>
        <w:rPr>
          <w:sz w:val="22"/>
        </w:rPr>
        <w:t>Martin Bognár, tel. 739 241 140</w:t>
      </w:r>
    </w:p>
    <w:sectPr w:rsidR="0071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443"/>
    <w:multiLevelType w:val="multilevel"/>
    <w:tmpl w:val="210EA25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2419" w:hanging="576"/>
      </w:pPr>
    </w:lvl>
    <w:lvl w:ilvl="2">
      <w:start w:val="1"/>
      <w:numFmt w:val="decimal"/>
      <w:pStyle w:val="Nadpis3"/>
      <w:lvlText w:val="%1.%2.%3"/>
      <w:lvlJc w:val="left"/>
      <w:pPr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6B46D8"/>
    <w:multiLevelType w:val="multilevel"/>
    <w:tmpl w:val="3D40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30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85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D28"/>
    <w:rsid w:val="000123DB"/>
    <w:rsid w:val="0003695F"/>
    <w:rsid w:val="00092D28"/>
    <w:rsid w:val="001B23A0"/>
    <w:rsid w:val="001E6B15"/>
    <w:rsid w:val="00313471"/>
    <w:rsid w:val="004B590F"/>
    <w:rsid w:val="00716648"/>
    <w:rsid w:val="007924DA"/>
    <w:rsid w:val="00904F76"/>
    <w:rsid w:val="00980C35"/>
    <w:rsid w:val="00CE2A37"/>
    <w:rsid w:val="00CE371C"/>
    <w:rsid w:val="00E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CDAA"/>
  <w15:docId w15:val="{C0DD8D37-FD3F-4F9E-A956-1D548CE3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D28"/>
    <w:pPr>
      <w:spacing w:before="120" w:after="120" w:line="240" w:lineRule="exact"/>
      <w:jc w:val="both"/>
    </w:pPr>
    <w:rPr>
      <w:rFonts w:ascii="Times New Roman" w:eastAsiaTheme="minorEastAsia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2D28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092D28"/>
    <w:pPr>
      <w:numPr>
        <w:ilvl w:val="1"/>
        <w:numId w:val="1"/>
      </w:numPr>
      <w:spacing w:before="0" w:after="200" w:line="276" w:lineRule="auto"/>
      <w:ind w:left="576"/>
      <w:jc w:val="left"/>
      <w:outlineLvl w:val="1"/>
    </w:pPr>
    <w:rPr>
      <w:rFonts w:eastAsia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D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D28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D2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D2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D2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D2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D2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2D28"/>
    <w:rPr>
      <w:rFonts w:ascii="Times New Roman" w:eastAsiaTheme="majorEastAsia" w:hAnsi="Times New Roman" w:cstheme="majorBid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92D28"/>
    <w:rPr>
      <w:rFonts w:ascii="Times New Roman" w:eastAsia="Times New Roman" w:hAnsi="Times New Roman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D28"/>
    <w:rPr>
      <w:rFonts w:ascii="Times New Roman" w:eastAsiaTheme="majorEastAsia" w:hAnsi="Times New Roman" w:cstheme="majorBidi"/>
      <w:b/>
      <w:bCs/>
      <w:i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D28"/>
    <w:rPr>
      <w:rFonts w:ascii="Times New Roman" w:eastAsiaTheme="majorEastAsia" w:hAnsi="Times New Roman" w:cs="Times New Roman"/>
      <w:b/>
      <w:bCs/>
      <w:i/>
      <w:iCs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D28"/>
    <w:rPr>
      <w:rFonts w:asciiTheme="majorHAnsi" w:eastAsiaTheme="majorEastAsia" w:hAnsiTheme="majorHAnsi" w:cstheme="majorBidi"/>
      <w:color w:val="243F60" w:themeColor="accent1" w:themeShade="7F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D2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D28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D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D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B1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B15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4B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Konečný David</cp:lastModifiedBy>
  <cp:revision>3</cp:revision>
  <dcterms:created xsi:type="dcterms:W3CDTF">2016-04-04T06:10:00Z</dcterms:created>
  <dcterms:modified xsi:type="dcterms:W3CDTF">2023-10-19T09:06:00Z</dcterms:modified>
</cp:coreProperties>
</file>